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9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9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9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DE HOMOLOGAÇÃO DAS PROPOSTAS DE ENSINO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3"/>
        </w:tabs>
        <w:spacing w:after="0" w:before="293" w:line="240" w:lineRule="auto"/>
        <w:ind w:left="263" w:right="0" w:hanging="24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Dados de identificação</w:t>
      </w:r>
    </w:p>
    <w:p w:rsidR="00000000" w:rsidDel="00000000" w:rsidP="00000000" w:rsidRDefault="00000000" w:rsidRPr="00000000" w14:paraId="00000005">
      <w:pPr>
        <w:spacing w:after="1" w:before="10" w:lineRule="auto"/>
        <w:rPr>
          <w:b w:val="1"/>
          <w:bCs w:val="1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40.0" w:type="dxa"/>
        <w:jc w:val="left"/>
        <w:tblInd w:w="4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113"/>
        <w:gridCol w:w="273"/>
        <w:gridCol w:w="657"/>
        <w:gridCol w:w="6697"/>
        <w:tblGridChange w:id="0">
          <w:tblGrid>
            <w:gridCol w:w="1113"/>
            <w:gridCol w:w="273"/>
            <w:gridCol w:w="657"/>
            <w:gridCol w:w="6697"/>
          </w:tblGrid>
        </w:tblGridChange>
      </w:tblGrid>
      <w:tr>
        <w:trPr>
          <w:cantSplit w:val="0"/>
          <w:trHeight w:val="426" w:hRule="atLeast"/>
          <w:tblHeader w:val="0"/>
        </w:trPr>
        <w:tc>
          <w:tcPr>
            <w:gridSpan w:val="3"/>
            <w:shd w:fill="e9f1dd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94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Título do Projeto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shd w:fill="e9f1dd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94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Edital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154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Edital Proen nº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 -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Apoio a projetos de ensino com foco em ações de acesso, inclusão digital e diversidade junto aos núcleos de ações afirmativas e coordenações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gridSpan w:val="3"/>
            <w:shd w:fill="e9f1dd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2" w:line="240" w:lineRule="auto"/>
              <w:ind w:left="94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Coordenador/a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gridSpan w:val="2"/>
            <w:shd w:fill="e9f1dd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94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Campus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3"/>
          <w:tab w:val="left" w:leader="none" w:pos="4417"/>
        </w:tabs>
        <w:spacing w:after="0" w:before="254" w:line="240" w:lineRule="auto"/>
        <w:ind w:left="263" w:right="0" w:hanging="24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Número de bolsistas solicitados: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3"/>
        </w:tabs>
        <w:spacing w:after="0" w:before="244" w:line="240" w:lineRule="auto"/>
        <w:ind w:left="263" w:right="0" w:hanging="24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Envio da proposta</w:t>
      </w:r>
    </w:p>
    <w:p w:rsidR="00000000" w:rsidDel="00000000" w:rsidP="00000000" w:rsidRDefault="00000000" w:rsidRPr="00000000" w14:paraId="00000018">
      <w:pPr>
        <w:spacing w:before="3" w:lineRule="auto"/>
        <w:rPr>
          <w:b w:val="1"/>
          <w:bCs w:val="1"/>
          <w:sz w:val="9"/>
          <w:szCs w:val="9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610.0" w:type="dxa"/>
        <w:jc w:val="left"/>
        <w:tblInd w:w="4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6243"/>
        <w:gridCol w:w="789"/>
        <w:gridCol w:w="771"/>
        <w:gridCol w:w="807"/>
        <w:tblGridChange w:id="0">
          <w:tblGrid>
            <w:gridCol w:w="6243"/>
            <w:gridCol w:w="789"/>
            <w:gridCol w:w="771"/>
            <w:gridCol w:w="807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shd w:fill="e9f1dd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199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Documentos anexos entregues</w:t>
            </w:r>
          </w:p>
        </w:tc>
        <w:tc>
          <w:tcPr>
            <w:shd w:fill="e9f1dd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25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N/A*</w:t>
            </w:r>
          </w:p>
        </w:tc>
        <w:tc>
          <w:tcPr>
            <w:shd w:fill="e9f1dd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29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SIM</w:t>
            </w:r>
          </w:p>
        </w:tc>
        <w:tc>
          <w:tcPr>
            <w:shd w:fill="e9f1dd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28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NÃO</w:t>
            </w:r>
          </w:p>
        </w:tc>
      </w:tr>
      <w:tr>
        <w:trPr>
          <w:cantSplit w:val="0"/>
          <w:trHeight w:val="941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199" w:right="78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 (uma) cópia em formato PDF da Autorização da Chefia Imediata, conforme Anexo II, no caso de propostas coordenadas por técnicos administrativos, considerando a descrição sumária do cargo.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before="10" w:lineRule="auto"/>
        <w:ind w:left="23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*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Não se aplica</w:t>
      </w:r>
    </w:p>
    <w:p w:rsidR="00000000" w:rsidDel="00000000" w:rsidP="00000000" w:rsidRDefault="00000000" w:rsidRPr="00000000" w14:paraId="00000022">
      <w:pPr>
        <w:spacing w:before="2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7"/>
        </w:tabs>
        <w:spacing w:after="0" w:before="0" w:line="240" w:lineRule="auto"/>
        <w:ind w:left="317" w:right="0" w:hanging="24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Requisitos do Coordenador do Programa ou Projeto de Ensino</w:t>
      </w:r>
    </w:p>
    <w:p w:rsidR="00000000" w:rsidDel="00000000" w:rsidP="00000000" w:rsidRDefault="00000000" w:rsidRPr="00000000" w14:paraId="00000024">
      <w:pPr>
        <w:spacing w:before="6" w:lineRule="auto"/>
        <w:rPr>
          <w:b w:val="1"/>
          <w:bCs w:val="1"/>
          <w:sz w:val="9"/>
          <w:szCs w:val="9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526.000000000002" w:type="dxa"/>
        <w:jc w:val="left"/>
        <w:tblInd w:w="4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6197"/>
        <w:gridCol w:w="765"/>
        <w:gridCol w:w="782"/>
        <w:gridCol w:w="782"/>
        <w:tblGridChange w:id="0">
          <w:tblGrid>
            <w:gridCol w:w="6197"/>
            <w:gridCol w:w="765"/>
            <w:gridCol w:w="782"/>
            <w:gridCol w:w="782"/>
          </w:tblGrid>
        </w:tblGridChange>
      </w:tblGrid>
      <w:tr>
        <w:trPr>
          <w:cantSplit w:val="0"/>
          <w:trHeight w:val="395" w:hRule="atLeast"/>
          <w:tblHeader w:val="0"/>
        </w:trPr>
        <w:tc>
          <w:tcPr>
            <w:shd w:fill="e9f1dd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229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Itens</w:t>
            </w:r>
          </w:p>
        </w:tc>
        <w:tc>
          <w:tcPr>
            <w:shd w:fill="e9f1dd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5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N/A*</w:t>
            </w:r>
          </w:p>
        </w:tc>
        <w:tc>
          <w:tcPr>
            <w:shd w:fill="e9f1dd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218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SIM</w:t>
            </w:r>
          </w:p>
        </w:tc>
        <w:tc>
          <w:tcPr>
            <w:shd w:fill="e9f1dd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78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NÃO</w:t>
            </w:r>
          </w:p>
        </w:tc>
      </w:tr>
      <w:tr>
        <w:trPr>
          <w:cantSplit w:val="0"/>
          <w:trHeight w:val="363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22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É servidor(a)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efetivo(a) do IFRS e membro do Neabi, Nepgs, COPPID ou Assistência Estudantil do campus proponente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1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22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Não possui nenhum tipo de pendência com relação à projetos/relatórios de Ensino, Pesquisa ou Extensão.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4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22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Tem currículo cadastrado na Plataforma Lattes do CNPq e atualizado a partir de 1º de janeiro de 202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22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Não está usufruindo de qualquer tipo de afastamento ou licença previstos pela legislação vigente.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before="7" w:lineRule="auto"/>
        <w:ind w:left="23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*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Não se aplica</w:t>
      </w:r>
    </w:p>
    <w:p w:rsidR="00000000" w:rsidDel="00000000" w:rsidP="00000000" w:rsidRDefault="00000000" w:rsidRPr="00000000" w14:paraId="0000003A">
      <w:pPr>
        <w:spacing w:before="2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2"/>
        </w:tabs>
        <w:spacing w:after="0" w:before="0" w:line="240" w:lineRule="auto"/>
        <w:ind w:left="23" w:right="15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Projeto submetido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é vinculado a uma das três áreas prioritárias indicadas no Edital?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Sim</w:t>
        <w:tab/>
        <w:tab/>
        <w:t xml:space="preserve">(  ) Não</w:t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1"/>
        </w:numPr>
        <w:tabs>
          <w:tab w:val="left" w:leader="none" w:pos="352"/>
        </w:tabs>
        <w:spacing w:line="240" w:lineRule="auto"/>
        <w:ind w:left="263" w:right="15" w:hanging="240"/>
        <w:jc w:val="both"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 Projeto submetido atende à 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4cc"/>
            <w:sz w:val="24"/>
            <w:szCs w:val="24"/>
            <w:u w:val="single"/>
            <w:rtl w:val="0"/>
          </w:rPr>
          <w:t xml:space="preserve">Resolução Consup nº 22/2015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, sendo considerado um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Projeto de Ensino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?</w:t>
        <w:tab/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Sim</w:t>
        <w:tab/>
        <w:tab/>
        <w:t xml:space="preserve">(  ) Não</w:t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7"/>
        </w:tabs>
        <w:spacing w:after="0" w:before="0" w:line="240" w:lineRule="auto"/>
        <w:ind w:left="317" w:right="0" w:hanging="24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Observações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-172083</wp:posOffset>
                </wp:positionH>
                <wp:positionV relativeFrom="paragraph">
                  <wp:posOffset>175258</wp:posOffset>
                </wp:positionV>
                <wp:extent cx="5727700" cy="8032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88500" y="3384713"/>
                          <a:ext cx="5715000" cy="790575"/>
                        </a:xfrm>
                        <a:custGeom>
                          <a:rect b="b" l="l" r="r" t="t"/>
                          <a:pathLst>
                            <a:path extrusionOk="0" h="558800" w="6102350">
                              <a:moveTo>
                                <a:pt x="6350" y="0"/>
                              </a:moveTo>
                              <a:lnTo>
                                <a:pt x="6350" y="558799"/>
                              </a:lnTo>
                            </a:path>
                            <a:path extrusionOk="0" h="558800" w="6102350">
                              <a:moveTo>
                                <a:pt x="6102350" y="0"/>
                              </a:moveTo>
                              <a:lnTo>
                                <a:pt x="6102350" y="558799"/>
                              </a:lnTo>
                            </a:path>
                            <a:path extrusionOk="0" h="558800" w="6102350">
                              <a:moveTo>
                                <a:pt x="0" y="6350"/>
                              </a:moveTo>
                              <a:lnTo>
                                <a:pt x="6096000" y="6350"/>
                              </a:lnTo>
                            </a:path>
                            <a:path extrusionOk="0" h="558800" w="6102350">
                              <a:moveTo>
                                <a:pt x="0" y="552449"/>
                              </a:moveTo>
                              <a:lnTo>
                                <a:pt x="6096000" y="552449"/>
                              </a:lnTo>
                            </a:path>
                          </a:pathLst>
                        </a:cu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-172083</wp:posOffset>
                </wp:positionH>
                <wp:positionV relativeFrom="paragraph">
                  <wp:posOffset>175258</wp:posOffset>
                </wp:positionV>
                <wp:extent cx="5727700" cy="80327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7700" cy="803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before="6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475"/>
          <w:tab w:val="left" w:leader="none" w:pos="2902"/>
          <w:tab w:val="left" w:leader="none" w:pos="3409"/>
        </w:tabs>
        <w:ind w:left="23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Homologado</w:t>
        <w:tab/>
        <w:t xml:space="preserve">(  ) Não homologado</w:t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3125"/>
          <w:tab w:val="left" w:leader="none" w:pos="4294"/>
          <w:tab w:val="left" w:leader="none" w:pos="4865"/>
          <w:tab w:val="left" w:leader="none" w:pos="5970"/>
        </w:tabs>
        <w:ind w:right="523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Local: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  <w:t xml:space="preserve">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(Assinatura)                                                                  (Assinatura)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Responsável(eis) pela homologação                        Presidente da Comissão Institucional</w:t>
      </w:r>
    </w:p>
    <w:sectPr>
      <w:headerReference r:id="rId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2676525</wp:posOffset>
          </wp:positionH>
          <wp:positionV relativeFrom="paragraph">
            <wp:posOffset>85725</wp:posOffset>
          </wp:positionV>
          <wp:extent cx="506730" cy="539750"/>
          <wp:effectExtent b="0" l="0" r="0" t="0"/>
          <wp:wrapSquare wrapText="bothSides" distB="0" distT="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730" cy="5397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spacing w:before="6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spacing w:before="6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57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58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59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Pró-Reitoria de Ensino</w:t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63" w:hanging="240"/>
      </w:pPr>
      <w:rPr>
        <w:rFonts w:ascii="Calibri" w:cs="Calibri" w:eastAsia="Calibri" w:hAnsi="Calibri"/>
        <w:b w:val="1"/>
        <w:bCs w:val="1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1199" w:hanging="240"/>
      </w:pPr>
      <w:rPr/>
    </w:lvl>
    <w:lvl w:ilvl="2">
      <w:start w:val="0"/>
      <w:numFmt w:val="bullet"/>
      <w:lvlText w:val="•"/>
      <w:lvlJc w:val="left"/>
      <w:pPr>
        <w:ind w:left="2138" w:hanging="240"/>
      </w:pPr>
      <w:rPr/>
    </w:lvl>
    <w:lvl w:ilvl="3">
      <w:start w:val="0"/>
      <w:numFmt w:val="bullet"/>
      <w:lvlText w:val="•"/>
      <w:lvlJc w:val="left"/>
      <w:pPr>
        <w:ind w:left="3077" w:hanging="240"/>
      </w:pPr>
      <w:rPr/>
    </w:lvl>
    <w:lvl w:ilvl="4">
      <w:start w:val="0"/>
      <w:numFmt w:val="bullet"/>
      <w:lvlText w:val="•"/>
      <w:lvlJc w:val="left"/>
      <w:pPr>
        <w:ind w:left="4017" w:hanging="240"/>
      </w:pPr>
      <w:rPr/>
    </w:lvl>
    <w:lvl w:ilvl="5">
      <w:start w:val="0"/>
      <w:numFmt w:val="bullet"/>
      <w:lvlText w:val="•"/>
      <w:lvlJc w:val="left"/>
      <w:pPr>
        <w:ind w:left="4956" w:hanging="240"/>
      </w:pPr>
      <w:rPr/>
    </w:lvl>
    <w:lvl w:ilvl="6">
      <w:start w:val="0"/>
      <w:numFmt w:val="bullet"/>
      <w:lvlText w:val="•"/>
      <w:lvlJc w:val="left"/>
      <w:pPr>
        <w:ind w:left="5895" w:hanging="240"/>
      </w:pPr>
      <w:rPr/>
    </w:lvl>
    <w:lvl w:ilvl="7">
      <w:start w:val="0"/>
      <w:numFmt w:val="bullet"/>
      <w:lvlText w:val="•"/>
      <w:lvlJc w:val="left"/>
      <w:pPr>
        <w:ind w:left="6835" w:hanging="240"/>
      </w:pPr>
      <w:rPr/>
    </w:lvl>
    <w:lvl w:ilvl="8">
      <w:start w:val="0"/>
      <w:numFmt w:val="bullet"/>
      <w:lvlText w:val="•"/>
      <w:lvlJc w:val="left"/>
      <w:pPr>
        <w:ind w:left="7774" w:hanging="2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76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76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spacing w:after="0" w:line="276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ifrs.edu.br/documentos/resolucao-consup-no-022-de-03-de-marco-de-2015-aprova-o-programa-institucional-de-bolsas-de-ensino-piben-do-instituto-federal-do-rio-grande-do-sul-ifrs/" TargetMode="External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9hMD+MdT5uwLkXoyGBtcTgPHEw==">CgMxLjA4AGosChRzdWdnZXN0LjJoMHBwZ3B0am80MxIUU2FuZHJhIExpZ2lhIEFnbm9saW5yITE2VkhMTVgwTTNpX2FYTnRINnRocy1OOVJDOXEweU9oSQ==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