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18"/>
          <w:szCs w:val="18"/>
          <w:highlight w:val="yellow"/>
        </w:rPr>
      </w:pPr>
      <w:r w:rsidDel="00000000" w:rsidR="00000000" w:rsidRPr="00000000">
        <w:rPr>
          <w:b w:val="1"/>
          <w:bCs w:val="1"/>
          <w:sz w:val="20"/>
          <w:szCs w:val="20"/>
          <w:highlight w:val="yellow"/>
          <w:u w:val="single"/>
          <w:rtl w:val="0"/>
        </w:rPr>
        <w:t xml:space="preserve">Sugestão</w:t>
      </w:r>
      <w:r w:rsidDel="00000000" w:rsidR="00000000" w:rsidRPr="00000000">
        <w:rPr>
          <w:sz w:val="18"/>
          <w:szCs w:val="18"/>
          <w:highlight w:val="yellow"/>
          <w:rtl w:val="0"/>
        </w:rPr>
        <w:t xml:space="preserve">:</w:t>
      </w:r>
    </w:p>
    <w:p w:rsidR="00000000" w:rsidDel="00000000" w:rsidP="00000000" w:rsidRDefault="00000000" w:rsidRPr="00000000" w14:paraId="00000002">
      <w:pPr>
        <w:rPr>
          <w:sz w:val="18"/>
          <w:szCs w:val="18"/>
          <w:highlight w:val="yellow"/>
        </w:rPr>
      </w:pPr>
      <w:r w:rsidDel="00000000" w:rsidR="00000000" w:rsidRPr="00000000">
        <w:rPr>
          <w:sz w:val="18"/>
          <w:szCs w:val="18"/>
          <w:highlight w:val="yellow"/>
          <w:rtl w:val="0"/>
        </w:rPr>
        <w:t xml:space="preserve">O texto em preto poderá ser mantido nos mais variados processos de dispensa.</w:t>
      </w:r>
    </w:p>
    <w:p w:rsidR="00000000" w:rsidDel="00000000" w:rsidP="00000000" w:rsidRDefault="00000000" w:rsidRPr="00000000" w14:paraId="00000003">
      <w:pPr>
        <w:rPr>
          <w:color w:val="ff0000"/>
          <w:sz w:val="18"/>
          <w:szCs w:val="18"/>
          <w:highlight w:val="yellow"/>
        </w:rPr>
      </w:pPr>
      <w:r w:rsidDel="00000000" w:rsidR="00000000" w:rsidRPr="00000000">
        <w:rPr>
          <w:color w:val="ff0000"/>
          <w:sz w:val="18"/>
          <w:szCs w:val="18"/>
          <w:highlight w:val="yellow"/>
          <w:rtl w:val="0"/>
        </w:rPr>
        <w:t xml:space="preserve">O texto em vermelho deverá ser adaptado/ajustado a depender do objeto.</w:t>
      </w:r>
    </w:p>
    <w:p w:rsidR="00000000" w:rsidDel="00000000" w:rsidP="00000000" w:rsidRDefault="00000000" w:rsidRPr="00000000" w14:paraId="00000004">
      <w:pPr>
        <w:rPr>
          <w:sz w:val="18"/>
          <w:szCs w:val="18"/>
          <w:highlight w:val="yellow"/>
        </w:rPr>
      </w:pPr>
      <w:r w:rsidDel="00000000" w:rsidR="00000000" w:rsidRPr="00000000">
        <w:rPr>
          <w:sz w:val="18"/>
          <w:szCs w:val="18"/>
          <w:highlight w:val="yellow"/>
          <w:rtl w:val="0"/>
        </w:rPr>
        <w:t xml:space="preserve">Após realizar os ajustes, inserir este documento junto ao Relatório da Dispensa.</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b w:val="1"/>
          <w:bCs w:val="1"/>
        </w:rPr>
      </w:pPr>
      <w:r w:rsidDel="00000000" w:rsidR="00000000" w:rsidRPr="00000000">
        <w:rPr>
          <w:b w:val="1"/>
          <w:bCs w:val="1"/>
          <w:rtl w:val="0"/>
        </w:rPr>
        <w:t xml:space="preserve">Justificativas para não utilização de dispensa na forma eletrônica</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ind w:firstLine="720"/>
        <w:jc w:val="both"/>
        <w:rPr/>
      </w:pPr>
      <w:r w:rsidDel="00000000" w:rsidR="00000000" w:rsidRPr="00000000">
        <w:rPr>
          <w:rtl w:val="0"/>
        </w:rPr>
        <w:t xml:space="preserve">A dispensa de licitação deve, </w:t>
      </w:r>
      <w:r w:rsidDel="00000000" w:rsidR="00000000" w:rsidRPr="00000000">
        <w:rPr>
          <w:b w:val="1"/>
          <w:bCs w:val="1"/>
          <w:rtl w:val="0"/>
        </w:rPr>
        <w:t xml:space="preserve">preferencialmente</w:t>
      </w:r>
      <w:r w:rsidDel="00000000" w:rsidR="00000000" w:rsidRPr="00000000">
        <w:rPr>
          <w:rtl w:val="0"/>
        </w:rPr>
        <w:t xml:space="preserve">, ser realizada de forma eletrônica, embora não se trate de uma exigência obrigatória. O § 3º do artigo 75 da Lei n. 14.133/2021 prescreve que “</w:t>
      </w:r>
      <w:r w:rsidDel="00000000" w:rsidR="00000000" w:rsidRPr="00000000">
        <w:rPr>
          <w:i w:val="1"/>
          <w:iCs w:val="1"/>
          <w:rtl w:val="0"/>
        </w:rPr>
        <w:t xml:space="preserve">as contratações de que tratam os incisos I e II do caput deste artigo serão </w:t>
      </w:r>
      <w:r w:rsidDel="00000000" w:rsidR="00000000" w:rsidRPr="00000000">
        <w:rPr>
          <w:b w:val="1"/>
          <w:bCs w:val="1"/>
          <w:i w:val="1"/>
          <w:iCs w:val="1"/>
          <w:rtl w:val="0"/>
        </w:rPr>
        <w:t xml:space="preserve">preferencialmente </w:t>
      </w:r>
      <w:r w:rsidDel="00000000" w:rsidR="00000000" w:rsidRPr="00000000">
        <w:rPr>
          <w:i w:val="1"/>
          <w:iCs w:val="1"/>
          <w:rtl w:val="0"/>
        </w:rPr>
        <w:t xml:space="preserve">precedidas de divulgação de aviso em sítio eletrônico oficial, pelo prazo mínimo de 3 (três) dias úteis, com a especificação do objeto pretendido e com a manifestação de interesse da Administração em obter propostas adicionais de eventuais interessados, devendo ser selecionada a proposta mais vantajosa.</w:t>
      </w:r>
      <w:r w:rsidDel="00000000" w:rsidR="00000000" w:rsidRPr="00000000">
        <w:rPr>
          <w:rtl w:val="0"/>
        </w:rPr>
        <w:t xml:space="preserve">”</w:t>
      </w:r>
    </w:p>
    <w:p w:rsidR="00000000" w:rsidDel="00000000" w:rsidP="00000000" w:rsidRDefault="00000000" w:rsidRPr="00000000" w14:paraId="00000009">
      <w:pPr>
        <w:ind w:firstLine="720"/>
        <w:jc w:val="both"/>
        <w:rPr/>
      </w:pPr>
      <w:r w:rsidDel="00000000" w:rsidR="00000000" w:rsidRPr="00000000">
        <w:rPr>
          <w:rtl w:val="0"/>
        </w:rPr>
      </w:r>
    </w:p>
    <w:p w:rsidR="00000000" w:rsidDel="00000000" w:rsidP="00000000" w:rsidRDefault="00000000" w:rsidRPr="00000000" w14:paraId="0000000A">
      <w:pPr>
        <w:ind w:firstLine="720"/>
        <w:jc w:val="both"/>
        <w:rPr/>
      </w:pPr>
      <w:r w:rsidDel="00000000" w:rsidR="00000000" w:rsidRPr="00000000">
        <w:rPr>
          <w:rtl w:val="0"/>
        </w:rPr>
        <w:t xml:space="preserve">O Manual do Sistema de Dispensa Eletrônica, disponível no Portal de Compras do Governo Federal e previsto no §1º do art. 3 da IN-SEGES N. 67/2021, esclarece que a Dispensa Eletrônica pode ser utilizada sem a previsão de disputa. Para tanto, basta marcar a opção “NÃO” no campo "Compra Com Disputa?".</w:t>
      </w:r>
    </w:p>
    <w:p w:rsidR="00000000" w:rsidDel="00000000" w:rsidP="00000000" w:rsidRDefault="00000000" w:rsidRPr="00000000" w14:paraId="0000000B">
      <w:pPr>
        <w:ind w:firstLine="720"/>
        <w:jc w:val="both"/>
        <w:rPr/>
      </w:pPr>
      <w:r w:rsidDel="00000000" w:rsidR="00000000" w:rsidRPr="00000000">
        <w:rPr>
          <w:rtl w:val="0"/>
        </w:rPr>
        <w:t xml:space="preserve">Ou seja, mesmo que a IN-SEGES N. 67/2021 exija uso da Dispensa Eletrônica pelos órgãos federais do SISG, e mesmo que para a publicação da contratação direta no PNCP seja obrigatório o uso do SIASG, a norma não exige que haja disputa em toda e qualquer Dispensa Eletrônica. Tal opção é uma possibilidade, a ser adotada "a critério do gestor", desde que adequadamente motivada, nos termos da Lei n. 9.784/1999, cujo excerto segue abaixo transcrito.</w:t>
      </w:r>
    </w:p>
    <w:p w:rsidR="00000000" w:rsidDel="00000000" w:rsidP="00000000" w:rsidRDefault="00000000" w:rsidRPr="00000000" w14:paraId="0000000C">
      <w:pPr>
        <w:ind w:firstLine="720"/>
        <w:jc w:val="both"/>
        <w:rPr/>
      </w:pPr>
      <w:r w:rsidDel="00000000" w:rsidR="00000000" w:rsidRPr="00000000">
        <w:rPr>
          <w:rtl w:val="0"/>
        </w:rPr>
      </w:r>
    </w:p>
    <w:p w:rsidR="00000000" w:rsidDel="00000000" w:rsidP="00000000" w:rsidRDefault="00000000" w:rsidRPr="00000000" w14:paraId="0000000D">
      <w:pPr>
        <w:ind w:left="1700.7874015748034" w:hanging="0"/>
        <w:jc w:val="both"/>
        <w:rPr>
          <w:i w:val="1"/>
          <w:iCs w:val="1"/>
          <w:sz w:val="20"/>
          <w:szCs w:val="20"/>
        </w:rPr>
      </w:pPr>
      <w:r w:rsidDel="00000000" w:rsidR="00000000" w:rsidRPr="00000000">
        <w:rPr>
          <w:i w:val="1"/>
          <w:iCs w:val="1"/>
          <w:sz w:val="20"/>
          <w:szCs w:val="20"/>
          <w:rtl w:val="0"/>
        </w:rPr>
        <w:t xml:space="preserve">Art. 50. Os atos administrativos deverão ser motivados, com indicação dos fatos e</w:t>
      </w:r>
    </w:p>
    <w:p w:rsidR="00000000" w:rsidDel="00000000" w:rsidP="00000000" w:rsidRDefault="00000000" w:rsidRPr="00000000" w14:paraId="0000000E">
      <w:pPr>
        <w:ind w:left="1700.7874015748034" w:hanging="0"/>
        <w:jc w:val="both"/>
        <w:rPr>
          <w:i w:val="1"/>
          <w:iCs w:val="1"/>
          <w:sz w:val="20"/>
          <w:szCs w:val="20"/>
        </w:rPr>
      </w:pPr>
      <w:r w:rsidDel="00000000" w:rsidR="00000000" w:rsidRPr="00000000">
        <w:rPr>
          <w:i w:val="1"/>
          <w:iCs w:val="1"/>
          <w:sz w:val="20"/>
          <w:szCs w:val="20"/>
          <w:rtl w:val="0"/>
        </w:rPr>
        <w:t xml:space="preserve">dos fundamentos jurídicos, quando:</w:t>
      </w:r>
    </w:p>
    <w:p w:rsidR="00000000" w:rsidDel="00000000" w:rsidP="00000000" w:rsidRDefault="00000000" w:rsidRPr="00000000" w14:paraId="0000000F">
      <w:pPr>
        <w:ind w:left="1700.7874015748034" w:hanging="0"/>
        <w:jc w:val="both"/>
        <w:rPr>
          <w:i w:val="1"/>
          <w:iCs w:val="1"/>
          <w:sz w:val="20"/>
          <w:szCs w:val="20"/>
        </w:rPr>
      </w:pPr>
      <w:r w:rsidDel="00000000" w:rsidR="00000000" w:rsidRPr="00000000">
        <w:rPr>
          <w:i w:val="1"/>
          <w:iCs w:val="1"/>
          <w:sz w:val="20"/>
          <w:szCs w:val="20"/>
          <w:rtl w:val="0"/>
        </w:rPr>
        <w:t xml:space="preserve">…</w:t>
      </w:r>
    </w:p>
    <w:p w:rsidR="00000000" w:rsidDel="00000000" w:rsidP="00000000" w:rsidRDefault="00000000" w:rsidRPr="00000000" w14:paraId="00000010">
      <w:pPr>
        <w:ind w:left="1700.7874015748034" w:hanging="0"/>
        <w:jc w:val="both"/>
        <w:rPr>
          <w:i w:val="1"/>
          <w:iCs w:val="1"/>
          <w:sz w:val="20"/>
          <w:szCs w:val="20"/>
        </w:rPr>
      </w:pPr>
      <w:r w:rsidDel="00000000" w:rsidR="00000000" w:rsidRPr="00000000">
        <w:rPr>
          <w:i w:val="1"/>
          <w:iCs w:val="1"/>
          <w:sz w:val="20"/>
          <w:szCs w:val="20"/>
          <w:rtl w:val="0"/>
        </w:rPr>
        <w:t xml:space="preserve">IV - dispensem ou declarem a inexigibilidade de processo licitatório;</w:t>
      </w:r>
    </w:p>
    <w:p w:rsidR="00000000" w:rsidDel="00000000" w:rsidP="00000000" w:rsidRDefault="00000000" w:rsidRPr="00000000" w14:paraId="00000011">
      <w:pPr>
        <w:ind w:left="1700.7874015748034" w:hanging="0"/>
        <w:jc w:val="both"/>
        <w:rPr>
          <w:i w:val="1"/>
          <w:iCs w:val="1"/>
          <w:sz w:val="20"/>
          <w:szCs w:val="20"/>
        </w:rPr>
      </w:pPr>
      <w:r w:rsidDel="00000000" w:rsidR="00000000" w:rsidRPr="00000000">
        <w:rPr>
          <w:i w:val="1"/>
          <w:iCs w:val="1"/>
          <w:sz w:val="20"/>
          <w:szCs w:val="20"/>
          <w:rtl w:val="0"/>
        </w:rPr>
        <w:t xml:space="preserve">…</w:t>
      </w:r>
    </w:p>
    <w:p w:rsidR="00000000" w:rsidDel="00000000" w:rsidP="00000000" w:rsidRDefault="00000000" w:rsidRPr="00000000" w14:paraId="00000012">
      <w:pPr>
        <w:ind w:left="1700.7874015748034" w:hanging="0"/>
        <w:jc w:val="both"/>
        <w:rPr>
          <w:i w:val="1"/>
          <w:iCs w:val="1"/>
          <w:sz w:val="20"/>
          <w:szCs w:val="20"/>
        </w:rPr>
      </w:pPr>
      <w:r w:rsidDel="00000000" w:rsidR="00000000" w:rsidRPr="00000000">
        <w:rPr>
          <w:i w:val="1"/>
          <w:iCs w:val="1"/>
          <w:sz w:val="20"/>
          <w:szCs w:val="20"/>
          <w:rtl w:val="0"/>
        </w:rPr>
        <w:t xml:space="preserve">§ 1º A motivação deve ser explícita, clara e congruente, podendo consistir em</w:t>
      </w:r>
    </w:p>
    <w:p w:rsidR="00000000" w:rsidDel="00000000" w:rsidP="00000000" w:rsidRDefault="00000000" w:rsidRPr="00000000" w14:paraId="00000013">
      <w:pPr>
        <w:ind w:left="1700.7874015748034" w:hanging="0"/>
        <w:jc w:val="both"/>
        <w:rPr>
          <w:i w:val="1"/>
          <w:iCs w:val="1"/>
          <w:sz w:val="20"/>
          <w:szCs w:val="20"/>
        </w:rPr>
      </w:pPr>
      <w:r w:rsidDel="00000000" w:rsidR="00000000" w:rsidRPr="00000000">
        <w:rPr>
          <w:i w:val="1"/>
          <w:iCs w:val="1"/>
          <w:sz w:val="20"/>
          <w:szCs w:val="20"/>
          <w:rtl w:val="0"/>
        </w:rPr>
        <w:t xml:space="preserve">declaração de concordância com fundamentos de anteriores pareceres,</w:t>
      </w:r>
    </w:p>
    <w:p w:rsidR="00000000" w:rsidDel="00000000" w:rsidP="00000000" w:rsidRDefault="00000000" w:rsidRPr="00000000" w14:paraId="00000014">
      <w:pPr>
        <w:ind w:left="1700.7874015748034" w:hanging="0"/>
        <w:jc w:val="both"/>
        <w:rPr>
          <w:i w:val="1"/>
          <w:iCs w:val="1"/>
          <w:sz w:val="20"/>
          <w:szCs w:val="20"/>
        </w:rPr>
      </w:pPr>
      <w:r w:rsidDel="00000000" w:rsidR="00000000" w:rsidRPr="00000000">
        <w:rPr>
          <w:i w:val="1"/>
          <w:iCs w:val="1"/>
          <w:sz w:val="20"/>
          <w:szCs w:val="20"/>
          <w:rtl w:val="0"/>
        </w:rPr>
        <w:t xml:space="preserve">informações, decisões ou propostas, que, neste caso, serão parte integrante do ato.</w:t>
      </w:r>
    </w:p>
    <w:p w:rsidR="00000000" w:rsidDel="00000000" w:rsidP="00000000" w:rsidRDefault="00000000" w:rsidRPr="00000000" w14:paraId="00000015">
      <w:pPr>
        <w:ind w:left="0" w:firstLine="0"/>
        <w:jc w:val="both"/>
        <w:rPr/>
      </w:pPr>
      <w:r w:rsidDel="00000000" w:rsidR="00000000" w:rsidRPr="00000000">
        <w:rPr>
          <w:rtl w:val="0"/>
        </w:rPr>
      </w:r>
    </w:p>
    <w:p w:rsidR="00000000" w:rsidDel="00000000" w:rsidP="00000000" w:rsidRDefault="00000000" w:rsidRPr="00000000" w14:paraId="00000016">
      <w:pPr>
        <w:ind w:firstLine="720"/>
        <w:jc w:val="both"/>
        <w:rPr/>
      </w:pPr>
      <w:r w:rsidDel="00000000" w:rsidR="00000000" w:rsidRPr="00000000">
        <w:rPr>
          <w:rtl w:val="0"/>
        </w:rPr>
        <w:t xml:space="preserve">Dessa forma, uma vez devidamente justificada, é legalmente viável a realização de pesquisa direta junto aos fornecedores, seguido da contratação daquele que apresentar a proposta mais vantajosa, desde que este atenda aos requisitos estabelecidos no termo de referência.</w:t>
      </w:r>
    </w:p>
    <w:p w:rsidR="00000000" w:rsidDel="00000000" w:rsidP="00000000" w:rsidRDefault="00000000" w:rsidRPr="00000000" w14:paraId="00000017">
      <w:pPr>
        <w:ind w:firstLine="720"/>
        <w:jc w:val="both"/>
        <w:rPr/>
      </w:pPr>
      <w:r w:rsidDel="00000000" w:rsidR="00000000" w:rsidRPr="00000000">
        <w:rPr>
          <w:rtl w:val="0"/>
        </w:rPr>
        <w:t xml:space="preserve">Importante frisar, que mesmo optando pela não utilização da dispensa na sua forma eletrônica, o IFRS preza pela observância dos princípios da eficiência, transparência e publicidade dos atos da contratação.</w:t>
      </w:r>
    </w:p>
    <w:p w:rsidR="00000000" w:rsidDel="00000000" w:rsidP="00000000" w:rsidRDefault="00000000" w:rsidRPr="00000000" w14:paraId="00000018">
      <w:pPr>
        <w:ind w:firstLine="720"/>
        <w:jc w:val="both"/>
        <w:rPr/>
      </w:pPr>
      <w:r w:rsidDel="00000000" w:rsidR="00000000" w:rsidRPr="00000000">
        <w:rPr>
          <w:rtl w:val="0"/>
        </w:rPr>
        <w:t xml:space="preserve">Este foi o procedimento adotado pelo IFRS para a presente contratação, pois a pesquisa direta com fornecedores foi a solução que melhor atendeu a necessidade da Administração, conforme justificativa descrita abaixo:</w:t>
      </w:r>
    </w:p>
    <w:p w:rsidR="00000000" w:rsidDel="00000000" w:rsidP="00000000" w:rsidRDefault="00000000" w:rsidRPr="00000000" w14:paraId="00000019">
      <w:pPr>
        <w:ind w:firstLine="720"/>
        <w:jc w:val="both"/>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jc w:val="both"/>
        <w:rPr>
          <w:i w:val="1"/>
          <w:iCs w:val="1"/>
          <w:color w:val="ff0000"/>
        </w:rPr>
      </w:pPr>
      <w:r w:rsidDel="00000000" w:rsidR="00000000" w:rsidRPr="00000000">
        <w:rPr>
          <w:i w:val="1"/>
          <w:iCs w:val="1"/>
          <w:color w:val="ff0000"/>
          <w:rtl w:val="0"/>
        </w:rPr>
        <w:t xml:space="preserve">HIPÓTESE 1 - QUANDO PEQUENO VALOR</w:t>
      </w:r>
      <w:r w:rsidDel="00000000" w:rsidR="00000000" w:rsidRPr="00000000">
        <w:rPr>
          <w:i w:val="1"/>
          <w:iCs w:val="1"/>
          <w:color w:val="ff0000"/>
          <w:rtl w:val="0"/>
        </w:rPr>
        <w:t xml:space="preserve"> (Inciso I e II do Art. 75)</w:t>
      </w:r>
    </w:p>
    <w:p w:rsidR="00000000" w:rsidDel="00000000" w:rsidP="00000000" w:rsidRDefault="00000000" w:rsidRPr="00000000" w14:paraId="0000001C">
      <w:pPr>
        <w:jc w:val="both"/>
        <w:rPr>
          <w:i w:val="1"/>
          <w:iCs w:val="1"/>
          <w:color w:val="ff0000"/>
        </w:rPr>
      </w:pPr>
      <w:r w:rsidDel="00000000" w:rsidR="00000000" w:rsidRPr="00000000">
        <w:rPr>
          <w:color w:val="ff0000"/>
          <w:rtl w:val="0"/>
        </w:rPr>
        <w:t xml:space="preserve">A Controladoria-Geral da União-CGU indica que o custo processual é diretamente proporcional ao tempo gasto no processo administrativo de contratação, e se/quando a potencial economia obtida na disputa não compensar tais custos, a Dispensa Eletrônica se torna "deficitária". Se para a CGU e para a Secretaria de Gestão do Ministério da Gestão e Inovação - SEGES/MGI o órgão deve justificar o uso da licitação quando cabe dispensa de licitação por valor, é defensável que se justifique não usar a disputa quando esta não se mostrar vantajosa para a Administração, no sentido de que o potencial de desconto a ser obtido na disputa não compense o aumento do custo processual. </w:t>
      </w:r>
      <w:r w:rsidDel="00000000" w:rsidR="00000000" w:rsidRPr="00000000">
        <w:rPr>
          <w:rtl w:val="0"/>
        </w:rPr>
      </w:r>
    </w:p>
    <w:p w:rsidR="00000000" w:rsidDel="00000000" w:rsidP="00000000" w:rsidRDefault="00000000" w:rsidRPr="00000000" w14:paraId="0000001D">
      <w:pPr>
        <w:jc w:val="both"/>
        <w:rPr>
          <w:color w:val="ff0000"/>
        </w:rPr>
      </w:pPr>
      <w:r w:rsidDel="00000000" w:rsidR="00000000" w:rsidRPr="00000000">
        <w:rPr>
          <w:color w:val="ff0000"/>
          <w:rtl w:val="0"/>
        </w:rPr>
        <w:t xml:space="preserve">Diante do valor reduzido, a adoção de fornecedores locais se configura como uma estratégia vantajosa, não apenas pela agilidade na estruturação do processo administrativo, mas também pelo impacto positivo que exerce sobre o desenvolvimento econômico e social da comunidade local. Ao optar por fornecedores da região, estimula-se a circulação de recursos dentro da própria localidade, favorecendo o crescimento de pequenos e médios empreendimentos, bem como a geração de emprego e renda. Além disso, a proximidade entre contratante e fornecedor facilita a logística, reduzindo prazos e custos operacionais, o que resulta em maior eficiência nos processos de aquisição e entrega. Dessa forma, ao escolher fornecedores locais, o IFRS pretende beneficiar toda a coletividade, promovendo o fortalecimento da economia local e contribuindo para o bem-estar social da região.</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jc w:val="both"/>
        <w:rPr>
          <w:i w:val="1"/>
          <w:iCs w:val="1"/>
          <w:color w:val="ff0000"/>
        </w:rPr>
      </w:pPr>
      <w:r w:rsidDel="00000000" w:rsidR="00000000" w:rsidRPr="00000000">
        <w:rPr>
          <w:i w:val="1"/>
          <w:iCs w:val="1"/>
          <w:color w:val="ff0000"/>
          <w:rtl w:val="0"/>
        </w:rPr>
        <w:t xml:space="preserve">HIPÓTESE 2 - QUANDO HÁ URGÊNCIA NA CONTRATAÇÃO</w:t>
      </w:r>
    </w:p>
    <w:p w:rsidR="00000000" w:rsidDel="00000000" w:rsidP="00000000" w:rsidRDefault="00000000" w:rsidRPr="00000000" w14:paraId="00000021">
      <w:pPr>
        <w:jc w:val="both"/>
        <w:rPr>
          <w:color w:val="ff0000"/>
        </w:rPr>
      </w:pPr>
      <w:r w:rsidDel="00000000" w:rsidR="00000000" w:rsidRPr="00000000">
        <w:rPr>
          <w:color w:val="ff0000"/>
          <w:rtl w:val="0"/>
        </w:rPr>
        <w:t xml:space="preserve">O atendimento à necessidade da Administração, que constitui o objeto da presente contratação, deve ocorrer com a máxima urgência, tornando contraproducente a observância de todos trâmites inerentes à modalidade de dispensa eletrônica, notadamente a inserção de documentos no sistema compras.gov, a observância dos prazos para apresentação de propostas, etc. A adoção de tal procedimento poderia comprometer a efetividade da resposta administrativa, acarretando prejuízos ao interesse público, uma vez que teriam que ser considerados prazos mais dilatados. Assim, justifica-se a contratação direta sem disputa.</w:t>
      </w:r>
    </w:p>
    <w:p w:rsidR="00000000" w:rsidDel="00000000" w:rsidP="00000000" w:rsidRDefault="00000000" w:rsidRPr="00000000" w14:paraId="00000022">
      <w:pPr>
        <w:jc w:val="both"/>
        <w:rPr>
          <w:color w:val="ff0000"/>
        </w:rPr>
      </w:pPr>
      <w:r w:rsidDel="00000000" w:rsidR="00000000" w:rsidRPr="00000000">
        <w:rPr>
          <w:rtl w:val="0"/>
        </w:rPr>
      </w:r>
    </w:p>
    <w:p w:rsidR="00000000" w:rsidDel="00000000" w:rsidP="00000000" w:rsidRDefault="00000000" w:rsidRPr="00000000" w14:paraId="00000023">
      <w:pPr>
        <w:jc w:val="both"/>
        <w:rPr>
          <w:color w:val="ff0000"/>
        </w:rPr>
      </w:pPr>
      <w:r w:rsidDel="00000000" w:rsidR="00000000" w:rsidRPr="00000000">
        <w:rPr>
          <w:rtl w:val="0"/>
        </w:rPr>
      </w:r>
    </w:p>
    <w:p w:rsidR="00000000" w:rsidDel="00000000" w:rsidP="00000000" w:rsidRDefault="00000000" w:rsidRPr="00000000" w14:paraId="00000024">
      <w:pPr>
        <w:jc w:val="both"/>
        <w:rPr>
          <w:i w:val="1"/>
          <w:iCs w:val="1"/>
          <w:color w:val="ff0000"/>
        </w:rPr>
      </w:pPr>
      <w:r w:rsidDel="00000000" w:rsidR="00000000" w:rsidRPr="00000000">
        <w:rPr>
          <w:i w:val="1"/>
          <w:iCs w:val="1"/>
          <w:color w:val="ff0000"/>
          <w:rtl w:val="0"/>
        </w:rPr>
        <w:t xml:space="preserve">HIPÓTESE 3 - QUANDO O OBJETO ESPECÍFICO PARA O IFRS</w:t>
      </w:r>
      <w:r w:rsidDel="00000000" w:rsidR="00000000" w:rsidRPr="00000000">
        <w:rPr>
          <w:rtl w:val="0"/>
        </w:rPr>
      </w:r>
    </w:p>
    <w:p w:rsidR="00000000" w:rsidDel="00000000" w:rsidP="00000000" w:rsidRDefault="00000000" w:rsidRPr="00000000" w14:paraId="00000025">
      <w:pPr>
        <w:jc w:val="both"/>
        <w:rPr>
          <w:color w:val="ff0000"/>
        </w:rPr>
      </w:pPr>
      <w:r w:rsidDel="00000000" w:rsidR="00000000" w:rsidRPr="00000000">
        <w:rPr>
          <w:color w:val="ff0000"/>
          <w:rtl w:val="0"/>
        </w:rPr>
        <w:t xml:space="preserve">A demanda específica do Campus xxxxx do IFRS, que motiva esta contratação, apresenta peculiaridades (notadamente xxxxxxx) que inviabilizam a participação de empresas de fora da região.</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color w:val="ff0000"/>
        </w:rPr>
      </w:pPr>
      <w:r w:rsidDel="00000000" w:rsidR="00000000" w:rsidRPr="00000000">
        <w:rPr>
          <w:color w:val="ff0000"/>
          <w:rtl w:val="0"/>
        </w:rPr>
        <w:t xml:space="preserve">Declaramos ainda que o Sistema de Registro de Preços não foi utilizado, visto que este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color w:val="ff0000"/>
        </w:rPr>
      </w:pPr>
      <w:r w:rsidDel="00000000" w:rsidR="00000000" w:rsidRPr="00000000">
        <w:rPr>
          <w:color w:val="ff0000"/>
          <w:rtl w:val="0"/>
        </w:rPr>
        <w:t xml:space="preserve">processo só contempla a demanda do Campus xxxxx, o que difere da definição de SRP, nos termos do Art. 4, inciso IV da IN SEGES nº 67/2021.</w:t>
      </w:r>
      <w:r w:rsidDel="00000000" w:rsidR="00000000" w:rsidRPr="00000000">
        <w:rPr>
          <w:rtl w:val="0"/>
        </w:rPr>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jc w:val="both"/>
        <w:rPr>
          <w:i w:val="1"/>
          <w:iCs w:val="1"/>
          <w:color w:val="ff0000"/>
        </w:rPr>
      </w:pPr>
      <w:r w:rsidDel="00000000" w:rsidR="00000000" w:rsidRPr="00000000">
        <w:rPr>
          <w:i w:val="1"/>
          <w:iCs w:val="1"/>
          <w:color w:val="ff0000"/>
          <w:rtl w:val="0"/>
        </w:rPr>
        <w:t xml:space="preserve">HIPÓTESE 4 - QUANDO SERVIÇO COM BASE NO DESEMPENHO ANTERIOR</w:t>
      </w:r>
    </w:p>
    <w:p w:rsidR="00000000" w:rsidDel="00000000" w:rsidP="00000000" w:rsidRDefault="00000000" w:rsidRPr="00000000" w14:paraId="0000002B">
      <w:pPr>
        <w:jc w:val="both"/>
        <w:rPr>
          <w:color w:val="ff0000"/>
        </w:rPr>
      </w:pPr>
      <w:r w:rsidDel="00000000" w:rsidR="00000000" w:rsidRPr="00000000">
        <w:rPr>
          <w:color w:val="ff0000"/>
          <w:rtl w:val="0"/>
        </w:rPr>
        <w:t xml:space="preserve">Se observarmos as exigências legais para o processo de contratação direta, vamos notar</w:t>
      </w:r>
    </w:p>
    <w:p w:rsidR="00000000" w:rsidDel="00000000" w:rsidP="00000000" w:rsidRDefault="00000000" w:rsidRPr="00000000" w14:paraId="0000002C">
      <w:pPr>
        <w:jc w:val="both"/>
        <w:rPr>
          <w:color w:val="ff0000"/>
        </w:rPr>
      </w:pPr>
      <w:r w:rsidDel="00000000" w:rsidR="00000000" w:rsidRPr="00000000">
        <w:rPr>
          <w:color w:val="ff0000"/>
          <w:rtl w:val="0"/>
        </w:rPr>
        <w:t xml:space="preserve">que no art. 72 da Lei n. 14.133/2021 exige-se a indicação da "razão da escolha do contratado", que pode ser entendida equivocadamente com alguma espécie de disputa. Em que pese a disputa (processo eletrônico) poder sim justificar a escolha do fornecedor (mesmo ela não sendo obrigatória), há outras formas legítimas de se justificar, afastando a exigência de isonomia.</w:t>
      </w:r>
    </w:p>
    <w:p w:rsidR="00000000" w:rsidDel="00000000" w:rsidP="00000000" w:rsidRDefault="00000000" w:rsidRPr="00000000" w14:paraId="0000002D">
      <w:pPr>
        <w:jc w:val="both"/>
        <w:rPr>
          <w:color w:val="ff0000"/>
        </w:rPr>
      </w:pPr>
      <w:r w:rsidDel="00000000" w:rsidR="00000000" w:rsidRPr="00000000">
        <w:rPr>
          <w:color w:val="ff0000"/>
          <w:rtl w:val="0"/>
        </w:rPr>
        <w:t xml:space="preserve">No caso em tela , xxxxxxx (DESCREVER O OBJETO) justificamos a não adoção da Dispensa, em sua forma eletrônica, em razão das empresas que participaram da pesquisa de preços, possuírem desempenho anterior comprovado na execução contratual junto ao IFRS - Campus xxxx, nos termos do § 3º do art. 88 da Lei n. 14.133/2021:</w:t>
      </w:r>
    </w:p>
    <w:p w:rsidR="00000000" w:rsidDel="00000000" w:rsidP="00000000" w:rsidRDefault="00000000" w:rsidRPr="00000000" w14:paraId="0000002E">
      <w:pPr>
        <w:ind w:left="1700.7874015748032" w:firstLine="0"/>
        <w:jc w:val="both"/>
        <w:rPr>
          <w:i w:val="1"/>
          <w:iCs w:val="1"/>
          <w:color w:val="ff0000"/>
          <w:sz w:val="20"/>
          <w:szCs w:val="20"/>
        </w:rPr>
      </w:pPr>
      <w:r w:rsidDel="00000000" w:rsidR="00000000" w:rsidRPr="00000000">
        <w:rPr>
          <w:i w:val="1"/>
          <w:iCs w:val="1"/>
          <w:color w:val="ff0000"/>
          <w:sz w:val="20"/>
          <w:szCs w:val="20"/>
          <w:rtl w:val="0"/>
        </w:rPr>
        <w:t xml:space="preserve">§ 3º A atuação do contratado no cumprimento de obrigações assumidas será avaliada pelo contratante, que emitirá documento comprobatório da avaliação realizada, com menção ao seu desempenho na execução contratual, baseado em indicadores objetivamente definidos e aferidos, e a eventuais penalidades aplicadas, o que constará do registro cadastral em que a inscrição for realizada.</w:t>
      </w:r>
    </w:p>
    <w:p w:rsidR="00000000" w:rsidDel="00000000" w:rsidP="00000000" w:rsidRDefault="00000000" w:rsidRPr="00000000" w14:paraId="0000002F">
      <w:pPr>
        <w:ind w:left="0" w:firstLine="0"/>
        <w:jc w:val="both"/>
        <w:rPr>
          <w:i w:val="1"/>
          <w:iCs w:val="1"/>
          <w:color w:val="ff0000"/>
          <w:sz w:val="20"/>
          <w:szCs w:val="20"/>
        </w:rPr>
      </w:pPr>
      <w:r w:rsidDel="00000000" w:rsidR="00000000" w:rsidRPr="00000000">
        <w:rPr>
          <w:rtl w:val="0"/>
        </w:rPr>
      </w:r>
    </w:p>
    <w:p w:rsidR="00000000" w:rsidDel="00000000" w:rsidP="00000000" w:rsidRDefault="00000000" w:rsidRPr="00000000" w14:paraId="00000030">
      <w:pPr>
        <w:ind w:left="0" w:firstLine="0"/>
        <w:jc w:val="both"/>
        <w:rPr>
          <w:i w:val="1"/>
          <w:iCs w:val="1"/>
          <w:color w:val="ff0000"/>
          <w:sz w:val="20"/>
          <w:szCs w:val="20"/>
        </w:rPr>
      </w:pPr>
      <w:r w:rsidDel="00000000" w:rsidR="00000000" w:rsidRPr="00000000">
        <w:rPr>
          <w:i w:val="1"/>
          <w:iCs w:val="1"/>
          <w:color w:val="ff0000"/>
          <w:sz w:val="20"/>
          <w:szCs w:val="20"/>
          <w:rtl w:val="0"/>
        </w:rPr>
        <w:t xml:space="preserve">(APRESENTAR OS DADOS/INFORMAÇÕES QUE EMBASAM O DESEMPENHO ANTERIOR)</w:t>
      </w:r>
    </w:p>
    <w:p w:rsidR="00000000" w:rsidDel="00000000" w:rsidP="00000000" w:rsidRDefault="00000000" w:rsidRPr="00000000" w14:paraId="00000031">
      <w:pPr>
        <w:ind w:left="0" w:firstLine="0"/>
        <w:jc w:val="both"/>
        <w:rPr>
          <w:i w:val="1"/>
          <w:iCs w:val="1"/>
          <w:color w:val="ff0000"/>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