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  <w:highlight w:val="white"/>
        </w:rPr>
      </w:pPr>
      <w:bookmarkStart w:colFirst="0" w:colLast="0" w:name="_heading=h.jsquhmh3n6b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INSTRUMENTO DE MEDIÇÃO DE RESULTADOS (IMR) – PREGÃO N. 90027/2025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i w:val="0"/>
          <w:smallCaps w:val="0"/>
          <w:strike w:val="0"/>
          <w:color w:val="000000"/>
          <w:sz w:val="18"/>
          <w:szCs w:val="18"/>
          <w:highlight w:val="white"/>
          <w:vertAlign w:val="baseline"/>
        </w:rPr>
      </w:pP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DA DEFINIÇÃO: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Este documento apresenta os critérios de avaliação da qualidade dos serviços, identificando indicadores, metas, mecanismos de cálculo, forma de acompanhamento e adequações de pagamento por eventual não atendimento das metas estabelecidas.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Este anexo é parte indissociável do Contrato, firmado a partir do </w:t>
      </w:r>
      <w:r w:rsidDel="00000000" w:rsidR="00000000" w:rsidRPr="00000000">
        <w:rPr>
          <w:sz w:val="18"/>
          <w:szCs w:val="18"/>
          <w:rtl w:val="0"/>
        </w:rPr>
        <w:t xml:space="preserve">Pregão Eletrônico nº 90027/2025.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Na utilização do referido Instrumento de Medição serão observadas as cláusulas e disposições contidas no Termo de Referência – Anexo I deste Edital.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before="8.817138671875" w:line="360" w:lineRule="auto"/>
        <w:ind w:left="0" w:right="11.67236328125" w:hanging="36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 ADEQUAÇÃO DO PAGAMENTO: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A</w:t>
      </w:r>
      <w:r w:rsidDel="00000000" w:rsidR="00000000" w:rsidRPr="00000000">
        <w:rPr>
          <w:sz w:val="18"/>
          <w:szCs w:val="18"/>
          <w:rtl w:val="0"/>
        </w:rPr>
        <w:t xml:space="preserve"> aferição dos serviços será realizada sempre </w:t>
      </w:r>
      <w:r w:rsidDel="00000000" w:rsidR="00000000" w:rsidRPr="00000000">
        <w:rPr>
          <w:b w:val="1"/>
          <w:sz w:val="18"/>
          <w:szCs w:val="18"/>
          <w:rtl w:val="0"/>
        </w:rPr>
        <w:t xml:space="preserve">até o 1º (primeiro) dia do  mês subsequente</w:t>
      </w:r>
      <w:r w:rsidDel="00000000" w:rsidR="00000000" w:rsidRPr="00000000">
        <w:rPr>
          <w:sz w:val="18"/>
          <w:szCs w:val="18"/>
          <w:rtl w:val="0"/>
        </w:rPr>
        <w:t xml:space="preserve"> ao da prestação dos serviços, sob a responsabilidade do fiscal técnico do contrato.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Até</w:t>
      </w:r>
      <w:r w:rsidDel="00000000" w:rsidR="00000000" w:rsidRPr="00000000">
        <w:rPr>
          <w:b w:val="1"/>
          <w:color w:val="222222"/>
          <w:sz w:val="18"/>
          <w:szCs w:val="18"/>
          <w:highlight w:val="white"/>
          <w:rtl w:val="0"/>
        </w:rPr>
        <w:t xml:space="preserve"> o dia 05 de cada mês </w:t>
      </w:r>
      <w:r w:rsidDel="00000000" w:rsidR="00000000" w:rsidRPr="00000000">
        <w:rPr>
          <w:color w:val="222222"/>
          <w:sz w:val="18"/>
          <w:szCs w:val="18"/>
          <w:highlight w:val="white"/>
          <w:rtl w:val="0"/>
        </w:rPr>
        <w:t xml:space="preserve">o fiscal técnico enviará a avaliação para a empresa, dando transparência e ciência do resultado obtido.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A</w:t>
      </w:r>
      <w:r w:rsidDel="00000000" w:rsidR="00000000" w:rsidRPr="00000000">
        <w:rPr>
          <w:color w:val="222222"/>
          <w:sz w:val="18"/>
          <w:szCs w:val="18"/>
          <w:highlight w:val="white"/>
          <w:rtl w:val="0"/>
        </w:rPr>
        <w:t xml:space="preserve"> CONTRATADA </w:t>
      </w:r>
      <w:r w:rsidDel="00000000" w:rsidR="00000000" w:rsidRPr="00000000">
        <w:rPr>
          <w:b w:val="1"/>
          <w:color w:val="222222"/>
          <w:sz w:val="18"/>
          <w:szCs w:val="18"/>
          <w:highlight w:val="white"/>
          <w:rtl w:val="0"/>
        </w:rPr>
        <w:t xml:space="preserve">terá 2 (dois) dias,</w:t>
      </w:r>
      <w:r w:rsidDel="00000000" w:rsidR="00000000" w:rsidRPr="00000000">
        <w:rPr>
          <w:color w:val="222222"/>
          <w:sz w:val="18"/>
          <w:szCs w:val="18"/>
          <w:highlight w:val="white"/>
          <w:rtl w:val="0"/>
        </w:rPr>
        <w:t xml:space="preserve"> a contar do recebimento do documento/e-mail, para apresentar justificativa para a prestação do serviço com menor nível de conformidade, que poderá ser aceita pelo CONTRATANTE, desde que comprovada a excepcionalidade da ocorrência, resultante exclusivamente de fatores imprevisíveis e alheios ao controle do prestador.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Não</w:t>
      </w:r>
      <w:r w:rsidDel="00000000" w:rsidR="00000000" w:rsidRPr="00000000">
        <w:rPr>
          <w:sz w:val="18"/>
          <w:szCs w:val="18"/>
          <w:rtl w:val="0"/>
        </w:rPr>
        <w:t xml:space="preserve"> será necessária a abertura de processo administrativo para  adequação do pagamento.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360" w:lineRule="auto"/>
        <w:ind w:left="0" w:right="11.67236328125" w:hanging="36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METODOLOGIA DE APLICAÇÃO DO IMR: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O</w:t>
      </w:r>
      <w:r w:rsidDel="00000000" w:rsidR="00000000" w:rsidRPr="00000000">
        <w:rPr>
          <w:sz w:val="18"/>
          <w:szCs w:val="18"/>
          <w:rtl w:val="0"/>
        </w:rPr>
        <w:t xml:space="preserve"> IMR será aplicado concomitantemente com possíveis glosas, mediante a  seguinte fórmula: 100% do valor contratado X percentual aferido no IMR - glosas = valor a ser  pago. Exemplo: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9.13330078125" w:line="360" w:lineRule="auto"/>
        <w:ind w:left="850.3937007874017" w:right="8.14453125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6.8182373046875" w:line="360" w:lineRule="auto"/>
        <w:ind w:left="850.3937007874017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100% do valor contratado = R$ 10.000,00. </w:t>
      </w:r>
    </w:p>
    <w:p w:rsidR="00000000" w:rsidDel="00000000" w:rsidP="00000000" w:rsidRDefault="00000000" w:rsidRPr="00000000" w14:paraId="00000014">
      <w:pPr>
        <w:widowControl w:val="0"/>
        <w:spacing w:before="19.13330078125" w:line="360" w:lineRule="auto"/>
        <w:ind w:left="850.3937007874017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Percentual apurado no IMR = 90% </w:t>
      </w:r>
    </w:p>
    <w:p w:rsidR="00000000" w:rsidDel="00000000" w:rsidP="00000000" w:rsidRDefault="00000000" w:rsidRPr="00000000" w14:paraId="00000015">
      <w:pPr>
        <w:widowControl w:val="0"/>
        <w:spacing w:before="19.1326904296875" w:line="360" w:lineRule="auto"/>
        <w:ind w:left="850.3937007874017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Glosas: R$ 100,00 </w:t>
      </w:r>
    </w:p>
    <w:p w:rsidR="00000000" w:rsidDel="00000000" w:rsidP="00000000" w:rsidRDefault="00000000" w:rsidRPr="00000000" w14:paraId="00000016">
      <w:pPr>
        <w:widowControl w:val="0"/>
        <w:spacing w:before="19.1326904296875" w:line="360" w:lineRule="auto"/>
        <w:ind w:left="850.3937007874017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Valor ajustado pelo IMR = R$ 10.000 X 90% = R$ 9.000,00 </w:t>
      </w:r>
    </w:p>
    <w:p w:rsidR="00000000" w:rsidDel="00000000" w:rsidP="00000000" w:rsidRDefault="00000000" w:rsidRPr="00000000" w14:paraId="00000017">
      <w:pPr>
        <w:widowControl w:val="0"/>
        <w:spacing w:before="19.1326904296875" w:line="360" w:lineRule="auto"/>
        <w:ind w:left="850.3937007874017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Valor a ser pago: R$ 9.000,00 - R$ 100,00 = R$ 8.900,00.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360" w:lineRule="auto"/>
        <w:ind w:left="0" w:right="11.67236328125" w:hanging="36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DOS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INDICADORES, DAS METAS E DOS MECANISMOS DE CÁLCULO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Os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serviços e produtos da CONTRATADA serão avaliados por meio de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sete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indicadores de qualidade: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fornecimento de uniformes e E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PIs,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uso dos uniformes e EPIs, tempo de resposta às solicitações do contratante, reposição de profissional ausente, 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entrega de equipamentos e insumos, do pagamentos do salário e outros benefícios 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qualidade dos serviços prestados.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Aos indicadores serão atribuídos pontos de qualidade, conforme critérios apresentados nas tabelas abaixo.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i w:val="0"/>
          <w:smallCaps w:val="0"/>
          <w:strike w:val="0"/>
          <w:color w:val="000000"/>
          <w:sz w:val="18"/>
          <w:szCs w:val="18"/>
          <w:highlight w:val="whit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Cada indicador contribui com uma quantidade diferenciada de pontos de qualidade. Essa diferença está relacionada à essencialidade do indicador para a qualidade dos serviços.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i w:val="0"/>
          <w:smallCaps w:val="0"/>
          <w:strike w:val="0"/>
          <w:color w:val="000000"/>
          <w:sz w:val="18"/>
          <w:szCs w:val="18"/>
          <w:highlight w:val="whit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A pontuação final de qualidade dos serviços pode resultar em valores entre 0 (zero) e 100 (cem), correspondentes respectivamente às situações de serviço desprovido de qualidade e serviço com qualidade elevada.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i w:val="0"/>
          <w:smallCaps w:val="0"/>
          <w:strike w:val="0"/>
          <w:color w:val="000000"/>
          <w:sz w:val="18"/>
          <w:szCs w:val="18"/>
          <w:highlight w:val="whit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Para ajuste de pagamento não será necessário a abertura de processo administrativo. Para aplicação das multas acima estabelecidas será garantida a ampla defesa e o contraditório.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As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tabelas abaixo apresentam os indicadores, as metas, os critérios e os mecanismos de cálculo da pontuação de qualidade.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5" w:tblpY="0"/>
        <w:tblW w:w="856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5"/>
        <w:gridCol w:w="3924.0000000000005"/>
        <w:gridCol w:w="1520.9999999999995"/>
        <w:gridCol w:w="1125"/>
        <w:tblGridChange w:id="0">
          <w:tblGrid>
            <w:gridCol w:w="1995"/>
            <w:gridCol w:w="3924.0000000000005"/>
            <w:gridCol w:w="1520.9999999999995"/>
            <w:gridCol w:w="112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4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right="-58.937007874014284"/>
              <w:jc w:val="center"/>
              <w:rPr>
                <w:b w:val="1"/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highlight w:val="white"/>
                <w:rtl w:val="0"/>
              </w:rPr>
              <w:t xml:space="preserve">INDICADOR 1 – FORNECIMENTO DOS UNIFORMES E EPIs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ITEM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Finalidade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spacing w:after="240" w:before="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Garantir a devida uniformização dos funcionários da Contratada e atender às exigências específicas relacionadas à segurança do trabalho que envolvem a prestação dos serviços.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Meta a cumprir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spacing w:after="240" w:before="60" w:lineRule="auto"/>
              <w:ind w:left="20" w:firstLine="0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Entrega total de materiais solicitados no termo de referência anexo ao edital garantindo a excelência no serviço prestado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Instrumento de medição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Constatação formal de ocorrências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Forma de Acompanhamento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spacing w:after="240" w:before="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Conferência da entrega de materiais através do envio de documento com a relação dos Uniformes e EPIs entregues aos profissionais (assinado)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Periodicidade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8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Mensal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Mecanismo de Cálculo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Verificação da quantidade de ocorrências registradas no mês de referência.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Início de Vigência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0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 partir do início da prestação do serviço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Faixas de ajuste no pagamento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240" w:before="60" w:line="259.2000000000001" w:lineRule="auto"/>
              <w:ind w:left="100" w:right="80" w:firstLine="0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Fornecer conjunto completo de uniforme e epi’s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spacing w:after="240" w:before="24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10 pontos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240" w:before="60" w:line="259.2000000000001" w:lineRule="auto"/>
              <w:ind w:left="100" w:right="80" w:firstLine="0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Deixar de fornecer uniformes e epi’s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spacing w:after="240" w:before="240" w:line="254.4" w:lineRule="auto"/>
              <w:ind w:left="283.4645669291335" w:firstLine="0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 ocorrência: 08 pontos</w:t>
            </w:r>
          </w:p>
          <w:p w:rsidR="00000000" w:rsidDel="00000000" w:rsidP="00000000" w:rsidRDefault="00000000" w:rsidRPr="00000000" w14:paraId="0000004B">
            <w:pPr>
              <w:spacing w:after="240" w:before="240" w:line="254.4" w:lineRule="auto"/>
              <w:ind w:left="283.4645669291335" w:firstLine="0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2 ocorrências:  06 pontos</w:t>
            </w:r>
          </w:p>
          <w:p w:rsidR="00000000" w:rsidDel="00000000" w:rsidP="00000000" w:rsidRDefault="00000000" w:rsidRPr="00000000" w14:paraId="0000004C">
            <w:pPr>
              <w:spacing w:after="240" w:before="240" w:line="254.4" w:lineRule="auto"/>
              <w:ind w:left="283.4645669291335" w:firstLine="0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3 ocorrências: 04  pontos</w:t>
            </w:r>
          </w:p>
          <w:p w:rsidR="00000000" w:rsidDel="00000000" w:rsidP="00000000" w:rsidRDefault="00000000" w:rsidRPr="00000000" w14:paraId="0000004D">
            <w:pPr>
              <w:spacing w:after="240" w:before="240" w:line="254.4" w:lineRule="auto"/>
              <w:ind w:left="283.4645669291335" w:firstLine="0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4 ocorrências ou mais: 2 pontos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40" w:before="60" w:line="259.2000000000001" w:lineRule="auto"/>
              <w:ind w:left="105" w:right="80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Deixar de fornecer conjunto completo de uniforme e epi’s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spacing w:after="240" w:before="240" w:line="259.2000000000001" w:lineRule="auto"/>
              <w:ind w:left="283.4645669291335" w:hanging="15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 pontos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Sanções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4">
            <w:pPr>
              <w:jc w:val="both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Glosa mensal dos produtos não entregues.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Observações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8">
            <w:pPr>
              <w:widowControl w:val="0"/>
              <w:ind w:left="87.4237060546875" w:firstLine="0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30.399999618530273"/>
                <w:szCs w:val="30.399999618530273"/>
                <w:highlight w:val="white"/>
                <w:vertAlign w:val="superscript"/>
                <w:rtl w:val="0"/>
              </w:rPr>
              <w:t xml:space="preserve">Nos dois primeiros meses sua validade será meramente para fins de </w:t>
            </w:r>
            <w:r w:rsidDel="00000000" w:rsidR="00000000" w:rsidRPr="00000000">
              <w:rPr>
                <w:sz w:val="18.239999771118164"/>
                <w:szCs w:val="18.239999771118164"/>
                <w:highlight w:val="white"/>
                <w:rtl w:val="0"/>
              </w:rPr>
              <w:t xml:space="preserve">orientação e adaptação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line="360" w:lineRule="auto"/>
        <w:ind w:left="0" w:firstLine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left="0" w:firstLine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30.000000000000142" w:tblpY="0"/>
        <w:tblW w:w="852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45"/>
        <w:gridCol w:w="3930"/>
        <w:gridCol w:w="1515"/>
        <w:gridCol w:w="330"/>
        <w:tblGridChange w:id="0">
          <w:tblGrid>
            <w:gridCol w:w="2745"/>
            <w:gridCol w:w="3930"/>
            <w:gridCol w:w="1515"/>
            <w:gridCol w:w="33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4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ind w:right="-58.937007874014284"/>
              <w:jc w:val="center"/>
              <w:rPr>
                <w:b w:val="1"/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highlight w:val="white"/>
                <w:rtl w:val="0"/>
              </w:rPr>
              <w:t xml:space="preserve">INDICADOR 2 – USO DOS UNIFORMES E EPIs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ITEM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2">
            <w:pPr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Finalidade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6">
            <w:pPr>
              <w:spacing w:after="240" w:before="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Garantir a devida uniformização dos funcionários da Contratada e atender às exigências específicas relacionadas à segurança do trabalho que envolvem a prestação dos serviços.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Meta a cumprir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A">
            <w:pPr>
              <w:spacing w:after="240" w:before="60" w:lineRule="auto"/>
              <w:ind w:left="20" w:firstLine="0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100% dos funcionários adequadamente uniformizados e uso de EPI’s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Instrumento de medição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E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Constatação formal de ocorrências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Forma de Acompanhamento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2">
            <w:pPr>
              <w:spacing w:after="240" w:before="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Visual, pelo Fiscal do contrato e responsáveis pelos setores.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Periodicidade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7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Diária, com aferição mensal do resultado.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Mecanismo de Cálculo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B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Verificação da quantidade de ocorrências registradas no mês de referência (pessoa/dia)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Início de Vigência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F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 partir do início da prestação do serviço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Faixas de ajuste no pagamento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240" w:before="60" w:line="259.2000000000001" w:lineRule="auto"/>
              <w:ind w:left="100" w:right="80" w:firstLine="0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Uso de conjunto completo de uniforme e epi’s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spacing w:after="240" w:before="24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10 pontos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240" w:before="60" w:line="259.2000000000001" w:lineRule="auto"/>
              <w:ind w:left="100" w:right="80" w:firstLine="0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Não utilização do uniforme, sem a devida justificativa.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spacing w:after="240" w:before="240" w:line="254.4" w:lineRule="auto"/>
              <w:ind w:left="283.4645669291335" w:firstLine="0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 ocorrência: 08 pontos</w:t>
            </w:r>
          </w:p>
          <w:p w:rsidR="00000000" w:rsidDel="00000000" w:rsidP="00000000" w:rsidRDefault="00000000" w:rsidRPr="00000000" w14:paraId="0000008A">
            <w:pPr>
              <w:spacing w:after="240" w:before="240" w:line="254.4" w:lineRule="auto"/>
              <w:ind w:left="283.4645669291335" w:firstLine="0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2 ocorrências: 06 pontos</w:t>
            </w:r>
          </w:p>
          <w:p w:rsidR="00000000" w:rsidDel="00000000" w:rsidP="00000000" w:rsidRDefault="00000000" w:rsidRPr="00000000" w14:paraId="0000008B">
            <w:pPr>
              <w:spacing w:after="240" w:before="240" w:line="254.4" w:lineRule="auto"/>
              <w:ind w:left="283.4645669291335" w:firstLine="0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3 ocorrências: 04 pontos</w:t>
            </w:r>
          </w:p>
          <w:p w:rsidR="00000000" w:rsidDel="00000000" w:rsidP="00000000" w:rsidRDefault="00000000" w:rsidRPr="00000000" w14:paraId="0000008C">
            <w:pPr>
              <w:spacing w:after="240" w:before="240" w:line="254.4" w:lineRule="auto"/>
              <w:ind w:left="283.4645669291335" w:firstLine="0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4 ocorrências ou mais: 2 pontos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240" w:before="60" w:line="259.2000000000001" w:lineRule="auto"/>
              <w:ind w:left="105" w:right="80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Deixar de usar conjunto completo de uniforme e epi’s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spacing w:after="240" w:before="240" w:line="259.2000000000001" w:lineRule="auto"/>
              <w:ind w:left="283.4645669291335" w:hanging="15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 pontos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Sanções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3">
            <w:pPr>
              <w:jc w:val="both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Empresa será notificada para ajuste junto a equipe terceirizada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Observações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7">
            <w:pPr>
              <w:widowControl w:val="0"/>
              <w:ind w:left="87.4237060546875" w:firstLine="0"/>
              <w:rPr>
                <w:sz w:val="30.399999618530273"/>
                <w:szCs w:val="30.399999618530273"/>
                <w:highlight w:val="white"/>
                <w:vertAlign w:val="superscript"/>
              </w:rPr>
            </w:pPr>
            <w:r w:rsidDel="00000000" w:rsidR="00000000" w:rsidRPr="00000000">
              <w:rPr>
                <w:sz w:val="18.239999771118164"/>
                <w:szCs w:val="18.239999771118164"/>
                <w:highlight w:val="white"/>
                <w:rtl w:val="0"/>
              </w:rPr>
              <w:t xml:space="preserve"> Nos dois primeiros meses sua validade será meramente para fins de orientação e adaptação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ind w:left="720" w:firstLine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Ind w:w="-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5"/>
        <w:gridCol w:w="5565"/>
        <w:tblGridChange w:id="0">
          <w:tblGrid>
            <w:gridCol w:w="3075"/>
            <w:gridCol w:w="5565"/>
          </w:tblGrid>
        </w:tblGridChange>
      </w:tblGrid>
      <w:tr>
        <w:trPr>
          <w:cantSplit w:val="0"/>
          <w:trHeight w:val="1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highlight w:val="white"/>
                <w:rtl w:val="0"/>
              </w:rPr>
              <w:t xml:space="preserve">INDICADOR 3 - TEMPO DE RESPOSTA ÀS SOLICITAÇÕES DA CONTRATANTE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Finalidade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Mensurar o tempo de resposta às solicitações da contratante.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Meta a cumprir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Até dia útil posterior à solicitação.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Instrumento de medição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Constatação formal de ocorrências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Forma de Acompanhamento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Pessoal. Pelo fiscal do contrato.</w:t>
            </w:r>
          </w:p>
        </w:tc>
      </w:tr>
      <w:tr>
        <w:trPr>
          <w:cantSplit w:val="0"/>
          <w:trHeight w:val="175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Periodicidade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Por evento/solicitação à contratante.</w:t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Mecanismo de Cálculo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Verificação da quantidade de ocorrências registradas com tempo de resposta superior a meta. 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Início de Vigência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 partir do início da prestação do serviço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Faixas de ajuste no pagamento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Sem atrasos: 15 pontos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 resposta com atraso: 12 pontos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2  respostas com atraso: 09 pontos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3 respostas com atraso: 06 pontos</w:t>
            </w:r>
          </w:p>
          <w:p w:rsidR="00000000" w:rsidDel="00000000" w:rsidP="00000000" w:rsidRDefault="00000000" w:rsidRPr="00000000" w14:paraId="000000B2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4  ou mais com atraso: 0 pontos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Sanções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both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 serem definidas pela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Observações</w:t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line="227.979154586792" w:lineRule="auto"/>
              <w:ind w:left="87.60589599609375" w:right="178.47412109375" w:firstLine="2.5537109375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O que se busca com esse indicador é obter ciência e comprometimento  quanto a resolução das demandas levantadas pela contratante o mais  breve possível, mesmo que a resolução definitiva de determinada  demanda se dê em maior  tempo.</w:t>
            </w:r>
          </w:p>
        </w:tc>
      </w:tr>
    </w:tbl>
    <w:p w:rsidR="00000000" w:rsidDel="00000000" w:rsidP="00000000" w:rsidRDefault="00000000" w:rsidRPr="00000000" w14:paraId="000000B7">
      <w:pPr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73.511811023625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58.3582763633003"/>
        <w:gridCol w:w="2757.5767673301625"/>
        <w:gridCol w:w="2757.5767673301625"/>
        <w:tblGridChange w:id="0">
          <w:tblGrid>
            <w:gridCol w:w="3058.3582763633003"/>
            <w:gridCol w:w="2757.5767673301625"/>
            <w:gridCol w:w="2757.576767330162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highlight w:val="white"/>
                <w:rtl w:val="0"/>
              </w:rPr>
              <w:t xml:space="preserve">INDICADOR 4 –  REPOSIÇÃO DE PROFISSIONAL AUSENTE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ITEM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Finalidade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spacing w:after="240" w:before="60" w:line="259.2000000000001" w:lineRule="auto"/>
              <w:ind w:left="60" w:right="40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Garantir a quantidade de serventes necessários(as) à plena execução da prestação dos serviços de limpeza e conduta compatível com o objeto e local da prestação de serviços.</w:t>
            </w:r>
          </w:p>
          <w:p w:rsidR="00000000" w:rsidDel="00000000" w:rsidP="00000000" w:rsidRDefault="00000000" w:rsidRPr="00000000" w14:paraId="000000C0">
            <w:pPr>
              <w:spacing w:after="240" w:before="60" w:line="259.2000000000001" w:lineRule="auto"/>
              <w:ind w:left="60" w:right="40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Em caso de ausência de colaboradores, a empresa deve substituir imediatamente.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Meta a cumprir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3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100% dos colaboradores, diariamente.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Instrumento de medição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6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Controle de ponto (vedado o ponto escrito) e conferência local.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Forma de Acompanhamento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Visual, pelo fiscal de contrato e através do controle de ponto.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Periodicidade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Diária.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Mecanismo de Cálculo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Será verificada a frequência dos colaboradores e descontado conforme faixa de ajuste.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Início de Vigência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 partir do início da prestação do serviço</w:t>
            </w:r>
          </w:p>
        </w:tc>
      </w:tr>
      <w:tr>
        <w:trPr>
          <w:cantSplit w:val="0"/>
          <w:trHeight w:val="1464.84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Faixas de ajuste no pagamento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Falta do profissional sem reposição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Sem ocorrências: 15 pontos</w:t>
            </w:r>
          </w:p>
          <w:p w:rsidR="00000000" w:rsidDel="00000000" w:rsidP="00000000" w:rsidRDefault="00000000" w:rsidRPr="00000000" w14:paraId="000000D7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 ocorrência: 12 pontos</w:t>
            </w:r>
          </w:p>
          <w:p w:rsidR="00000000" w:rsidDel="00000000" w:rsidP="00000000" w:rsidRDefault="00000000" w:rsidRPr="00000000" w14:paraId="000000D8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2 ocorrências: 09 pontos</w:t>
            </w:r>
          </w:p>
          <w:p w:rsidR="00000000" w:rsidDel="00000000" w:rsidP="00000000" w:rsidRDefault="00000000" w:rsidRPr="00000000" w14:paraId="000000D9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3 ocorrências: 06 pontos </w:t>
            </w:r>
          </w:p>
          <w:p w:rsidR="00000000" w:rsidDel="00000000" w:rsidP="00000000" w:rsidRDefault="00000000" w:rsidRPr="00000000" w14:paraId="000000DA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4 ocorrências ou mais: 0 pontos</w:t>
            </w:r>
          </w:p>
          <w:p w:rsidR="00000000" w:rsidDel="00000000" w:rsidP="00000000" w:rsidRDefault="00000000" w:rsidRPr="00000000" w14:paraId="000000DB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7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240" w:before="60" w:line="259.2000000000001" w:lineRule="auto"/>
              <w:ind w:left="20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Adotar conduta incompatível com as atribuições do posto, favorecendo o surgimento de conflitos e desavenças.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240" w:before="240" w:line="259.2000000000001" w:lineRule="auto"/>
              <w:ind w:left="141.7322834645671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descontar 2,0 pontos por ocorrência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Sanções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0">
            <w:pPr>
              <w:jc w:val="both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Além do desconto no IMR será aplicado Glosa por profissional sem reposição.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Observações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Nos dois primeiros meses sua validade será meramente para fins de orientação e adaptação</w:t>
            </w:r>
          </w:p>
        </w:tc>
      </w:tr>
    </w:tbl>
    <w:p w:rsidR="00000000" w:rsidDel="00000000" w:rsidP="00000000" w:rsidRDefault="00000000" w:rsidRPr="00000000" w14:paraId="000000E5">
      <w:pPr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4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6"/>
        <w:gridCol w:w="5558"/>
        <w:tblGridChange w:id="0">
          <w:tblGrid>
            <w:gridCol w:w="3086"/>
            <w:gridCol w:w="5558"/>
          </w:tblGrid>
        </w:tblGridChange>
      </w:tblGrid>
      <w:tr>
        <w:trPr>
          <w:cantSplit w:val="0"/>
          <w:trHeight w:val="1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INDICADOR 5 – ENTREGA DE EQUIPAMENTOS E INSUMOS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DESCRIÇÃO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Finalidade</w:t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Garantir o nível de qualidade na prestação do serviço.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 a cumprir</w:t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Entrega total de materiais solicitados no termo de referência anexo ao edital garantindo a excelência no serviço prestado.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Instrumento de medição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Constatação formal da entrega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 de Acompanhamento</w:t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Conferência da entrega de materiais através da nota fiscal ou pessoalmente pelo fiscal técnico do contrato </w:t>
            </w:r>
          </w:p>
        </w:tc>
      </w:tr>
      <w:tr>
        <w:trPr>
          <w:cantSplit w:val="0"/>
          <w:trHeight w:val="175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Periodicidade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Mensal</w:t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Mecanismo de Cálculo</w:t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Será verificado o fornecimento de materiais e descontado conforme faixa de ajuste.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Início de Vigência</w:t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A partir do início da prestação do serviço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Faixas de ajuste no pagamento</w:t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Entrega total de equipamentos e insumos: 15 pontos</w:t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Entrega parcial de insumos: 10</w:t>
            </w:r>
          </w:p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Entrega parcial de equipamentos: 10 pontos</w:t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Entrega parcial de equipamentos e insumos: 5 pontos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Não fornecimento de insumos e/ou equipamentos: 0 pontos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Sanções</w:t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Glosa mensal dos equipamentos e insumos não entregues.</w:t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Observações</w:t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Nos dois primeiros meses sua validade será meramente para fins de orientação e adaptação</w:t>
            </w:r>
          </w:p>
        </w:tc>
      </w:tr>
    </w:tbl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64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6"/>
        <w:gridCol w:w="5558"/>
        <w:tblGridChange w:id="0">
          <w:tblGrid>
            <w:gridCol w:w="3086"/>
            <w:gridCol w:w="5558"/>
          </w:tblGrid>
        </w:tblGridChange>
      </w:tblGrid>
      <w:tr>
        <w:trPr>
          <w:cantSplit w:val="0"/>
          <w:trHeight w:val="1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INDICADOR 6 – DO PAGAMENTO DE SALÁRIOS E OUTROS BENEFÍCIOS</w:t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DESCRIÇÃO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Finalidade</w:t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Mitigar ocorrências de atrasos de pagamento decorrentes das obrigações trabalhistas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 a cumprir</w:t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Nenhuma ocorrência no mês.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Instrumento de medição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Constatação formal de ocorrências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 de Acompanhamento</w:t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Pessoal e documental. Pelo fiscal do contrato.</w:t>
            </w:r>
          </w:p>
        </w:tc>
      </w:tr>
      <w:tr>
        <w:trPr>
          <w:cantSplit w:val="0"/>
          <w:trHeight w:val="175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Periodicidade</w:t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Mensal, nos termos do art. 459 §1º, do Decreto- Lei 5452/43, ou data base fornecida por convenção coletiva da categoria.</w:t>
            </w:r>
          </w:p>
        </w:tc>
      </w:tr>
      <w:tr>
        <w:trPr>
          <w:cantSplit w:val="0"/>
          <w:trHeight w:val="869.1210849769413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Mecanismo de Cálculo</w:t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Identificação de, pelo menos, uma ocorrência de atraso no mês de referência.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Início de Vigência</w:t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A partir do início da prestação do serviço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Faixas de ajuste no pagamento</w:t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Sem atrasos: 10 pontos</w:t>
            </w:r>
          </w:p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1 ocorrência: 08 pontos</w:t>
            </w:r>
          </w:p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2 ocorrência: 06 pontos</w:t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3 ocorrência: 04 pontos</w:t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4  ou mais ocorrência: 0 pontos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Sanções</w:t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A serem definidas pela Administração</w:t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Observações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Atendendo ao disposto do art. 459 §1º da CLT.</w:t>
            </w:r>
          </w:p>
        </w:tc>
      </w:tr>
    </w:tbl>
    <w:p w:rsidR="00000000" w:rsidDel="00000000" w:rsidP="00000000" w:rsidRDefault="00000000" w:rsidRPr="00000000" w14:paraId="00000123">
      <w:pPr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64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6"/>
        <w:gridCol w:w="5558"/>
        <w:tblGridChange w:id="0">
          <w:tblGrid>
            <w:gridCol w:w="3086"/>
            <w:gridCol w:w="5558"/>
          </w:tblGrid>
        </w:tblGridChange>
      </w:tblGrid>
      <w:tr>
        <w:trPr>
          <w:cantSplit w:val="0"/>
          <w:trHeight w:val="1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5">
            <w:pPr>
              <w:jc w:val="center"/>
              <w:rPr>
                <w:b w:val="1"/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highlight w:val="white"/>
                <w:rtl w:val="0"/>
              </w:rPr>
              <w:t xml:space="preserve">INDICADOR 7 – QUALIDADE DOS SERVIÇOS PRESTADOS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Finalidade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Garantir o nível de qualidade global na prestação do serviço.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Meta a cumprir</w:t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Garantir a excelência no serviço prestado.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Instrumento de medição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Pesquisa de satisfação por meio de formulário eletrônico ou ferramenta similar.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Forma de Acompanhamento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Aplicação mensal de pesquisa de satisfação com o público usuário.</w:t>
            </w:r>
          </w:p>
        </w:tc>
      </w:tr>
      <w:tr>
        <w:trPr>
          <w:cantSplit w:val="0"/>
          <w:trHeight w:val="175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Periodicidade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Mensal.</w:t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Mecanismo de Cálculo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Descrita na Planilha de Avaliação da Qualidade dos Serviços prestados.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Início de Vigência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 partir do início da prestação do serviço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37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Faixas de ajuste no pagamento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 0 a 25 pontos conforme resultados da pesquisa.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139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Sanções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both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 serem definidas pela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Observações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Quesitos avaliados na pesquisa encontram-se no formulário de avaliação. </w:t>
            </w:r>
          </w:p>
          <w:p w:rsidR="00000000" w:rsidDel="00000000" w:rsidP="00000000" w:rsidRDefault="00000000" w:rsidRPr="00000000" w14:paraId="0000013D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Nos dois primeiros meses sua validade será meramente para fins de orientação e adaptação</w:t>
            </w:r>
          </w:p>
        </w:tc>
      </w:tr>
    </w:tbl>
    <w:p w:rsidR="00000000" w:rsidDel="00000000" w:rsidP="00000000" w:rsidRDefault="00000000" w:rsidRPr="00000000" w14:paraId="0000013E">
      <w:pPr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6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50"/>
        <w:gridCol w:w="5295"/>
        <w:gridCol w:w="426.9230769230768"/>
        <w:gridCol w:w="398.0769230769232"/>
        <w:gridCol w:w="465"/>
        <w:gridCol w:w="525"/>
        <w:tblGridChange w:id="0">
          <w:tblGrid>
            <w:gridCol w:w="1650"/>
            <w:gridCol w:w="5295"/>
            <w:gridCol w:w="426.9230769230768"/>
            <w:gridCol w:w="398.0769230769232"/>
            <w:gridCol w:w="465"/>
            <w:gridCol w:w="52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0">
            <w:pPr>
              <w:spacing w:line="360" w:lineRule="auto"/>
              <w:jc w:val="both"/>
              <w:rPr>
                <w:i w:val="1"/>
                <w:smallCap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i w:val="1"/>
                <w:smallCaps w:val="1"/>
                <w:sz w:val="18"/>
                <w:szCs w:val="18"/>
                <w:highlight w:val="white"/>
                <w:rtl w:val="0"/>
              </w:rPr>
              <w:t xml:space="preserve">PLANILHA DE AVALIAÇÃO DA QUALIDADE DOS SERVIÇOS PRESTADOS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2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ÓRGÃO/UNIDADE: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4">
            <w:pPr>
              <w:spacing w:line="360" w:lineRule="auto"/>
              <w:jc w:val="both"/>
              <w:rPr>
                <w:smallCap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highlight w:val="white"/>
                <w:rtl w:val="0"/>
              </w:rPr>
              <w:t xml:space="preserve">Nº CONTRATO: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6">
            <w:pPr>
              <w:spacing w:line="360" w:lineRule="auto"/>
              <w:jc w:val="both"/>
              <w:rPr>
                <w:smallCap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highlight w:val="white"/>
                <w:rtl w:val="0"/>
              </w:rPr>
              <w:t xml:space="preserve">GESTOR / RESPONSÁVEL:</w:t>
            </w:r>
          </w:p>
        </w:tc>
      </w:tr>
      <w:tr>
        <w:trPr>
          <w:cantSplit w:val="0"/>
          <w:trHeight w:val="179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spacing w:line="360" w:lineRule="auto"/>
              <w:jc w:val="both"/>
              <w:rPr>
                <w:smallCap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highlight w:val="white"/>
                <w:rtl w:val="0"/>
              </w:rPr>
              <w:t xml:space="preserve">CONTRATADA: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360" w:lineRule="auto"/>
              <w:jc w:val="both"/>
              <w:rPr>
                <w:smallCap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highlight w:val="white"/>
                <w:rtl w:val="0"/>
              </w:rPr>
              <w:t xml:space="preserve">MÊS DE REFERÊNCIA: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4A">
            <w:pPr>
              <w:spacing w:line="360" w:lineRule="auto"/>
              <w:jc w:val="both"/>
              <w:rPr>
                <w:smallCap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highlight w:val="white"/>
                <w:rtl w:val="0"/>
              </w:rPr>
              <w:t xml:space="preserve">LEGENDA DO GRAU DE SATISFAÇÃO:</w:t>
            </w:r>
          </w:p>
          <w:p w:rsidR="00000000" w:rsidDel="00000000" w:rsidP="00000000" w:rsidRDefault="00000000" w:rsidRPr="00000000" w14:paraId="0000014B">
            <w:pPr>
              <w:spacing w:line="360" w:lineRule="auto"/>
              <w:jc w:val="both"/>
              <w:rPr>
                <w:smallCap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mallCaps w:val="1"/>
                <w:sz w:val="18"/>
                <w:szCs w:val="18"/>
                <w:highlight w:val="white"/>
                <w:rtl w:val="0"/>
              </w:rPr>
              <w:t xml:space="preserve">O</w:t>
            </w:r>
            <w:r w:rsidDel="00000000" w:rsidR="00000000" w:rsidRPr="00000000">
              <w:rPr>
                <w:smallCaps w:val="1"/>
                <w:sz w:val="18"/>
                <w:szCs w:val="18"/>
                <w:highlight w:val="white"/>
                <w:rtl w:val="0"/>
              </w:rPr>
              <w:t xml:space="preserve"> = OTIMO  </w:t>
            </w:r>
            <w:r w:rsidDel="00000000" w:rsidR="00000000" w:rsidRPr="00000000">
              <w:rPr>
                <w:b w:val="1"/>
                <w:smallCaps w:val="1"/>
                <w:sz w:val="18"/>
                <w:szCs w:val="18"/>
                <w:highlight w:val="white"/>
                <w:rtl w:val="0"/>
              </w:rPr>
              <w:t xml:space="preserve">B</w:t>
            </w:r>
            <w:r w:rsidDel="00000000" w:rsidR="00000000" w:rsidRPr="00000000">
              <w:rPr>
                <w:smallCaps w:val="1"/>
                <w:sz w:val="18"/>
                <w:szCs w:val="18"/>
                <w:highlight w:val="white"/>
                <w:rtl w:val="0"/>
              </w:rPr>
              <w:t xml:space="preserve"> = BOM  </w:t>
            </w:r>
            <w:r w:rsidDel="00000000" w:rsidR="00000000" w:rsidRPr="00000000">
              <w:rPr>
                <w:b w:val="1"/>
                <w:smallCaps w:val="1"/>
                <w:sz w:val="18"/>
                <w:szCs w:val="18"/>
                <w:highlight w:val="white"/>
                <w:rtl w:val="0"/>
              </w:rPr>
              <w:t xml:space="preserve">R</w:t>
            </w:r>
            <w:r w:rsidDel="00000000" w:rsidR="00000000" w:rsidRPr="00000000">
              <w:rPr>
                <w:smallCaps w:val="1"/>
                <w:sz w:val="18"/>
                <w:szCs w:val="18"/>
                <w:highlight w:val="white"/>
                <w:rtl w:val="0"/>
              </w:rPr>
              <w:t xml:space="preserve"> = REGULAR  </w:t>
            </w:r>
            <w:r w:rsidDel="00000000" w:rsidR="00000000" w:rsidRPr="00000000">
              <w:rPr>
                <w:b w:val="1"/>
                <w:smallCaps w:val="1"/>
                <w:sz w:val="18"/>
                <w:szCs w:val="18"/>
                <w:highlight w:val="white"/>
                <w:rtl w:val="0"/>
              </w:rPr>
              <w:t xml:space="preserve">I</w:t>
            </w:r>
            <w:r w:rsidDel="00000000" w:rsidR="00000000" w:rsidRPr="00000000">
              <w:rPr>
                <w:smallCaps w:val="1"/>
                <w:sz w:val="18"/>
                <w:szCs w:val="18"/>
                <w:highlight w:val="white"/>
                <w:rtl w:val="0"/>
              </w:rPr>
              <w:t xml:space="preserve"> = INSATISFATÓRIO  </w:t>
            </w:r>
            <w:r w:rsidDel="00000000" w:rsidR="00000000" w:rsidRPr="00000000">
              <w:rPr>
                <w:b w:val="1"/>
                <w:smallCaps w:val="1"/>
                <w:sz w:val="18"/>
                <w:szCs w:val="18"/>
                <w:highlight w:val="white"/>
                <w:rtl w:val="0"/>
              </w:rPr>
              <w:t xml:space="preserve">N</w:t>
            </w:r>
            <w:r w:rsidDel="00000000" w:rsidR="00000000" w:rsidRPr="00000000">
              <w:rPr>
                <w:smallCaps w:val="1"/>
                <w:sz w:val="18"/>
                <w:szCs w:val="18"/>
                <w:highlight w:val="white"/>
                <w:rtl w:val="0"/>
              </w:rPr>
              <w:t xml:space="preserve"> = NÃO SEI RESPONDER </w:t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2">
            <w:pPr>
              <w:ind w:left="0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Serviços/Procedimentos/Especificações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5">
            <w:pPr>
              <w:ind w:left="0" w:firstLine="0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Grau de satisfação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7">
            <w:pPr>
              <w:spacing w:line="360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Qualidade do Serviço Prestado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Cortesia e educação no atendimento ao público usuário.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B">
            <w:pPr>
              <w:spacing w:line="360" w:lineRule="auto"/>
              <w:ind w:left="0" w:firstLine="0"/>
              <w:jc w:val="both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E">
            <w:pPr>
              <w:ind w:left="0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Frequência, prontidão e pró-atividade na prestação do serviço.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1">
            <w:pPr>
              <w:spacing w:line="360" w:lineRule="auto"/>
              <w:ind w:left="0" w:firstLine="0"/>
              <w:jc w:val="both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.234375000000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4">
            <w:pPr>
              <w:ind w:left="0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Condições de higiene e limpeza dos ambientes e instalações internas ao final das atividades prestadas.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7">
            <w:pPr>
              <w:spacing w:line="360" w:lineRule="auto"/>
              <w:ind w:left="0" w:firstLine="0"/>
              <w:jc w:val="both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A">
            <w:pPr>
              <w:spacing w:after="240" w:before="40" w:line="14.399999999999999" w:lineRule="auto"/>
              <w:ind w:left="0" w:right="300" w:hanging="3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after="240" w:before="40" w:line="14.399999999999999" w:lineRule="auto"/>
              <w:ind w:left="0" w:right="300" w:hanging="3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Uso adequado dos produtos de limpeza, evitando </w:t>
            </w:r>
          </w:p>
          <w:p w:rsidR="00000000" w:rsidDel="00000000" w:rsidP="00000000" w:rsidRDefault="00000000" w:rsidRPr="00000000" w14:paraId="0000016C">
            <w:pPr>
              <w:spacing w:after="240" w:before="40" w:line="14.399999999999999" w:lineRule="auto"/>
              <w:ind w:left="0" w:right="300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desperdícios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F">
            <w:pPr>
              <w:spacing w:line="360" w:lineRule="auto"/>
              <w:ind w:left="0" w:firstLine="0"/>
              <w:jc w:val="both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2">
            <w:pPr>
              <w:ind w:left="0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Recolhimento do lixo considerando a separação adequada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5">
            <w:pPr>
              <w:spacing w:line="360" w:lineRule="auto"/>
              <w:ind w:left="0" w:firstLine="0"/>
              <w:jc w:val="both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77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Deixe aqui seu comentário ou observação para melhorar a qualidade dos serviços prestados ou queira esclarecer sua avaliação.</w:t>
            </w:r>
          </w:p>
          <w:p w:rsidR="00000000" w:rsidDel="00000000" w:rsidP="00000000" w:rsidRDefault="00000000" w:rsidRPr="00000000" w14:paraId="00000178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7F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 – Número de quesitos pontuados, por grau de satisfação</w:t>
            </w:r>
          </w:p>
          <w:p w:rsidR="00000000" w:rsidDel="00000000" w:rsidP="00000000" w:rsidRDefault="00000000" w:rsidRPr="00000000" w14:paraId="00000180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C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B – Total de quesitos avaliados </w:t>
            </w:r>
          </w:p>
          <w:p w:rsidR="00000000" w:rsidDel="00000000" w:rsidP="00000000" w:rsidRDefault="00000000" w:rsidRPr="00000000" w14:paraId="0000018D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(excluindo-se os N – Não se aplica/Não sei responder)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F">
            <w:pPr>
              <w:spacing w:line="360" w:lineRule="auto"/>
              <w:jc w:val="both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3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 - Índice de Avaliação, por quesito (*)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9">
            <w:pPr>
              <w:spacing w:line="360" w:lineRule="auto"/>
              <w:jc w:val="both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line="360" w:lineRule="auto"/>
              <w:jc w:val="both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line="360" w:lineRule="auto"/>
              <w:jc w:val="both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line="360" w:lineRule="auto"/>
              <w:jc w:val="both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line="360" w:lineRule="auto"/>
              <w:jc w:val="both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9F">
            <w:pPr>
              <w:spacing w:line="360" w:lineRule="auto"/>
              <w:jc w:val="both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(*) Dividir o número correspondente a cada grau de satisfação (O,B,R,I), pelo total de quesitos avaliados . [A/B]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5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D- Pontuação Total (**)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A7">
            <w:pPr>
              <w:spacing w:line="360" w:lineRule="auto"/>
              <w:jc w:val="both"/>
              <w:rPr>
                <w:smallCap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(**) Somatório dos índices de avaliação (item C) para os graus e satisfação (Ótimo e Bom), multiplicados pela pontuação limite 25. [(O+B)x25]</w:t>
            </w:r>
          </w:p>
        </w:tc>
      </w:tr>
    </w:tbl>
    <w:p w:rsidR="00000000" w:rsidDel="00000000" w:rsidP="00000000" w:rsidRDefault="00000000" w:rsidRPr="00000000" w14:paraId="000001B1">
      <w:pPr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360" w:lineRule="auto"/>
        <w:ind w:right="11.67236328125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360" w:lineRule="auto"/>
        <w:ind w:right="11.67236328125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360" w:lineRule="auto"/>
        <w:ind w:left="0" w:right="11.67236328125" w:hanging="36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FAIXAS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DE AJUSTE DE PAGAMENTO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As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pontuações de qualidade devem ser totalizadas para o mês de referência, conforme métodos apresentados nas tabelas acima.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A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aplicação dos critérios de averiguação da qualidade resultará em uma pontuação final no intervalo de 0 a 100 pontos, correspondente à soma das pontuações obtidas para cada indicador, conforme fórmula abaixo:</w:t>
      </w:r>
      <w:r w:rsidDel="00000000" w:rsidR="00000000" w:rsidRPr="00000000">
        <w:rPr>
          <w:rtl w:val="0"/>
        </w:rPr>
      </w:r>
    </w:p>
    <w:tbl>
      <w:tblPr>
        <w:tblStyle w:val="Table9"/>
        <w:tblW w:w="861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3390"/>
        <w:gridCol w:w="5220"/>
        <w:tblGridChange w:id="0">
          <w:tblGrid>
            <w:gridCol w:w="3390"/>
            <w:gridCol w:w="52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Pontuação total do serviço =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Pontos “Indicador 1” + Pontos “Indicador 2” + Pontos “Indicador 3” + Pontos “Indicador 4” + Pontos “Indicador 5” +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Pontos “Indicador 6” +</w:t>
            </w:r>
          </w:p>
          <w:p w:rsidR="00000000" w:rsidDel="00000000" w:rsidP="00000000" w:rsidRDefault="00000000" w:rsidRPr="00000000" w14:paraId="000001B9">
            <w:pPr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Pontos “Indicador 7”</w:t>
            </w: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Os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pagamentos devidos, relativos a cada mês de referência, devem ser ajustados pela pontuação total do serviço, conforme tabela e fórmula apresentadas abaixo:</w:t>
      </w:r>
      <w:r w:rsidDel="00000000" w:rsidR="00000000" w:rsidRPr="00000000">
        <w:rPr>
          <w:rtl w:val="0"/>
        </w:rPr>
      </w:r>
    </w:p>
    <w:tbl>
      <w:tblPr>
        <w:tblStyle w:val="Table10"/>
        <w:tblW w:w="857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6"/>
        <w:gridCol w:w="3305"/>
        <w:gridCol w:w="2804"/>
        <w:tblGridChange w:id="0">
          <w:tblGrid>
            <w:gridCol w:w="2466"/>
            <w:gridCol w:w="3305"/>
            <w:gridCol w:w="2804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line="360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Faixas de pontuação de qualidade da ordem de serviço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line="360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Pagamento devido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line="360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Fator de ajuste de nível de serviço</w:t>
            </w:r>
          </w:p>
        </w:tc>
      </w:tr>
      <w:tr>
        <w:trPr>
          <w:cantSplit w:val="0"/>
          <w:trHeight w:val="512" w:hRule="atLeast"/>
          <w:tblHeader w:val="0"/>
        </w:trPr>
        <w:tc>
          <w:tcPr/>
          <w:p w:rsidR="00000000" w:rsidDel="00000000" w:rsidP="00000000" w:rsidRDefault="00000000" w:rsidRPr="00000000" w14:paraId="000001BF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 80 a 100 pontos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100% do valor previsto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1,00</w:t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1C2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 70 a 79 pontos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98% do valor previsto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0,98</w:t>
            </w:r>
          </w:p>
        </w:tc>
      </w:tr>
      <w:tr>
        <w:trPr>
          <w:cantSplit w:val="0"/>
          <w:trHeight w:val="137" w:hRule="atLeast"/>
          <w:tblHeader w:val="0"/>
        </w:trPr>
        <w:tc>
          <w:tcPr/>
          <w:p w:rsidR="00000000" w:rsidDel="00000000" w:rsidP="00000000" w:rsidRDefault="00000000" w:rsidRPr="00000000" w14:paraId="000001C5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 60 a 69 pontos</w:t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95% do valor previsto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0,95</w:t>
            </w:r>
          </w:p>
        </w:tc>
      </w:tr>
      <w:tr>
        <w:trPr>
          <w:cantSplit w:val="0"/>
          <w:trHeight w:val="137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 50 a 59 pontos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93% do valor previsto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0,93</w:t>
            </w:r>
          </w:p>
        </w:tc>
      </w:tr>
      <w:tr>
        <w:trPr>
          <w:cantSplit w:val="0"/>
          <w:trHeight w:val="138" w:hRule="atLeast"/>
          <w:tblHeader w:val="0"/>
        </w:trPr>
        <w:tc>
          <w:tcPr/>
          <w:p w:rsidR="00000000" w:rsidDel="00000000" w:rsidP="00000000" w:rsidRDefault="00000000" w:rsidRPr="00000000" w14:paraId="000001CB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 40 a 49 pontos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90% do valor previsto</w:t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0,90</w:t>
            </w:r>
          </w:p>
        </w:tc>
      </w:tr>
      <w:tr>
        <w:trPr>
          <w:cantSplit w:val="0"/>
          <w:trHeight w:val="126" w:hRule="atLeast"/>
          <w:tblHeader w:val="0"/>
        </w:trPr>
        <w:tc>
          <w:tcPr/>
          <w:p w:rsidR="00000000" w:rsidDel="00000000" w:rsidP="00000000" w:rsidRDefault="00000000" w:rsidRPr="00000000" w14:paraId="000001CE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Abaixo de 40 pontos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90% do valor previsto + multa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0,90 + avaliar necessidade de aplicação de multa contratual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D1">
            <w:pPr>
              <w:spacing w:line="36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Valor devido por ordem de serviço = [(Valor mensal previsto) X (Fator de ajuste de nível de serviço)]</w:t>
            </w:r>
          </w:p>
        </w:tc>
      </w:tr>
    </w:tbl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A avaliação abaixo de 40 pontos por três vezes poderá ensejar a rescisão do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360" w:lineRule="auto"/>
        <w:ind w:left="0" w:right="11.67236328125" w:hanging="36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CHECK LIST PARA A AVALIAÇÃO DE NÍVEL DE 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tabs>
          <w:tab w:val="left" w:leader="none" w:pos="990"/>
        </w:tabs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64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3129"/>
        <w:gridCol w:w="2466.0000000000005"/>
        <w:gridCol w:w="1245"/>
        <w:tblGridChange w:id="0">
          <w:tblGrid>
            <w:gridCol w:w="1800"/>
            <w:gridCol w:w="3129"/>
            <w:gridCol w:w="2466.0000000000005"/>
            <w:gridCol w:w="1245"/>
          </w:tblGrid>
        </w:tblGridChange>
      </w:tblGrid>
      <w:tr>
        <w:trPr>
          <w:cantSplit w:val="0"/>
          <w:trHeight w:val="125" w:hRule="atLeast"/>
          <w:tblHeader w:val="0"/>
        </w:trPr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Indicador</w:t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Critério (Faixas de Pontuação)</w:t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Pontos</w:t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Avaliação</w:t>
            </w:r>
          </w:p>
        </w:tc>
      </w:tr>
      <w:tr>
        <w:trPr>
          <w:cantSplit w:val="0"/>
          <w:trHeight w:val="31.15384615384300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DD">
            <w:pPr>
              <w:spacing w:line="36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1- Fornecimento de uniformes e EPIs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ind w:left="14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Sem ocorrências</w:t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60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.69230769231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ind w:left="14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 ocorrência</w:t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.461538461529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ind w:left="14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2 ocorrências</w:t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.30769230768601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ind w:left="14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3 ocorrências</w:t>
            </w:r>
          </w:p>
        </w:tc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.461538461529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ind w:left="14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4 ocorrências ou mais</w:t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0820312500001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Deixar de fornecer conjunto completo de uniforme e epi’s</w:t>
            </w:r>
          </w:p>
        </w:tc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870342548085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– Uso dos uniformes e EPIs</w:t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Uso de conjunto completo de uniforme e epi’s</w:t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600" w:lineRule="auto"/>
              <w:ind w:left="14" w:right="0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rHeight w:val="221.538461538470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Não utilização do uniforme, sem a devida justificativa 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 ocorrência</w:t>
            </w:r>
          </w:p>
        </w:tc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ind w:left="14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Não utilização do uniforme, sem a devida justificativa - 2 ocorrências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.307692307699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ind w:left="14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Não utilização do uniforme, sem a devida justificativa - 3 ocorrências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.84615384615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Não utilização do uniforme, sem a devida justificativa 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4 ocorrências ou mais</w:t>
            </w:r>
          </w:p>
        </w:tc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.00510817308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Deixar de usar conjunto completo de uniforme e epi’s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.9230769230853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– Tempo de resposta às solicitações da contratante</w:t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Sem atrasos</w:t>
            </w:r>
          </w:p>
        </w:tc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.4615384615426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 resposta com atraso</w:t>
            </w:r>
          </w:p>
        </w:tc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.0769230769146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2 respostas com atraso</w:t>
            </w:r>
          </w:p>
        </w:tc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.153846153856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3 respostas com atraso</w:t>
            </w:r>
          </w:p>
        </w:tc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.615384615399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4 respostas com atraso ou mais</w:t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.74218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Reposição de profissional ausente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Falta do profissional sem reposição</w:t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Sem ocorrências: 15 pontos</w:t>
            </w:r>
          </w:p>
          <w:p w:rsidR="00000000" w:rsidDel="00000000" w:rsidP="00000000" w:rsidRDefault="00000000" w:rsidRPr="00000000" w14:paraId="00000224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 ocorrência: 12 pontos</w:t>
            </w:r>
          </w:p>
          <w:p w:rsidR="00000000" w:rsidDel="00000000" w:rsidP="00000000" w:rsidRDefault="00000000" w:rsidRPr="00000000" w14:paraId="00000225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2 ocorrências: 09 pontos</w:t>
            </w:r>
          </w:p>
          <w:p w:rsidR="00000000" w:rsidDel="00000000" w:rsidP="00000000" w:rsidRDefault="00000000" w:rsidRPr="00000000" w14:paraId="00000226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3 ocorrências: 06 pontos </w:t>
            </w:r>
          </w:p>
          <w:p w:rsidR="00000000" w:rsidDel="00000000" w:rsidP="00000000" w:rsidRDefault="00000000" w:rsidRPr="00000000" w14:paraId="00000227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4 ocorrências ou mais: 0 pontos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.74218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Adotar conduta incompatível com as atribuições do posto, favorecendo o surgimento de conflitos e desavenças.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after="240" w:before="240" w:line="259.2000000000001" w:lineRule="auto"/>
              <w:ind w:left="0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Subtrair 2,0 pontos por ocorrência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.4615384615426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5 – Entrega de </w:t>
            </w: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equipamentos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e insumos</w:t>
            </w:r>
          </w:p>
        </w:tc>
        <w:tc>
          <w:tcPr/>
          <w:p w:rsidR="00000000" w:rsidDel="00000000" w:rsidP="00000000" w:rsidRDefault="00000000" w:rsidRPr="00000000" w14:paraId="0000022E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Entrega total de equipamentos e insumos</w:t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8.4615384615426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Entrega parcial de equipamentos</w:t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.076923076941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Entrega parcial de insumos</w:t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.538461538457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Entrega parcial de equipamentos e insumos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.3846153846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Não fornecimento de insumos e/ou equipamentos: </w:t>
            </w:r>
          </w:p>
        </w:tc>
        <w:tc>
          <w:tcPr/>
          <w:p w:rsidR="00000000" w:rsidDel="00000000" w:rsidP="00000000" w:rsidRDefault="00000000" w:rsidRPr="00000000" w14:paraId="0000023F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 ponto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.5384615384846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6 - </w:t>
            </w: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Pagamento de salário e outros benefícios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Sem atrasos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10 pontos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1 ocorrência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.38461538462797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tl w:val="0"/>
              </w:rPr>
              <w:t xml:space="preserve">2 ocorrência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tl w:val="0"/>
              </w:rPr>
              <w:t xml:space="preserve">3 ocorrência</w:t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.38461538460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4  ou mais ocorrência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.84615384617064" w:hRule="atLeast"/>
          <w:tblHeader w:val="0"/>
        </w:trPr>
        <w:tc>
          <w:tcPr/>
          <w:p w:rsidR="00000000" w:rsidDel="00000000" w:rsidP="00000000" w:rsidRDefault="00000000" w:rsidRPr="00000000" w14:paraId="00000256">
            <w:pPr>
              <w:ind w:left="14" w:firstLine="0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7 – Qualidade dos serviços prestados</w:t>
            </w:r>
          </w:p>
        </w:tc>
        <w:tc>
          <w:tcPr/>
          <w:p w:rsidR="00000000" w:rsidDel="00000000" w:rsidP="00000000" w:rsidRDefault="00000000" w:rsidRPr="00000000" w14:paraId="00000257">
            <w:pPr>
              <w:ind w:left="14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Conforme resultados da pesquisa</w:t>
            </w:r>
          </w:p>
        </w:tc>
        <w:tc>
          <w:tcPr/>
          <w:p w:rsidR="00000000" w:rsidDel="00000000" w:rsidP="00000000" w:rsidRDefault="00000000" w:rsidRPr="00000000" w14:paraId="00000258">
            <w:pPr>
              <w:ind w:left="14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0-25</w:t>
            </w:r>
          </w:p>
        </w:tc>
        <w:tc>
          <w:tcPr/>
          <w:p w:rsidR="00000000" w:rsidDel="00000000" w:rsidP="00000000" w:rsidRDefault="00000000" w:rsidRPr="00000000" w14:paraId="00000259">
            <w:pPr>
              <w:ind w:left="14" w:firstLine="0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25</w:t>
            </w:r>
          </w:p>
        </w:tc>
      </w:tr>
      <w:tr>
        <w:trPr>
          <w:cantSplit w:val="0"/>
          <w:trHeight w:val="665.7421875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right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Pontuação Total do Serviço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25E">
      <w:pPr>
        <w:tabs>
          <w:tab w:val="left" w:leader="none" w:pos="990"/>
        </w:tabs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  <w:font w:name="Georgia"/>
  <w:font w:name="Calibri"/>
  <w:font w:name="Ecofont_Spranq_eco_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7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>
        <w:b w:val="1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F">
    <w:pPr>
      <w:jc w:val="center"/>
      <w:rPr>
        <w:rFonts w:ascii="Calibri" w:cs="Calibri" w:eastAsia="Calibri" w:hAnsi="Calibri"/>
        <w:color w:val="66666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2433165</wp:posOffset>
          </wp:positionH>
          <wp:positionV relativeFrom="paragraph">
            <wp:posOffset>-276223</wp:posOffset>
          </wp:positionV>
          <wp:extent cx="530741" cy="5524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741" cy="55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60">
    <w:pPr>
      <w:jc w:val="center"/>
      <w:rPr>
        <w:rFonts w:ascii="Calibri" w:cs="Calibri" w:eastAsia="Calibri" w:hAnsi="Calibri"/>
        <w:color w:val="66666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1">
    <w:pPr>
      <w:jc w:val="center"/>
      <w:rPr>
        <w:rFonts w:ascii="Calibri" w:cs="Calibri" w:eastAsia="Calibri" w:hAnsi="Calibri"/>
        <w:color w:val="666666"/>
      </w:rPr>
    </w:pPr>
    <w:r w:rsidDel="00000000" w:rsidR="00000000" w:rsidRPr="00000000">
      <w:rPr>
        <w:rFonts w:ascii="Calibri" w:cs="Calibri" w:eastAsia="Calibri" w:hAnsi="Calibri"/>
        <w:color w:val="666666"/>
        <w:rtl w:val="0"/>
      </w:rPr>
      <w:t xml:space="preserve">MINISTÉRIO DA EDUCAÇÃO</w:t>
    </w:r>
  </w:p>
  <w:p w:rsidR="00000000" w:rsidDel="00000000" w:rsidP="00000000" w:rsidRDefault="00000000" w:rsidRPr="00000000" w14:paraId="00000262">
    <w:pPr>
      <w:jc w:val="center"/>
      <w:rPr>
        <w:rFonts w:ascii="Calibri" w:cs="Calibri" w:eastAsia="Calibri" w:hAnsi="Calibri"/>
        <w:color w:val="666666"/>
      </w:rPr>
    </w:pPr>
    <w:r w:rsidDel="00000000" w:rsidR="00000000" w:rsidRPr="00000000">
      <w:rPr>
        <w:rFonts w:ascii="Calibri" w:cs="Calibri" w:eastAsia="Calibri" w:hAnsi="Calibri"/>
        <w:color w:val="66666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263">
    <w:pPr>
      <w:jc w:val="center"/>
      <w:rPr>
        <w:rFonts w:ascii="Calibri" w:cs="Calibri" w:eastAsia="Calibri" w:hAnsi="Calibri"/>
        <w:color w:val="666666"/>
      </w:rPr>
    </w:pPr>
    <w:r w:rsidDel="00000000" w:rsidR="00000000" w:rsidRPr="00000000">
      <w:rPr>
        <w:rFonts w:ascii="Calibri" w:cs="Calibri" w:eastAsia="Calibri" w:hAnsi="Calibri"/>
        <w:color w:val="666666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264">
    <w:pPr>
      <w:jc w:val="center"/>
      <w:rPr>
        <w:rFonts w:ascii="Calibri" w:cs="Calibri" w:eastAsia="Calibri" w:hAnsi="Calibri"/>
        <w:color w:val="666666"/>
      </w:rPr>
    </w:pPr>
    <w:r w:rsidDel="00000000" w:rsidR="00000000" w:rsidRPr="00000000">
      <w:rPr>
        <w:rFonts w:ascii="Calibri" w:cs="Calibri" w:eastAsia="Calibri" w:hAnsi="Calibri"/>
        <w:color w:val="666666"/>
        <w:rtl w:val="0"/>
      </w:rPr>
      <w:t xml:space="preserve">Diretoria de Licitações e Contratos</w:t>
    </w:r>
  </w:p>
  <w:p w:rsidR="00000000" w:rsidDel="00000000" w:rsidP="00000000" w:rsidRDefault="00000000" w:rsidRPr="00000000" w14:paraId="00000265">
    <w:pPr>
      <w:jc w:val="center"/>
      <w:rPr>
        <w:rFonts w:ascii="Ecofont_Spranq_eco_Sans" w:cs="Ecofont_Spranq_eco_Sans" w:eastAsia="Ecofont_Spranq_eco_Sans" w:hAnsi="Ecofont_Spranq_eco_Sans"/>
        <w:sz w:val="24"/>
        <w:szCs w:val="24"/>
      </w:rPr>
    </w:pPr>
    <w:r w:rsidDel="00000000" w:rsidR="00000000" w:rsidRPr="00000000">
      <w:rPr>
        <w:rFonts w:ascii="Calibri" w:cs="Calibri" w:eastAsia="Calibri" w:hAnsi="Calibri"/>
        <w:color w:val="666666"/>
        <w:rtl w:val="0"/>
      </w:rPr>
      <w:t xml:space="preserve">Rua Gen. Osório, 348 – Centro – Bento Gonçalves/RS – CEP 95.700-086 Telefone: (54) 3449.3300 – www.ifrs.edu.br – E-mail: </w:t>
    </w:r>
    <w:hyperlink r:id="rId2">
      <w:r w:rsidDel="00000000" w:rsidR="00000000" w:rsidRPr="00000000">
        <w:rPr>
          <w:rFonts w:ascii="Calibri" w:cs="Calibri" w:eastAsia="Calibri" w:hAnsi="Calibri"/>
          <w:color w:val="666666"/>
          <w:u w:val="single"/>
          <w:rtl w:val="0"/>
        </w:rPr>
        <w:t xml:space="preserve">licitacao@ifrs.edu.br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6">
    <w:pPr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hanging="360"/>
      </w:pPr>
      <w:rPr>
        <w:rFonts w:ascii="Arial" w:cs="Arial" w:eastAsia="Arial" w:hAnsi="Arial"/>
        <w:b w:val="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cs="Arial" w:eastAsia="Arial" w:hAnsi="Arial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ind w:right="0"/>
      <w:jc w:val="center"/>
    </w:pPr>
    <w:rPr>
      <w:rFonts w:ascii="Times New Roman" w:cs="Times New Roman" w:eastAsia="Times New Roman" w:hAnsi="Times New Roman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licitacao@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CHygbiAWDmYba3mv/VQd+J7kDQ==">CgMxLjAyDmguanNxdWhtaDNuNmJ1OAByITE1T0VlTVdDeUxVT0twNHZEbGVZRnRGVXJmRno0dU1BSg==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