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114300" distR="114300">
            <wp:extent cx="897255" cy="95694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956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Instituto Federal de Educação, Ciência e Tecnologia do Rio Grande do 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libri" w:cs="Calibri" w:eastAsia="Calibri" w:hAnsi="Calibri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[xxxxxx]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Modelo de Relatório do Núcleo Docente Estruturante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sobre o Acervo Bibliográfico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Núcleo Docente Estruturante (NDE) do curso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O NOME COMPLETO DO CURSO]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Instituto Federal de Educação, Ciência e Tecnologia do Rio Grande do Sul,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O CAMPUS]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instituído pela Portaria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PORTARIA DE CRIAÇÃO DO CURSO]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no uso de suas atribuições dispostas no Regulamento do Núcleo Docente Estruturante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PORTARIA DO NDE ATUALIZADA]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apresenta o Relatório sobre o Acervo Bibliográfico, com foco na adequação e compatibilidade das bibliografias básicas e complementares previstas nas ementas das unidades curriculares, em relação aos objetivos formativos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Iniciamos destacando que, até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presente momento, foi considerada a essencialidade de manutenção do acervo bibliográfico físico,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ido, desde 2018, do acervo online. No referido ano, efetivou-se 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assinatura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dois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serviços de bibliotecas virtua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/digita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possibilitando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maior flexibilidade de acesso, fácil atualização e aumento do número de bibliografias disponíveis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Atualmente, os serviços assinados pelo IFRS são as bibliotecas Pearson e Minha Biblioteca. Além do acervo bibliográfico online, foi efetuada também a assinatura do Sistema de Gestão de Normas e Documentos Regulatórios Target GEDWeb, que permite  a consulta e o acesso a diversas normas como ABNT  e ISO, dentre outras.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[VERIFICAR, POIS SÃO SERVIÇOS CONTRATADOS QUE PODEM MUDAR. SOLICITAR À/AO BIBLIOTECÁRIA/O AUXÍLIO PARA OBTENÇÃO DAS CÓPIAS DOS CONTRATOS OU CONTATAR A COORDENAÇÃO DO SIBIFRS (sibifrs.coord@ifrs.edu.br) ]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acervo encontra-se informatizado por meio do software de gerenciamento Pergamum, garantindo a consulta, renovação e reserva por parte dos alunos e servidores e tem por objetivo atender as necessidades do curso quanto às características acadêmicas e pedagógicas, visando contribuir para a formação e aprimoramento dos estudantes quanto aos conhecimentos / competências / habilidades julgadas essenciais ao desenvolvimento do aluno em cada uma das unidades curriculares.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Para aquisição das obras apresentadas nas ementas do PPC do curso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[NOME COMPLETO DO CURSO]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o Núcleo Docente Estruturante do Curso considerou [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FALAR DA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REFERÊNCIAS DO CURSO, COM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RELAÇÃO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AO ACERVO FÍSICO 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VIRTUAL]</w:t>
      </w:r>
    </w:p>
    <w:p w:rsidR="00000000" w:rsidDel="00000000" w:rsidP="00000000" w:rsidRDefault="00000000" w:rsidRPr="00000000" w14:paraId="0000000F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Referente ao quantitativo das obras apresentadas nas ementas do PPC do curso, o Núcleo Docente Estruturante do Curso considerou o documento disponibilizado pelo Instituto Nacional de Estudos e Pesquisas Educacionais Anísio Teixeira (INEP) versão 2017, que integra a Lei do Sistema Nacional de Avaliação da Educação Superior (SINAES). Também foi analisado o relatório emitido pelo Sistema Pergamum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[SOLICITAR À BIBLIOTECA DO CAMPUS]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referente aos quantitativos de bibliografias básicas e complementares. Com base nesses documentos, o NDE conclui que o acervo referente ao curso está satisfatório para atender plenamente as necessidades dos discentes e nortear o processo de aquisição.</w:t>
      </w:r>
    </w:p>
    <w:p w:rsidR="00000000" w:rsidDel="00000000" w:rsidP="00000000" w:rsidRDefault="00000000" w:rsidRPr="00000000" w14:paraId="00000010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a elaboração dos PPCs manteve-se a orientação constante em documento de avaliação do INEP, anterior ao vigente: com a indicação de  3 (três) exemplares para a bibliografia básica e 5 (cinco) exemplares para a bibliografia complementar, considerando  o número de vagas autorizadas (do próprio curso e de outros que utilizem os títulos) e a quantidade de exemplares por título (ou assinatura de acesso) disponível no acervo. 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Assim, foi definido que os livros da bibliografia básica e complementar previstos no projeto pedagógico do curso estarão disponíveis na biblioteca do Campus, com o acervo físico devidamente catalogado, tombado e informatizado, e o acervo virtual, amparado por contrato, que garante acesso ininterrupto aos usuários, Ambos os acervos estão registrados em nome da instituição.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casos de títulos em formato digital, a instituição assegura o acesso por meio de instalações físicas adequadas e recursos tecnológicos que atendem à demanda, garantindo a oferta contínua via internet, bem como a disponibilidade de ferramentas de acessibilidade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VERIFICAR O USADO PELA BIBLIOTECA E CITAR]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de soluções de apoio à leitura, estudo e 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Quanto aos periódicos, considerando a gama e a qualidade de publicações disponíveis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gratuitamente, o NDE considera que neste momento não existe a necessidade de assinatura de periódicos impressos, dado que tendem a defasar rapidamente e onerar o espaço físico da biblioteca. Além disso, o IFRS disponibiliza acesso ao portal de periódicos da CAPES, e visando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manutenção deste serviço, os docentes do curso devem estimular seu acesso por parte dos estudantes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O acesso pode ser feito por meio de qualquer máquina conectada à rede do Campus, ou ainda remotamente, via CAFe (Comunidade Acadêmica Federada).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[SUGESTÃO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Tutoriais de acesso ao portal de periódicos ofertados pelo próprio portal de periódicos da CAPES, bem como bases de dados assinadas pelo IFRS e tutorial de acesso remoto estão disponíveis no site da biblioteca.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[RECOMENDA-SE QUE O CURSO FAÇA ISSO]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Foi ainda feito um levantamento de periódicos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gratuitos pertinentes à área de conhecimento do curso e disponibilizados os links no site do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 Campus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, visando promover um acesso mais rápido e facilitado a estas publicações. 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formação e o desenvolvimento do acervo bibliográfico leva em consideração a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Política de Formação e Desenvolvimento de Coleções das Bibliotecas do Instituto Federal do Rio Grande do Sul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gerenciamento do acervo ocorre de forma compartilhada entre NDE e Biblioteca. O NDE é responsável pelas definições qualitativas (por quais títulos serão compostas as bibliografias básicas e complementares de cada unidade curricular) e quantitativas (quantos exemplares serão necessários). A Direção de Administração e Planejamento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Campus ou da Reitoria,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essa última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, em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conjunto com  a Pró-reitoria de Ensino,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é responsável pelo processo de aquisição, contando com o apoio da Biblioteca e das Direções de Ensino e Direção Geral do Campu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readequação dos materiais definidos, em virtude de impossibilidade de aquisição, seja por esgotamento ou para garantir a compra de obras que atendam às unidades curriculares mais plenamente, se dá através de contato direto entre Biblioteca e Coordenação de Curso, visando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constante manutenção e atualização do acervo de forma a garantir seu acesso. 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 Coordenador do Curso é o responsável por levar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essas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demandas e informações ao NDE, para que possa ser realizada a análise de cada situação e a deliberação sobre cada tópico. Desde o início do curso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NOME COMPLETO DO CURSO]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 NDE acompanha o fluxo de compra de livros, visando garantir aos discentes a acessibilidade às referências bibliográficas e também tendo ciência de que é necessário o envolvimento com a organização e estruturação do acervo bibliográfico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O NDE considera que o acervo bibliográfico deverá ser frequentemente analisado e adequado, dado o rápido avanço nas pesquisas e publicações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A relação de títulos e exemplares disponíveis por semestre e por unidade curricular do curso encontra-se no Anexo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[INCLUIR RELATÓRIO PERGAMUM]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 resumida no Quadro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seguir: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Quadro 1 - Títulos e Exemplares disponíveis para 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urso e número de empréstimos</w:t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-100.0" w:type="dxa"/>
        <w:tblLayout w:type="fixed"/>
        <w:tblLook w:val="0000"/>
      </w:tblPr>
      <w:tblGrid>
        <w:gridCol w:w="8068"/>
        <w:gridCol w:w="958"/>
        <w:tblGridChange w:id="0">
          <w:tblGrid>
            <w:gridCol w:w="8068"/>
            <w:gridCol w:w="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Número de Títulos Disponíveis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green"/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Número de Exemplares Disponíveis para atender 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green"/>
                <w:rtl w:val="0"/>
              </w:rPr>
              <w:t xml:space="preserve">XXXX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Número de Empréstimos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green"/>
                <w:rtl w:val="0"/>
              </w:rPr>
              <w:t xml:space="preserve">XXXX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Fonte: Relat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ório extraído do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Pergamum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(ano)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Dessa forma, o NDE reafirma seu compromisso com a qualidade, atualização e acessibilidade do acervo bibliográfico, assegurando suporte efetivo à formação acadêmica no curso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[NOME DO CURSO]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IFRS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[INFORMAR O CAMPUS]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31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31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[CIDADE]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31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31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documentos/resolucao-no-33-de-20-de-agosto-de-2024-aprova-a-politica-de-formacao-e-desenvolvimento-de-colecoes-das-bibliotecas-do-ifr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ifrs.edu.br/documentos/resolucao-no-33-de-20-de-agosto-de-2024-aprova-a-politica-de-formacao-e-desenvolvimento-de-colecoes-das-bibliotecas-do-if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0mb4FuFWvRQ4ZHzKfBk2/9Kyw==">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2022-03-30T13:54:00Z</dcterms:created>
  <dc:creator>JOSIANE SILVA</dc:creator>
</cp:coreProperties>
</file>