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35" w:rsidRPr="00B04572" w:rsidRDefault="00137A35">
      <w:pPr>
        <w:rPr>
          <w:rFonts w:cstheme="minorHAnsi"/>
          <w:sz w:val="24"/>
          <w:szCs w:val="24"/>
        </w:rPr>
      </w:pPr>
    </w:p>
    <w:p w:rsidR="00137A35" w:rsidRPr="00B04572" w:rsidRDefault="00137A35" w:rsidP="00137A35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572">
        <w:rPr>
          <w:rFonts w:asciiTheme="minorHAnsi" w:hAnsiTheme="minorHAnsi" w:cstheme="minorHAnsi"/>
          <w:b/>
          <w:sz w:val="24"/>
          <w:szCs w:val="24"/>
        </w:rPr>
        <w:t xml:space="preserve">ATESTADO DE </w:t>
      </w:r>
      <w:r w:rsidR="006023A0">
        <w:rPr>
          <w:rFonts w:asciiTheme="minorHAnsi" w:hAnsiTheme="minorHAnsi" w:cstheme="minorHAnsi"/>
          <w:b/>
          <w:sz w:val="24"/>
          <w:szCs w:val="24"/>
        </w:rPr>
        <w:t>CONFORMIDADE</w:t>
      </w:r>
      <w:r w:rsidRPr="00B04572">
        <w:rPr>
          <w:rFonts w:asciiTheme="minorHAnsi" w:hAnsiTheme="minorHAnsi" w:cstheme="minorHAnsi"/>
          <w:b/>
          <w:sz w:val="24"/>
          <w:szCs w:val="24"/>
        </w:rPr>
        <w:t xml:space="preserve"> DO PROCESSO</w:t>
      </w:r>
      <w:r w:rsidR="006023A0">
        <w:rPr>
          <w:rFonts w:asciiTheme="minorHAnsi" w:hAnsiTheme="minorHAnsi" w:cstheme="minorHAnsi"/>
          <w:b/>
          <w:sz w:val="24"/>
          <w:szCs w:val="24"/>
        </w:rPr>
        <w:t xml:space="preserve"> COM O</w:t>
      </w:r>
      <w:r w:rsidRPr="00B04572">
        <w:rPr>
          <w:rFonts w:asciiTheme="minorHAnsi" w:hAnsiTheme="minorHAnsi" w:cstheme="minorHAnsi"/>
          <w:b/>
          <w:sz w:val="24"/>
          <w:szCs w:val="24"/>
        </w:rPr>
        <w:t xml:space="preserve"> PARECER REFERENCIAL</w:t>
      </w:r>
    </w:p>
    <w:p w:rsidR="00137A35" w:rsidRPr="00B04572" w:rsidRDefault="00137A35" w:rsidP="00137A35">
      <w:pPr>
        <w:rPr>
          <w:rFonts w:cstheme="minorHAnsi"/>
          <w:sz w:val="24"/>
          <w:szCs w:val="24"/>
        </w:rPr>
      </w:pPr>
    </w:p>
    <w:p w:rsidR="00137A35" w:rsidRPr="00B04572" w:rsidRDefault="00137A35" w:rsidP="00137A35">
      <w:pPr>
        <w:rPr>
          <w:rFonts w:cstheme="minorHAnsi"/>
          <w:sz w:val="24"/>
          <w:szCs w:val="24"/>
        </w:rPr>
      </w:pPr>
    </w:p>
    <w:p w:rsidR="00137A35" w:rsidRPr="00B04572" w:rsidRDefault="00137A35" w:rsidP="00137A35">
      <w:pPr>
        <w:jc w:val="both"/>
        <w:rPr>
          <w:rFonts w:cstheme="minorHAnsi"/>
          <w:b/>
          <w:sz w:val="24"/>
          <w:szCs w:val="24"/>
        </w:rPr>
      </w:pPr>
      <w:r w:rsidRPr="00B04572">
        <w:rPr>
          <w:rFonts w:cstheme="minorHAnsi"/>
          <w:b/>
          <w:sz w:val="24"/>
          <w:szCs w:val="24"/>
        </w:rPr>
        <w:t xml:space="preserve">Processo Administrativo nº </w:t>
      </w:r>
    </w:p>
    <w:p w:rsidR="00137A35" w:rsidRPr="00B04572" w:rsidRDefault="00137A35" w:rsidP="00137A35">
      <w:pPr>
        <w:jc w:val="both"/>
        <w:rPr>
          <w:rFonts w:cstheme="minorHAnsi"/>
          <w:b/>
          <w:sz w:val="24"/>
          <w:szCs w:val="24"/>
        </w:rPr>
      </w:pPr>
      <w:r w:rsidRPr="00B04572">
        <w:rPr>
          <w:rFonts w:cstheme="minorHAnsi"/>
          <w:b/>
          <w:sz w:val="24"/>
          <w:szCs w:val="24"/>
        </w:rPr>
        <w:t xml:space="preserve">Objeto: </w:t>
      </w:r>
    </w:p>
    <w:p w:rsidR="00137A35" w:rsidRPr="00B04572" w:rsidRDefault="00137A35" w:rsidP="00137A35">
      <w:pPr>
        <w:jc w:val="both"/>
        <w:rPr>
          <w:rFonts w:cstheme="minorHAnsi"/>
          <w:sz w:val="24"/>
          <w:szCs w:val="24"/>
        </w:rPr>
      </w:pPr>
    </w:p>
    <w:p w:rsidR="00181C4E" w:rsidRDefault="00181C4E" w:rsidP="00B04572">
      <w:pPr>
        <w:ind w:firstLine="708"/>
        <w:jc w:val="both"/>
        <w:rPr>
          <w:rFonts w:cstheme="minorHAnsi"/>
          <w:sz w:val="24"/>
          <w:szCs w:val="24"/>
        </w:rPr>
      </w:pPr>
      <w:r w:rsidRPr="00181C4E">
        <w:rPr>
          <w:rFonts w:cstheme="minorHAnsi"/>
          <w:sz w:val="24"/>
          <w:szCs w:val="24"/>
        </w:rPr>
        <w:t xml:space="preserve">Atesto que o caso concreto </w:t>
      </w:r>
      <w:proofErr w:type="gramStart"/>
      <w:r w:rsidRPr="00181C4E">
        <w:rPr>
          <w:rFonts w:cstheme="minorHAnsi"/>
          <w:sz w:val="24"/>
          <w:szCs w:val="24"/>
        </w:rPr>
        <w:t>amolda-se</w:t>
      </w:r>
      <w:proofErr w:type="gramEnd"/>
      <w:r w:rsidRPr="00181C4E">
        <w:rPr>
          <w:rFonts w:cstheme="minorHAnsi"/>
          <w:sz w:val="24"/>
          <w:szCs w:val="24"/>
        </w:rPr>
        <w:t xml:space="preserve"> à hipótese analisada pelo </w:t>
      </w:r>
      <w:r w:rsidRPr="00181C4E">
        <w:rPr>
          <w:rFonts w:cstheme="minorHAnsi"/>
          <w:b/>
          <w:sz w:val="24"/>
          <w:szCs w:val="24"/>
          <w:u w:val="single"/>
        </w:rPr>
        <w:t>PARECER REFERENCIAL n. 00005/2024/PF/IFRS/PFIFRIO GRANDE DO SUL/PGF/AGU</w:t>
      </w:r>
      <w:r w:rsidRPr="00181C4E">
        <w:rPr>
          <w:rFonts w:cstheme="minorHAnsi"/>
          <w:sz w:val="24"/>
          <w:szCs w:val="24"/>
        </w:rPr>
        <w:t>, cujas recomendações foram integralmente atendidas.</w:t>
      </w:r>
    </w:p>
    <w:p w:rsidR="00181C4E" w:rsidRDefault="00181C4E" w:rsidP="00B04572">
      <w:pPr>
        <w:ind w:firstLine="708"/>
        <w:jc w:val="both"/>
        <w:rPr>
          <w:rFonts w:cstheme="minorHAnsi"/>
          <w:sz w:val="24"/>
          <w:szCs w:val="24"/>
        </w:rPr>
      </w:pPr>
      <w:r w:rsidRPr="00181C4E">
        <w:rPr>
          <w:rFonts w:cstheme="minorHAnsi"/>
          <w:sz w:val="24"/>
          <w:szCs w:val="24"/>
        </w:rPr>
        <w:t xml:space="preserve"> Fica, assim, dispensada a remessa dos autos para exame individualizado pela Procuradoria Federal junto ao Instituto Federal de Educação, Ciência e Tecnologia do Rio Grande do Sul, nos termos da Portaria PGF nº 262, de 2017, e da Orientação Normativa nº 55, da Advocacia-Geral da União.</w:t>
      </w:r>
    </w:p>
    <w:p w:rsidR="00B04572" w:rsidRPr="00B04572" w:rsidRDefault="00B04572" w:rsidP="00B04572">
      <w:pPr>
        <w:ind w:firstLine="708"/>
        <w:jc w:val="both"/>
        <w:rPr>
          <w:rFonts w:cstheme="minorHAnsi"/>
          <w:sz w:val="24"/>
          <w:szCs w:val="24"/>
        </w:rPr>
      </w:pPr>
    </w:p>
    <w:p w:rsidR="00137A35" w:rsidRPr="00B04572" w:rsidRDefault="00137A35" w:rsidP="00137A35">
      <w:pPr>
        <w:jc w:val="center"/>
        <w:rPr>
          <w:rFonts w:cstheme="minorHAnsi"/>
          <w:sz w:val="24"/>
          <w:szCs w:val="24"/>
        </w:rPr>
      </w:pPr>
      <w:r w:rsidRPr="00B04572">
        <w:rPr>
          <w:rFonts w:cstheme="minorHAnsi"/>
          <w:sz w:val="24"/>
          <w:szCs w:val="24"/>
        </w:rPr>
        <w:t>Local, data.</w:t>
      </w:r>
    </w:p>
    <w:p w:rsidR="00137A35" w:rsidRPr="00B04572" w:rsidRDefault="00137A35" w:rsidP="00137A35">
      <w:pPr>
        <w:jc w:val="both"/>
        <w:rPr>
          <w:rFonts w:cstheme="minorHAnsi"/>
          <w:sz w:val="24"/>
          <w:szCs w:val="24"/>
        </w:rPr>
      </w:pPr>
    </w:p>
    <w:p w:rsidR="0082029D" w:rsidRPr="00B04572" w:rsidRDefault="0082029D" w:rsidP="00BC4A7F">
      <w:pPr>
        <w:jc w:val="center"/>
        <w:rPr>
          <w:rFonts w:cstheme="minorHAnsi"/>
          <w:sz w:val="24"/>
          <w:szCs w:val="24"/>
        </w:rPr>
      </w:pPr>
    </w:p>
    <w:p w:rsidR="00BC4A7F" w:rsidRPr="00B04572" w:rsidRDefault="00BC4A7F" w:rsidP="00BC4A7F">
      <w:pPr>
        <w:jc w:val="center"/>
        <w:rPr>
          <w:rFonts w:cstheme="minorHAnsi"/>
          <w:sz w:val="24"/>
          <w:szCs w:val="24"/>
        </w:rPr>
      </w:pPr>
      <w:r w:rsidRPr="00B04572">
        <w:rPr>
          <w:rFonts w:cstheme="minorHAnsi"/>
          <w:sz w:val="24"/>
          <w:szCs w:val="24"/>
        </w:rPr>
        <w:t>Nome</w:t>
      </w:r>
    </w:p>
    <w:p w:rsidR="00BC4A7F" w:rsidRPr="00B04572" w:rsidRDefault="00867231" w:rsidP="00BC4A7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Ordenadora</w:t>
      </w:r>
      <w:r w:rsidR="0082029D" w:rsidRPr="00B04572">
        <w:rPr>
          <w:rFonts w:cstheme="minorHAnsi"/>
          <w:sz w:val="24"/>
          <w:szCs w:val="24"/>
        </w:rPr>
        <w:t xml:space="preserve"> de Des</w:t>
      </w:r>
      <w:bookmarkStart w:id="0" w:name="_GoBack"/>
      <w:bookmarkEnd w:id="0"/>
      <w:r w:rsidR="0082029D" w:rsidRPr="00B04572">
        <w:rPr>
          <w:rFonts w:cstheme="minorHAnsi"/>
          <w:sz w:val="24"/>
          <w:szCs w:val="24"/>
        </w:rPr>
        <w:t>pesas</w:t>
      </w:r>
    </w:p>
    <w:p w:rsidR="00BC4A7F" w:rsidRDefault="00BC4A7F" w:rsidP="00BC4A7F">
      <w:pPr>
        <w:jc w:val="center"/>
        <w:rPr>
          <w:rFonts w:cstheme="minorHAnsi"/>
          <w:sz w:val="24"/>
          <w:szCs w:val="24"/>
        </w:rPr>
      </w:pPr>
      <w:r w:rsidRPr="00B04572">
        <w:rPr>
          <w:rFonts w:cstheme="minorHAnsi"/>
          <w:sz w:val="24"/>
          <w:szCs w:val="24"/>
        </w:rPr>
        <w:t>Matrícula</w:t>
      </w:r>
    </w:p>
    <w:p w:rsidR="00F50B3E" w:rsidRPr="00B04572" w:rsidRDefault="00F50B3E" w:rsidP="00BC4A7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Portaria</w:t>
      </w:r>
    </w:p>
    <w:p w:rsidR="00BC4A7F" w:rsidRPr="00B04572" w:rsidRDefault="00BC4A7F" w:rsidP="00BC4A7F">
      <w:pPr>
        <w:jc w:val="center"/>
        <w:rPr>
          <w:rFonts w:cstheme="minorHAnsi"/>
          <w:sz w:val="24"/>
          <w:szCs w:val="24"/>
        </w:rPr>
      </w:pPr>
    </w:p>
    <w:sectPr w:rsidR="00BC4A7F" w:rsidRPr="00B0457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A1" w:rsidRDefault="005852A1" w:rsidP="00137A35">
      <w:pPr>
        <w:spacing w:after="0" w:line="240" w:lineRule="auto"/>
      </w:pPr>
      <w:r>
        <w:separator/>
      </w:r>
    </w:p>
  </w:endnote>
  <w:endnote w:type="continuationSeparator" w:id="0">
    <w:p w:rsidR="005852A1" w:rsidRDefault="005852A1" w:rsidP="0013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A1" w:rsidRDefault="005852A1" w:rsidP="00137A35">
      <w:pPr>
        <w:spacing w:after="0" w:line="240" w:lineRule="auto"/>
      </w:pPr>
      <w:r>
        <w:separator/>
      </w:r>
    </w:p>
  </w:footnote>
  <w:footnote w:type="continuationSeparator" w:id="0">
    <w:p w:rsidR="005852A1" w:rsidRDefault="005852A1" w:rsidP="0013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35" w:rsidRDefault="00137A35">
    <w:pPr>
      <w:pStyle w:val="Cabealho"/>
    </w:pPr>
    <w:r w:rsidRPr="00BC41E2">
      <w:rPr>
        <w:rFonts w:cstheme="minorHAnsi"/>
        <w:b/>
        <w:noProof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206C410" wp14:editId="189C626C">
          <wp:simplePos x="0" y="0"/>
          <wp:positionH relativeFrom="column">
            <wp:posOffset>2282825</wp:posOffset>
          </wp:positionH>
          <wp:positionV relativeFrom="paragraph">
            <wp:posOffset>-163830</wp:posOffset>
          </wp:positionV>
          <wp:extent cx="937895" cy="937895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7A35" w:rsidRDefault="00137A35" w:rsidP="00137A35">
    <w:pPr>
      <w:pStyle w:val="Cabealho"/>
      <w:jc w:val="center"/>
    </w:pPr>
  </w:p>
  <w:p w:rsidR="00137A35" w:rsidRDefault="00137A35">
    <w:pPr>
      <w:pStyle w:val="Cabealho"/>
    </w:pPr>
  </w:p>
  <w:p w:rsidR="00137A35" w:rsidRDefault="00137A35">
    <w:pPr>
      <w:pStyle w:val="Cabealho"/>
    </w:pPr>
  </w:p>
  <w:p w:rsidR="00137A35" w:rsidRDefault="00137A35">
    <w:pPr>
      <w:pStyle w:val="Cabealho"/>
    </w:pPr>
  </w:p>
  <w:p w:rsidR="00137A35" w:rsidRPr="00BC41E2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</w:rPr>
    </w:pPr>
    <w:r w:rsidRPr="00BC41E2">
      <w:rPr>
        <w:rFonts w:asciiTheme="minorHAnsi" w:hAnsiTheme="minorHAnsi" w:cstheme="minorHAnsi"/>
        <w:sz w:val="20"/>
        <w:szCs w:val="20"/>
      </w:rPr>
      <w:t>MINISTÉRIO DA EDUCAÇÃO</w:t>
    </w:r>
  </w:p>
  <w:p w:rsidR="00137A35" w:rsidRPr="00BC41E2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</w:rPr>
    </w:pPr>
    <w:r w:rsidRPr="00BC41E2">
      <w:rPr>
        <w:rFonts w:asciiTheme="minorHAnsi" w:hAnsiTheme="minorHAnsi" w:cstheme="minorHAnsi"/>
        <w:sz w:val="20"/>
        <w:szCs w:val="20"/>
      </w:rPr>
      <w:t>Secretaria de Educação Profissional e Tecnológica</w:t>
    </w:r>
  </w:p>
  <w:p w:rsidR="00137A35" w:rsidRPr="00BC41E2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</w:rPr>
    </w:pPr>
    <w:r w:rsidRPr="00BC41E2">
      <w:rPr>
        <w:rFonts w:asciiTheme="minorHAnsi" w:hAnsiTheme="minorHAnsi" w:cstheme="minorHAnsi"/>
        <w:sz w:val="20"/>
        <w:szCs w:val="20"/>
      </w:rPr>
      <w:t>Instituto Federal de Educação, Ciência e Tecnologia do Rio Grande do Sul</w:t>
    </w:r>
  </w:p>
  <w:p w:rsidR="00137A35" w:rsidRPr="00137A35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  <w:highlight w:val="yellow"/>
      </w:rPr>
    </w:pPr>
    <w:r w:rsidRPr="00137A35">
      <w:rPr>
        <w:rFonts w:asciiTheme="minorHAnsi" w:hAnsiTheme="minorHAnsi" w:cstheme="minorHAnsi"/>
        <w:sz w:val="20"/>
        <w:szCs w:val="20"/>
        <w:highlight w:val="yellow"/>
      </w:rPr>
      <w:t>Diretoria de Licitações e Contratos</w:t>
    </w:r>
  </w:p>
  <w:p w:rsidR="00137A35" w:rsidRPr="00137A35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  <w:highlight w:val="yellow"/>
      </w:rPr>
    </w:pPr>
    <w:r w:rsidRPr="00137A35">
      <w:rPr>
        <w:rFonts w:asciiTheme="minorHAnsi" w:hAnsiTheme="minorHAnsi" w:cstheme="minorHAnsi"/>
        <w:sz w:val="20"/>
        <w:szCs w:val="20"/>
        <w:highlight w:val="yellow"/>
      </w:rPr>
      <w:t>Rua Gen. Osório, 348 – Centro – Bento Gonçalves/RS – CEP 95.700-086</w:t>
    </w:r>
  </w:p>
  <w:p w:rsidR="00137A35" w:rsidRPr="00BC41E2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</w:rPr>
    </w:pPr>
    <w:r w:rsidRPr="00137A35">
      <w:rPr>
        <w:rFonts w:asciiTheme="minorHAnsi" w:hAnsiTheme="minorHAnsi" w:cstheme="minorHAnsi"/>
        <w:sz w:val="20"/>
        <w:szCs w:val="20"/>
        <w:highlight w:val="yellow"/>
      </w:rPr>
      <w:t xml:space="preserve">Telefone: (54) 3449.3363 – www.ifrs.edu.br – E-mail: </w:t>
    </w:r>
    <w:hyperlink r:id="rId2" w:history="1">
      <w:r w:rsidRPr="00137A35">
        <w:rPr>
          <w:rStyle w:val="Hyperlink"/>
          <w:rFonts w:asciiTheme="minorHAnsi" w:hAnsiTheme="minorHAnsi" w:cstheme="minorHAnsi"/>
          <w:sz w:val="20"/>
          <w:szCs w:val="20"/>
          <w:highlight w:val="yellow"/>
        </w:rPr>
        <w:t>licitacao@ifrs.edu.br</w:t>
      </w:r>
    </w:hyperlink>
  </w:p>
  <w:p w:rsidR="00137A35" w:rsidRDefault="00137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35"/>
    <w:rsid w:val="00137A35"/>
    <w:rsid w:val="00181C4E"/>
    <w:rsid w:val="001F175C"/>
    <w:rsid w:val="00281D91"/>
    <w:rsid w:val="005852A1"/>
    <w:rsid w:val="005D7BF9"/>
    <w:rsid w:val="006023A0"/>
    <w:rsid w:val="00666C8E"/>
    <w:rsid w:val="007E03FB"/>
    <w:rsid w:val="0082029D"/>
    <w:rsid w:val="00867231"/>
    <w:rsid w:val="00B04572"/>
    <w:rsid w:val="00BC4A7F"/>
    <w:rsid w:val="00D80895"/>
    <w:rsid w:val="00E95626"/>
    <w:rsid w:val="00F50B3E"/>
    <w:rsid w:val="00F5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8A786"/>
  <w15:chartTrackingRefBased/>
  <w15:docId w15:val="{56486138-4069-4C7F-A95C-3569516B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7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7A35"/>
  </w:style>
  <w:style w:type="paragraph" w:styleId="Rodap">
    <w:name w:val="footer"/>
    <w:basedOn w:val="Normal"/>
    <w:link w:val="RodapChar"/>
    <w:uiPriority w:val="99"/>
    <w:unhideWhenUsed/>
    <w:rsid w:val="00137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7A35"/>
  </w:style>
  <w:style w:type="character" w:styleId="Hyperlink">
    <w:name w:val="Hyperlink"/>
    <w:rsid w:val="00137A35"/>
    <w:rPr>
      <w:color w:val="000080"/>
      <w:u w:val="single"/>
    </w:rPr>
  </w:style>
  <w:style w:type="paragraph" w:styleId="SemEspaamento">
    <w:name w:val="No Spacing"/>
    <w:uiPriority w:val="1"/>
    <w:qFormat/>
    <w:rsid w:val="00137A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ifrs.edu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Clauderson Piazzetta</dc:creator>
  <cp:keywords/>
  <dc:description/>
  <cp:lastModifiedBy>Clauderson Piazzetta</cp:lastModifiedBy>
  <cp:revision>8</cp:revision>
  <dcterms:created xsi:type="dcterms:W3CDTF">2024-09-10T14:13:00Z</dcterms:created>
  <dcterms:modified xsi:type="dcterms:W3CDTF">2024-09-10T14:15:00Z</dcterms:modified>
</cp:coreProperties>
</file>