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5422" w:rsidRPr="00EE37E1" w:rsidRDefault="00146272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37E1">
        <w:rPr>
          <w:rFonts w:asciiTheme="majorHAnsi" w:hAnsiTheme="majorHAnsi" w:cstheme="majorHAnsi"/>
          <w:b/>
          <w:sz w:val="24"/>
          <w:szCs w:val="24"/>
        </w:rPr>
        <w:t>RELATÓRIO</w:t>
      </w:r>
    </w:p>
    <w:p w14:paraId="00000002" w14:textId="77777777" w:rsidR="00405422" w:rsidRPr="00EE37E1" w:rsidRDefault="00146272">
      <w:pPr>
        <w:spacing w:before="240"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E37E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03" w14:textId="76C941C9" w:rsidR="00405422" w:rsidRPr="00EE37E1" w:rsidRDefault="00146272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Trata-se do processo nº </w:t>
      </w:r>
      <w:proofErr w:type="spellStart"/>
      <w:r w:rsidR="00042207" w:rsidRPr="00EE37E1">
        <w:rPr>
          <w:rFonts w:asciiTheme="majorHAnsi" w:hAnsiTheme="majorHAnsi" w:cstheme="majorHAnsi"/>
          <w:sz w:val="24"/>
          <w:szCs w:val="24"/>
          <w:highlight w:val="yellow"/>
        </w:rPr>
        <w:t>xxxxxxxxxx</w:t>
      </w:r>
      <w:proofErr w:type="spellEnd"/>
      <w:r w:rsidR="00E53393" w:rsidRPr="00EE37E1">
        <w:rPr>
          <w:rFonts w:asciiTheme="majorHAnsi" w:hAnsiTheme="majorHAnsi" w:cstheme="majorHAnsi"/>
          <w:sz w:val="24"/>
          <w:szCs w:val="24"/>
        </w:rPr>
        <w:t xml:space="preserve"> de </w:t>
      </w:r>
      <w:r w:rsidR="0077556B" w:rsidRPr="00EE37E1">
        <w:rPr>
          <w:rFonts w:asciiTheme="majorHAnsi" w:hAnsiTheme="majorHAnsi" w:cstheme="majorHAnsi"/>
          <w:sz w:val="24"/>
          <w:szCs w:val="24"/>
        </w:rPr>
        <w:t xml:space="preserve">DISPENSA de licitação n° </w:t>
      </w:r>
      <w:proofErr w:type="spellStart"/>
      <w:r w:rsidR="0077556B" w:rsidRPr="00EE37E1">
        <w:rPr>
          <w:rFonts w:asciiTheme="majorHAnsi" w:hAnsiTheme="majorHAnsi" w:cstheme="majorHAnsi"/>
          <w:sz w:val="24"/>
          <w:szCs w:val="24"/>
          <w:highlight w:val="yellow"/>
        </w:rPr>
        <w:t>xx</w:t>
      </w:r>
      <w:proofErr w:type="spellEnd"/>
      <w:r w:rsidR="0077556B" w:rsidRPr="00EE37E1">
        <w:rPr>
          <w:rFonts w:asciiTheme="majorHAnsi" w:hAnsiTheme="majorHAnsi" w:cstheme="majorHAnsi"/>
          <w:sz w:val="24"/>
          <w:szCs w:val="24"/>
        </w:rPr>
        <w:t>/2023</w:t>
      </w:r>
      <w:r w:rsidRPr="00EE37E1">
        <w:rPr>
          <w:rFonts w:asciiTheme="majorHAnsi" w:hAnsiTheme="majorHAnsi" w:cstheme="majorHAnsi"/>
          <w:sz w:val="24"/>
          <w:szCs w:val="24"/>
        </w:rPr>
        <w:t>, para “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xxxxxxxxxxxxxxx</w:t>
      </w:r>
      <w:proofErr w:type="spellEnd"/>
      <w:r w:rsidRPr="00EE37E1">
        <w:rPr>
          <w:rFonts w:asciiTheme="majorHAnsi" w:hAnsiTheme="majorHAnsi" w:cstheme="majorHAnsi"/>
          <w:sz w:val="24"/>
          <w:szCs w:val="24"/>
        </w:rPr>
        <w:t xml:space="preserve">”. O valor total é de R$ 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</w:t>
      </w:r>
      <w:proofErr w:type="spellEnd"/>
      <w:r w:rsidRPr="00EE37E1">
        <w:rPr>
          <w:rFonts w:asciiTheme="majorHAnsi" w:hAnsiTheme="majorHAnsi" w:cstheme="majorHAnsi"/>
          <w:sz w:val="24"/>
          <w:szCs w:val="24"/>
          <w:highlight w:val="yellow"/>
        </w:rPr>
        <w:t xml:space="preserve"> (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xxxxxxxxxxxxxx</w:t>
      </w:r>
      <w:proofErr w:type="spellEnd"/>
      <w:r w:rsidRPr="00EE37E1">
        <w:rPr>
          <w:rFonts w:asciiTheme="majorHAnsi" w:hAnsiTheme="majorHAnsi" w:cstheme="majorHAnsi"/>
          <w:sz w:val="24"/>
          <w:szCs w:val="24"/>
        </w:rPr>
        <w:t xml:space="preserve">) a favor de: 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</w:t>
      </w:r>
      <w:r w:rsidR="00E53393" w:rsidRPr="00EE37E1">
        <w:rPr>
          <w:rFonts w:asciiTheme="majorHAnsi" w:hAnsiTheme="majorHAnsi" w:cstheme="majorHAnsi"/>
          <w:sz w:val="24"/>
          <w:szCs w:val="24"/>
        </w:rPr>
        <w:t>x</w:t>
      </w:r>
      <w:proofErr w:type="spellEnd"/>
      <w:r w:rsidRPr="00EE37E1">
        <w:rPr>
          <w:rFonts w:asciiTheme="majorHAnsi" w:hAnsiTheme="majorHAnsi" w:cstheme="majorHAnsi"/>
          <w:sz w:val="24"/>
          <w:szCs w:val="24"/>
        </w:rPr>
        <w:t xml:space="preserve">, CNPJ: 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</w:t>
      </w:r>
      <w:proofErr w:type="spellEnd"/>
      <w:r w:rsidR="00E53393" w:rsidRPr="00EE37E1">
        <w:rPr>
          <w:rFonts w:asciiTheme="majorHAnsi" w:hAnsiTheme="majorHAnsi" w:cstheme="majorHAnsi"/>
          <w:sz w:val="24"/>
          <w:szCs w:val="24"/>
        </w:rPr>
        <w:t>.</w:t>
      </w:r>
    </w:p>
    <w:p w14:paraId="00000004" w14:textId="26283058" w:rsidR="00405422" w:rsidRPr="00EE37E1" w:rsidRDefault="0077556B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          </w:t>
      </w:r>
      <w:r w:rsidRPr="00EE37E1">
        <w:rPr>
          <w:rFonts w:asciiTheme="majorHAnsi" w:hAnsiTheme="majorHAnsi" w:cstheme="majorHAnsi"/>
          <w:sz w:val="24"/>
          <w:szCs w:val="24"/>
        </w:rPr>
        <w:tab/>
      </w:r>
      <w:r w:rsidR="00146272" w:rsidRPr="00EE37E1">
        <w:rPr>
          <w:rFonts w:asciiTheme="majorHAnsi" w:hAnsiTheme="majorHAnsi" w:cstheme="majorHAnsi"/>
          <w:sz w:val="24"/>
          <w:szCs w:val="24"/>
        </w:rPr>
        <w:t xml:space="preserve">Quanto às práticas e/ou critérios de sustentabilidade dispostas no Guia Nacional de Licitações Sustentáveis, informamos </w:t>
      </w:r>
      <w:r w:rsidR="00146272" w:rsidRPr="00EE37E1">
        <w:rPr>
          <w:rFonts w:asciiTheme="majorHAnsi" w:hAnsiTheme="majorHAnsi" w:cstheme="majorHAnsi"/>
          <w:sz w:val="24"/>
          <w:szCs w:val="24"/>
          <w:highlight w:val="yellow"/>
        </w:rPr>
        <w:t xml:space="preserve">que </w:t>
      </w:r>
      <w:proofErr w:type="gram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.....</w:t>
      </w:r>
      <w:proofErr w:type="gramEnd"/>
    </w:p>
    <w:p w14:paraId="00000006" w14:textId="0E390BCC" w:rsidR="00405422" w:rsidRPr="00EE37E1" w:rsidRDefault="00146272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>Informamos, outrossim, que após verificar os documentos entregues e o teor do processo supracitado, o procedimento enquadra-se no art. 75, inciso</w:t>
      </w:r>
      <w:r w:rsidRPr="00516856">
        <w:rPr>
          <w:rFonts w:asciiTheme="majorHAnsi" w:hAnsiTheme="majorHAnsi" w:cstheme="majorHAnsi"/>
          <w:sz w:val="24"/>
          <w:szCs w:val="24"/>
        </w:rPr>
        <w:t xml:space="preserve"> II</w:t>
      </w:r>
      <w:r w:rsidRPr="00EE37E1">
        <w:rPr>
          <w:rFonts w:asciiTheme="majorHAnsi" w:hAnsiTheme="majorHAnsi" w:cstheme="majorHAnsi"/>
          <w:sz w:val="24"/>
          <w:szCs w:val="24"/>
        </w:rPr>
        <w:t>, nos termos da Lei nº 14.133, de 1º de abril de 2021.</w:t>
      </w:r>
    </w:p>
    <w:p w14:paraId="3D863A5C" w14:textId="2C94E591" w:rsidR="0077556B" w:rsidRPr="00EE37E1" w:rsidRDefault="0077556B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Tratando-se de dispensa fundada nos incisos I ou II do art. 75 da Lei 14133/21, a contratação será preferencialmente paga por meio de cartão de pagamento e com divulgação do extrato no Portal Nacional de Contratações Públicas. </w:t>
      </w:r>
      <w:r w:rsidRPr="00EE37E1">
        <w:rPr>
          <w:rFonts w:asciiTheme="majorHAnsi" w:hAnsiTheme="majorHAnsi" w:cstheme="majorHAnsi"/>
          <w:sz w:val="24"/>
          <w:szCs w:val="24"/>
          <w:highlight w:val="yellow"/>
        </w:rPr>
        <w:t>Justificar por que não foi adotada essa forma de pagamento.</w:t>
      </w:r>
    </w:p>
    <w:p w14:paraId="5DAD4428" w14:textId="0FB9D992" w:rsidR="0077556B" w:rsidRPr="00EE37E1" w:rsidRDefault="0077556B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  <w:highlight w:val="yellow"/>
        </w:rPr>
        <w:t>Foi utilizada dispensa eletrônica para selecionar o fornecedor da contratação.</w:t>
      </w:r>
    </w:p>
    <w:p w14:paraId="1782FD51" w14:textId="41879584" w:rsidR="00146272" w:rsidRPr="001A5FD6" w:rsidRDefault="001A5FD6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A5FD6">
        <w:rPr>
          <w:rFonts w:asciiTheme="majorHAnsi" w:hAnsiTheme="majorHAnsi" w:cstheme="majorHAnsi"/>
          <w:sz w:val="24"/>
          <w:szCs w:val="24"/>
          <w:highlight w:val="red"/>
        </w:rPr>
        <w:t>Quando for o caso, citar que a j</w:t>
      </w:r>
      <w:r w:rsidR="00146272" w:rsidRPr="001A5FD6">
        <w:rPr>
          <w:rFonts w:asciiTheme="majorHAnsi" w:hAnsiTheme="majorHAnsi" w:cstheme="majorHAnsi"/>
          <w:sz w:val="24"/>
          <w:szCs w:val="24"/>
          <w:highlight w:val="red"/>
        </w:rPr>
        <w:t>ustificativa para Dispensa eletrônica</w:t>
      </w:r>
      <w:r w:rsidRPr="001A5FD6">
        <w:rPr>
          <w:rFonts w:asciiTheme="majorHAnsi" w:hAnsiTheme="majorHAnsi" w:cstheme="majorHAnsi"/>
          <w:sz w:val="24"/>
          <w:szCs w:val="24"/>
          <w:highlight w:val="red"/>
        </w:rPr>
        <w:t xml:space="preserve"> SEM Disputa consta no Projeto Básico ou termo de Referência.</w:t>
      </w:r>
    </w:p>
    <w:p w14:paraId="3078C3EE" w14:textId="6CB7C99B" w:rsidR="00146272" w:rsidRPr="00EE37E1" w:rsidRDefault="00146272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  <w:highlight w:val="yellow"/>
        </w:rPr>
        <w:t xml:space="preserve">Conforme IN 81/2022 </w:t>
      </w:r>
      <w:r w:rsidR="00EE37E1">
        <w:rPr>
          <w:rFonts w:asciiTheme="majorHAnsi" w:hAnsiTheme="majorHAnsi" w:cstheme="majorHAnsi"/>
          <w:sz w:val="24"/>
          <w:szCs w:val="24"/>
          <w:highlight w:val="yellow"/>
        </w:rPr>
        <w:t>§ 3º a</w:t>
      </w:r>
      <w:r w:rsidRPr="00EE37E1">
        <w:rPr>
          <w:rFonts w:asciiTheme="majorHAnsi" w:hAnsiTheme="majorHAnsi" w:cstheme="majorHAnsi"/>
          <w:sz w:val="24"/>
          <w:szCs w:val="24"/>
          <w:highlight w:val="yellow"/>
        </w:rPr>
        <w:t xml:space="preserve"> não utilização dos modelos de </w:t>
      </w:r>
      <w:r w:rsidR="00EE37E1">
        <w:rPr>
          <w:rFonts w:asciiTheme="majorHAnsi" w:hAnsiTheme="majorHAnsi" w:cstheme="majorHAnsi"/>
          <w:sz w:val="24"/>
          <w:szCs w:val="24"/>
          <w:highlight w:val="yellow"/>
        </w:rPr>
        <w:t xml:space="preserve">termo de referência </w:t>
      </w:r>
      <w:r w:rsidRPr="00EE37E1">
        <w:rPr>
          <w:rFonts w:asciiTheme="majorHAnsi" w:hAnsiTheme="majorHAnsi" w:cstheme="majorHAnsi"/>
          <w:sz w:val="24"/>
          <w:szCs w:val="24"/>
          <w:highlight w:val="yellow"/>
        </w:rPr>
        <w:t>que trata o § 2º, deverá ser justificada em atenção ao § 2º do art. 19 da Lei nº 14.133, de 2021</w:t>
      </w:r>
      <w:r w:rsidRPr="00EE37E1">
        <w:rPr>
          <w:rFonts w:asciiTheme="majorHAnsi" w:hAnsiTheme="majorHAnsi" w:cstheme="majorHAnsi"/>
          <w:sz w:val="24"/>
          <w:szCs w:val="24"/>
        </w:rPr>
        <w:t>.</w:t>
      </w:r>
    </w:p>
    <w:p w14:paraId="56347C02" w14:textId="0F69C79B" w:rsidR="0077556B" w:rsidRPr="00EE37E1" w:rsidRDefault="0077556B" w:rsidP="0077556B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  <w:r w:rsidRPr="00EE37E1">
        <w:rPr>
          <w:rFonts w:asciiTheme="majorHAnsi" w:hAnsiTheme="majorHAnsi" w:cstheme="majorHAnsi"/>
          <w:sz w:val="24"/>
          <w:szCs w:val="24"/>
          <w:highlight w:val="yellow"/>
        </w:rPr>
        <w:t>Justificativa para não utilização de sistema de registro de preços.</w:t>
      </w:r>
    </w:p>
    <w:p w14:paraId="02F42C75" w14:textId="5E9E0B30" w:rsidR="00215E55" w:rsidRPr="00215E55" w:rsidRDefault="0077556B" w:rsidP="00215E55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  <w:highlight w:val="yellow"/>
        </w:rPr>
        <w:t>Informação do uso ou justificativa para não utilização de catá</w:t>
      </w:r>
      <w:r w:rsidR="00516856">
        <w:rPr>
          <w:rFonts w:asciiTheme="majorHAnsi" w:hAnsiTheme="majorHAnsi" w:cstheme="majorHAnsi"/>
          <w:sz w:val="24"/>
          <w:szCs w:val="24"/>
          <w:highlight w:val="yellow"/>
        </w:rPr>
        <w:t>logo eletrônico de padronização conforme a</w:t>
      </w:r>
      <w:r w:rsidRPr="00EE37E1">
        <w:rPr>
          <w:rFonts w:asciiTheme="majorHAnsi" w:hAnsiTheme="majorHAnsi" w:cstheme="majorHAnsi"/>
          <w:sz w:val="24"/>
          <w:szCs w:val="24"/>
          <w:highlight w:val="yellow"/>
        </w:rPr>
        <w:t>rt. 19 e art. 40 da Lei 14133/21</w:t>
      </w:r>
      <w:r w:rsidR="00516856">
        <w:rPr>
          <w:rFonts w:asciiTheme="majorHAnsi" w:hAnsiTheme="majorHAnsi" w:cstheme="majorHAnsi"/>
          <w:sz w:val="24"/>
          <w:szCs w:val="24"/>
        </w:rPr>
        <w:t>.</w:t>
      </w:r>
      <w:r w:rsidR="00215E55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Hlk126930848"/>
      <w:r w:rsidR="00215E55">
        <w:rPr>
          <w:rFonts w:asciiTheme="majorHAnsi" w:hAnsiTheme="majorHAnsi" w:cstheme="majorHAnsi"/>
          <w:sz w:val="24"/>
          <w:szCs w:val="24"/>
        </w:rPr>
        <w:t>(</w:t>
      </w:r>
      <w:r w:rsidR="00215E55" w:rsidRPr="00215E55">
        <w:rPr>
          <w:rFonts w:ascii="Calibri" w:hAnsi="Calibri" w:cs="Calibri"/>
          <w:color w:val="FF0000"/>
          <w:shd w:val="clear" w:color="auto" w:fill="FFFFFF"/>
        </w:rPr>
        <w:t xml:space="preserve">Justifica-se a não utilização de catálogo eletrônico de padronização em atendimento ao art. 19 § 2º e art. 40 da Lei 14133/21, </w:t>
      </w:r>
      <w:r w:rsidR="00215E55" w:rsidRPr="00215E55">
        <w:rPr>
          <w:rFonts w:ascii="Calibri" w:hAnsi="Calibri" w:cs="Calibri"/>
          <w:color w:val="FF0000"/>
          <w:shd w:val="clear" w:color="auto" w:fill="FFFFFF"/>
        </w:rPr>
        <w:t>visto que em consulta</w:t>
      </w:r>
      <w:r w:rsidR="00215E55" w:rsidRPr="00215E55">
        <w:rPr>
          <w:rFonts w:ascii="Calibri" w:hAnsi="Calibri" w:cs="Calibri"/>
          <w:color w:val="FF0000"/>
          <w:shd w:val="clear" w:color="auto" w:fill="FFFFFF"/>
        </w:rPr>
        <w:t xml:space="preserve"> </w:t>
      </w:r>
      <w:r w:rsidR="00215E55" w:rsidRPr="00215E55">
        <w:rPr>
          <w:rFonts w:ascii="Calibri" w:hAnsi="Calibri" w:cs="Calibri"/>
          <w:color w:val="FF0000"/>
          <w:shd w:val="clear" w:color="auto" w:fill="FFFFFF"/>
        </w:rPr>
        <w:t>a</w:t>
      </w:r>
      <w:r w:rsidR="00215E55" w:rsidRPr="00215E55">
        <w:rPr>
          <w:rFonts w:ascii="Calibri" w:hAnsi="Calibri" w:cs="Calibri"/>
          <w:color w:val="FF0000"/>
          <w:shd w:val="clear" w:color="auto" w:fill="FFFFFF"/>
        </w:rPr>
        <w:t xml:space="preserve">o PNCP (Portal de Compras do Governo Federal) </w:t>
      </w:r>
      <w:r w:rsidR="00215E55" w:rsidRPr="00215E55">
        <w:rPr>
          <w:rFonts w:ascii="Calibri" w:hAnsi="Calibri" w:cs="Calibri"/>
          <w:color w:val="FF0000"/>
          <w:shd w:val="clear" w:color="auto" w:fill="FFFFFF"/>
        </w:rPr>
        <w:t xml:space="preserve">não consta </w:t>
      </w:r>
      <w:r w:rsidR="00215E55" w:rsidRPr="00215E55">
        <w:rPr>
          <w:rFonts w:ascii="Calibri" w:hAnsi="Calibri" w:cs="Calibri"/>
          <w:color w:val="FF0000"/>
          <w:shd w:val="clear" w:color="auto" w:fill="FFFFFF"/>
        </w:rPr>
        <w:t>o item da presente contratação.</w:t>
      </w:r>
      <w:r w:rsidR="00215E55">
        <w:rPr>
          <w:rFonts w:ascii="Calibri" w:hAnsi="Calibri" w:cs="Calibri"/>
          <w:color w:val="FF0000"/>
          <w:shd w:val="clear" w:color="auto" w:fill="FFFFFF"/>
        </w:rPr>
        <w:t>)</w:t>
      </w:r>
    </w:p>
    <w:bookmarkEnd w:id="0"/>
    <w:p w14:paraId="56AA86B3" w14:textId="4EC33602" w:rsidR="0077556B" w:rsidRPr="00EE37E1" w:rsidRDefault="001F227B" w:rsidP="0077556B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>Certifica-se</w:t>
      </w:r>
      <w:r w:rsidR="0077556B" w:rsidRPr="00EE37E1">
        <w:rPr>
          <w:rFonts w:asciiTheme="majorHAnsi" w:hAnsiTheme="majorHAnsi" w:cstheme="majorHAnsi"/>
          <w:sz w:val="24"/>
          <w:szCs w:val="24"/>
        </w:rPr>
        <w:t xml:space="preserve"> que os serviços a serem contratados se enquadram como as atividades materiais acessórias, instrumentais ou complementares aos assuntos que constituam área de competência legal do órgão ou da entidade</w:t>
      </w:r>
      <w:r w:rsidR="00516856">
        <w:rPr>
          <w:rFonts w:asciiTheme="majorHAnsi" w:hAnsiTheme="majorHAnsi" w:cstheme="majorHAnsi"/>
          <w:sz w:val="24"/>
          <w:szCs w:val="24"/>
        </w:rPr>
        <w:t xml:space="preserve"> em atendimento ao art</w:t>
      </w:r>
      <w:r w:rsidR="0077556B" w:rsidRPr="00EE37E1">
        <w:rPr>
          <w:rFonts w:asciiTheme="majorHAnsi" w:hAnsiTheme="majorHAnsi" w:cstheme="majorHAnsi"/>
          <w:sz w:val="24"/>
          <w:szCs w:val="24"/>
        </w:rPr>
        <w:t>. 48 da Lei 14133/21</w:t>
      </w:r>
      <w:r w:rsidR="00516856">
        <w:rPr>
          <w:rFonts w:asciiTheme="majorHAnsi" w:hAnsiTheme="majorHAnsi" w:cstheme="majorHAnsi"/>
          <w:sz w:val="24"/>
          <w:szCs w:val="24"/>
        </w:rPr>
        <w:t>.</w:t>
      </w:r>
      <w:r w:rsidR="00215E55">
        <w:rPr>
          <w:rFonts w:asciiTheme="majorHAnsi" w:hAnsiTheme="majorHAnsi" w:cstheme="majorHAnsi"/>
          <w:sz w:val="24"/>
          <w:szCs w:val="24"/>
        </w:rPr>
        <w:t xml:space="preserve"> </w:t>
      </w:r>
      <w:r w:rsidR="00215E55" w:rsidRPr="00215E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(Verificar)</w:t>
      </w:r>
    </w:p>
    <w:p w14:paraId="00000007" w14:textId="06033345" w:rsidR="00405422" w:rsidRPr="00EE37E1" w:rsidRDefault="0077556B">
      <w:pPr>
        <w:spacing w:before="240" w:after="240"/>
        <w:ind w:firstLine="700"/>
        <w:jc w:val="both"/>
        <w:rPr>
          <w:rFonts w:asciiTheme="majorHAnsi" w:hAnsiTheme="majorHAnsi" w:cstheme="majorHAnsi"/>
          <w:color w:val="162937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De acordo com o </w:t>
      </w:r>
      <w:r w:rsidR="00D87A4C">
        <w:rPr>
          <w:rFonts w:asciiTheme="majorHAnsi" w:hAnsiTheme="majorHAnsi" w:cstheme="majorHAnsi"/>
          <w:sz w:val="24"/>
          <w:szCs w:val="24"/>
        </w:rPr>
        <w:t xml:space="preserve">DESPACHO n. 0005/2023/PF/IFRS/PFIFRIO GRANDE DO SUL/PGF/AGU, o </w:t>
      </w:r>
      <w:r w:rsidRPr="00EE37E1">
        <w:rPr>
          <w:rFonts w:asciiTheme="majorHAnsi" w:hAnsiTheme="majorHAnsi" w:cstheme="majorHAnsi"/>
          <w:sz w:val="24"/>
          <w:szCs w:val="24"/>
        </w:rPr>
        <w:t>a</w:t>
      </w:r>
      <w:r w:rsidR="00146272" w:rsidRPr="00EE37E1">
        <w:rPr>
          <w:rFonts w:asciiTheme="majorHAnsi" w:hAnsiTheme="majorHAnsi" w:cstheme="majorHAnsi"/>
          <w:sz w:val="24"/>
          <w:szCs w:val="24"/>
        </w:rPr>
        <w:t>rt</w:t>
      </w:r>
      <w:r w:rsidRPr="00EE37E1">
        <w:rPr>
          <w:rFonts w:asciiTheme="majorHAnsi" w:hAnsiTheme="majorHAnsi" w:cstheme="majorHAnsi"/>
          <w:sz w:val="24"/>
          <w:szCs w:val="24"/>
        </w:rPr>
        <w:t>.</w:t>
      </w:r>
      <w:r w:rsidR="00146272" w:rsidRPr="00EE37E1">
        <w:rPr>
          <w:rFonts w:asciiTheme="majorHAnsi" w:hAnsiTheme="majorHAnsi" w:cstheme="majorHAnsi"/>
          <w:sz w:val="24"/>
          <w:szCs w:val="24"/>
        </w:rPr>
        <w:t xml:space="preserve"> 53 § 5º da Lei 14.133/2021 e ON AGU 69/2021</w:t>
      </w:r>
      <w:r w:rsidR="00D87A4C">
        <w:rPr>
          <w:rFonts w:asciiTheme="majorHAnsi" w:hAnsiTheme="majorHAnsi" w:cstheme="majorHAnsi"/>
          <w:sz w:val="24"/>
          <w:szCs w:val="24"/>
        </w:rPr>
        <w:t xml:space="preserve"> estabelecem</w:t>
      </w:r>
      <w:r w:rsidR="00146272" w:rsidRPr="00EE37E1">
        <w:rPr>
          <w:rFonts w:asciiTheme="majorHAnsi" w:hAnsiTheme="majorHAnsi" w:cstheme="majorHAnsi"/>
          <w:sz w:val="24"/>
          <w:szCs w:val="24"/>
        </w:rPr>
        <w:t>: “</w:t>
      </w:r>
      <w:r w:rsidR="00D667B2" w:rsidRPr="00D667B2">
        <w:rPr>
          <w:rFonts w:asciiTheme="majorHAnsi" w:hAnsiTheme="majorHAnsi" w:cstheme="majorHAnsi"/>
          <w:sz w:val="24"/>
          <w:szCs w:val="24"/>
        </w:rPr>
        <w:t xml:space="preserve">Não é obrigatória manifestação jurídica nas contratações diretas de pequeno valor com </w:t>
      </w:r>
      <w:r w:rsidR="00D667B2" w:rsidRPr="00D667B2">
        <w:rPr>
          <w:rFonts w:asciiTheme="majorHAnsi" w:hAnsiTheme="majorHAnsi" w:cstheme="majorHAnsi"/>
          <w:sz w:val="24"/>
          <w:szCs w:val="24"/>
        </w:rPr>
        <w:lastRenderedPageBreak/>
        <w:t>fundamento no art. 75, I ou II, e § 3º da lei nº 14.133, de 1º de abril de 2021, salvo se houver celebração de contrato administrativo e este não for padronizado pelo órgão de assessoramento jurídico, ou nas hipóteses em que o administrador tenha suscitado dúvida a respeito da legalidade da dispensa de licitação. Aplica-se o mesmo entendimento às contratações diretas fundadas no art. 74, da lei nº 14.133, de 2021, desde que seus valores não ultrapassem os limites previstos nos incisos I e II do art. 75, da lei nº 14.133, de 2021.”</w:t>
      </w:r>
    </w:p>
    <w:p w14:paraId="00000008" w14:textId="11BB4171" w:rsidR="00405422" w:rsidRPr="00EE37E1" w:rsidRDefault="00146272" w:rsidP="00D667B2">
      <w:pPr>
        <w:ind w:firstLine="700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>Enviar</w:t>
      </w:r>
      <w:r w:rsidR="006C1029">
        <w:rPr>
          <w:rFonts w:asciiTheme="majorHAnsi" w:hAnsiTheme="majorHAnsi" w:cstheme="majorHAnsi"/>
          <w:sz w:val="24"/>
          <w:szCs w:val="24"/>
        </w:rPr>
        <w:t>emos o processo para a autorização</w:t>
      </w:r>
      <w:r w:rsidRPr="00EE37E1">
        <w:rPr>
          <w:rFonts w:asciiTheme="majorHAnsi" w:hAnsiTheme="majorHAnsi" w:cstheme="majorHAnsi"/>
          <w:sz w:val="24"/>
          <w:szCs w:val="24"/>
        </w:rPr>
        <w:t xml:space="preserve"> da autoridade competente observadas as formalidades de que trata o </w:t>
      </w:r>
      <w:r w:rsidR="006C1029">
        <w:rPr>
          <w:rFonts w:asciiTheme="majorHAnsi" w:hAnsiTheme="majorHAnsi" w:cstheme="majorHAnsi"/>
          <w:sz w:val="24"/>
          <w:szCs w:val="24"/>
        </w:rPr>
        <w:t>inciso VIII do art. 72 da Lei nº 14.133/2021</w:t>
      </w:r>
      <w:r w:rsidRPr="00EE37E1">
        <w:rPr>
          <w:rFonts w:asciiTheme="majorHAnsi" w:hAnsiTheme="majorHAnsi" w:cstheme="majorHAnsi"/>
          <w:sz w:val="24"/>
          <w:szCs w:val="24"/>
        </w:rPr>
        <w:t>.</w:t>
      </w:r>
    </w:p>
    <w:p w14:paraId="00000009" w14:textId="77777777" w:rsidR="00405422" w:rsidRPr="00EE37E1" w:rsidRDefault="00146272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A" w14:textId="77777777" w:rsidR="00405422" w:rsidRPr="00EE37E1" w:rsidRDefault="00405422">
      <w:pPr>
        <w:spacing w:before="240" w:after="240"/>
        <w:ind w:firstLine="700"/>
        <w:jc w:val="right"/>
        <w:rPr>
          <w:rFonts w:asciiTheme="majorHAnsi" w:hAnsiTheme="majorHAnsi" w:cstheme="majorHAnsi"/>
          <w:sz w:val="24"/>
          <w:szCs w:val="24"/>
        </w:rPr>
      </w:pPr>
    </w:p>
    <w:p w14:paraId="0000000C" w14:textId="31BCD24C" w:rsidR="00405422" w:rsidRPr="00EE37E1" w:rsidRDefault="00146272" w:rsidP="00516856">
      <w:pPr>
        <w:spacing w:before="240" w:after="240"/>
        <w:jc w:val="right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000000D" w14:textId="23C6786F" w:rsidR="00405422" w:rsidRPr="00EE37E1" w:rsidRDefault="00146272">
      <w:pPr>
        <w:spacing w:before="240" w:after="240"/>
        <w:jc w:val="right"/>
        <w:rPr>
          <w:rFonts w:asciiTheme="majorHAnsi" w:hAnsiTheme="majorHAnsi" w:cstheme="majorHAnsi"/>
          <w:sz w:val="24"/>
          <w:szCs w:val="24"/>
        </w:rPr>
      </w:pPr>
      <w:proofErr w:type="spellStart"/>
      <w:r w:rsidRPr="00EE37E1">
        <w:rPr>
          <w:rFonts w:asciiTheme="majorHAnsi" w:hAnsiTheme="majorHAnsi" w:cstheme="majorHAnsi"/>
          <w:sz w:val="24"/>
          <w:szCs w:val="24"/>
          <w:highlight w:val="yellow"/>
        </w:rPr>
        <w:t>xxxxxxxxxx</w:t>
      </w:r>
      <w:proofErr w:type="spellEnd"/>
    </w:p>
    <w:p w14:paraId="0000000E" w14:textId="77777777" w:rsidR="00405422" w:rsidRPr="00EE37E1" w:rsidRDefault="00146272">
      <w:pPr>
        <w:spacing w:before="240" w:after="240"/>
        <w:jc w:val="right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>Coordenadora de Licitações e Compras</w:t>
      </w:r>
    </w:p>
    <w:p w14:paraId="0000000F" w14:textId="55B9EA12" w:rsidR="00405422" w:rsidRPr="00EE37E1" w:rsidRDefault="00146272">
      <w:pPr>
        <w:jc w:val="right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eastAsia="Calibri" w:hAnsiTheme="majorHAnsi" w:cstheme="majorHAnsi"/>
          <w:sz w:val="24"/>
          <w:szCs w:val="24"/>
        </w:rPr>
        <w:t xml:space="preserve">Portaria n° </w:t>
      </w:r>
      <w:proofErr w:type="spellStart"/>
      <w:r w:rsidRPr="00EE37E1">
        <w:rPr>
          <w:rFonts w:asciiTheme="majorHAnsi" w:eastAsia="Calibri" w:hAnsiTheme="majorHAnsi" w:cstheme="majorHAnsi"/>
          <w:sz w:val="24"/>
          <w:szCs w:val="24"/>
          <w:highlight w:val="yellow"/>
        </w:rPr>
        <w:t>xxxx</w:t>
      </w:r>
      <w:proofErr w:type="spellEnd"/>
    </w:p>
    <w:sectPr w:rsidR="00405422" w:rsidRPr="00EE37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22"/>
    <w:rsid w:val="00042207"/>
    <w:rsid w:val="00146272"/>
    <w:rsid w:val="001A5FD6"/>
    <w:rsid w:val="001F227B"/>
    <w:rsid w:val="00215E55"/>
    <w:rsid w:val="00405422"/>
    <w:rsid w:val="00516856"/>
    <w:rsid w:val="006C1029"/>
    <w:rsid w:val="0077556B"/>
    <w:rsid w:val="00D667B2"/>
    <w:rsid w:val="00D87A4C"/>
    <w:rsid w:val="00E53393"/>
    <w:rsid w:val="00EE37E1"/>
    <w:rsid w:val="00E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DA07"/>
  <w15:docId w15:val="{A4C9F24F-3C8C-4152-9350-4B28A002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Casagrande Fornasier</dc:creator>
  <cp:lastModifiedBy>Caroline</cp:lastModifiedBy>
  <cp:revision>2</cp:revision>
  <dcterms:created xsi:type="dcterms:W3CDTF">2023-02-10T17:14:00Z</dcterms:created>
  <dcterms:modified xsi:type="dcterms:W3CDTF">2023-02-10T17:14:00Z</dcterms:modified>
</cp:coreProperties>
</file>