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1FDF"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320E07B2" w:rsidR="00D47FC1" w:rsidRPr="00546553" w:rsidRDefault="00A524EC" w:rsidP="00D47FC1">
      <w:pPr>
        <w:jc w:val="right"/>
        <w:rPr>
          <w:b/>
          <w:color w:val="FFFFFF" w:themeColor="background1"/>
          <w:sz w:val="72"/>
          <w:szCs w:val="72"/>
        </w:rPr>
      </w:pPr>
      <w:r>
        <w:rPr>
          <w:b/>
          <w:color w:val="FFFFFF" w:themeColor="background1"/>
          <w:sz w:val="72"/>
          <w:szCs w:val="72"/>
        </w:rPr>
        <w:t>Relatório Contábil</w:t>
      </w:r>
      <w:r w:rsidR="00D47FC1" w:rsidRPr="00546553">
        <w:rPr>
          <w:b/>
          <w:color w:val="FFFFFF" w:themeColor="background1"/>
          <w:sz w:val="72"/>
          <w:szCs w:val="72"/>
        </w:rPr>
        <w:t xml:space="preserve"> do IFRS</w:t>
      </w:r>
    </w:p>
    <w:p w14:paraId="730C6ABF" w14:textId="7F396D2A" w:rsidR="00D47FC1" w:rsidRPr="00546553" w:rsidRDefault="00A524EC" w:rsidP="00D47FC1">
      <w:pPr>
        <w:jc w:val="right"/>
        <w:rPr>
          <w:color w:val="FFFFFF" w:themeColor="background1"/>
          <w:sz w:val="36"/>
          <w:szCs w:val="36"/>
        </w:rPr>
      </w:pPr>
      <w:r>
        <w:rPr>
          <w:color w:val="FFFFFF" w:themeColor="background1"/>
          <w:sz w:val="36"/>
          <w:szCs w:val="36"/>
        </w:rPr>
        <w:t xml:space="preserve">e </w:t>
      </w:r>
      <w:r w:rsidR="00D47FC1" w:rsidRPr="00546553">
        <w:rPr>
          <w:color w:val="FFFFFF" w:themeColor="background1"/>
          <w:sz w:val="36"/>
          <w:szCs w:val="36"/>
        </w:rPr>
        <w:t>Demon</w:t>
      </w:r>
      <w:r>
        <w:rPr>
          <w:color w:val="FFFFFF" w:themeColor="background1"/>
          <w:sz w:val="36"/>
          <w:szCs w:val="36"/>
        </w:rPr>
        <w:t>strações Contábeis Consolidadas</w:t>
      </w:r>
    </w:p>
    <w:p w14:paraId="3E6809B0" w14:textId="0BD02462" w:rsidR="00D47FC1" w:rsidRDefault="00D47FC1" w:rsidP="00D47FC1"/>
    <w:p w14:paraId="4B107A00" w14:textId="522526E5" w:rsidR="00F517C8" w:rsidRDefault="00F517C8" w:rsidP="00D47FC1"/>
    <w:p w14:paraId="7651F14F" w14:textId="77777777" w:rsidR="00F517C8" w:rsidRPr="00F70D98" w:rsidRDefault="00F517C8" w:rsidP="00D47FC1"/>
    <w:p w14:paraId="384878C8" w14:textId="6F2A1AAB" w:rsidR="00D47FC1" w:rsidRPr="00546553" w:rsidRDefault="00280481" w:rsidP="00D47FC1">
      <w:pPr>
        <w:jc w:val="right"/>
        <w:rPr>
          <w:b/>
          <w:color w:val="FFFFFF" w:themeColor="background1"/>
          <w:sz w:val="36"/>
          <w:szCs w:val="36"/>
        </w:rPr>
      </w:pPr>
      <w:r>
        <w:rPr>
          <w:b/>
          <w:color w:val="FFFFFF" w:themeColor="background1"/>
          <w:sz w:val="36"/>
          <w:szCs w:val="36"/>
        </w:rPr>
        <w:t>2</w:t>
      </w:r>
      <w:r w:rsidR="00D47FC1" w:rsidRPr="00546553">
        <w:rPr>
          <w:b/>
          <w:color w:val="FFFFFF" w:themeColor="background1"/>
          <w:sz w:val="36"/>
          <w:szCs w:val="36"/>
        </w:rPr>
        <w:t xml:space="preserve">º </w:t>
      </w:r>
      <w:r w:rsidR="0047106B">
        <w:rPr>
          <w:b/>
          <w:color w:val="FFFFFF" w:themeColor="background1"/>
          <w:sz w:val="36"/>
          <w:szCs w:val="36"/>
        </w:rPr>
        <w:t>Trimestre/20</w:t>
      </w:r>
      <w:r w:rsidR="008A6408">
        <w:rPr>
          <w:b/>
          <w:color w:val="FFFFFF" w:themeColor="background1"/>
          <w:sz w:val="36"/>
          <w:szCs w:val="36"/>
        </w:rPr>
        <w:t>2</w:t>
      </w:r>
      <w:r>
        <w:rPr>
          <w:b/>
          <w:color w:val="FFFFFF" w:themeColor="background1"/>
          <w:sz w:val="36"/>
          <w:szCs w:val="36"/>
        </w:rPr>
        <w:t>1</w:t>
      </w:r>
    </w:p>
    <w:p w14:paraId="4F4E744F" w14:textId="77777777" w:rsidR="00D47FC1" w:rsidRPr="00F70D98" w:rsidRDefault="00D47FC1" w:rsidP="00D47FC1"/>
    <w:p w14:paraId="0FD0EADF" w14:textId="0FD23EBC" w:rsidR="00D47FC1" w:rsidRDefault="00D47FC1" w:rsidP="00D47FC1">
      <w:pPr>
        <w:jc w:val="right"/>
        <w:rPr>
          <w:color w:val="FFFFFF" w:themeColor="background1"/>
          <w:sz w:val="28"/>
          <w:szCs w:val="28"/>
        </w:rPr>
      </w:pPr>
      <w:r w:rsidRPr="00546553">
        <w:rPr>
          <w:color w:val="FFFFFF" w:themeColor="background1"/>
          <w:sz w:val="28"/>
          <w:szCs w:val="28"/>
        </w:rPr>
        <w:t>Bento Gonçalves, 20</w:t>
      </w:r>
      <w:r w:rsidR="008A6408">
        <w:rPr>
          <w:color w:val="FFFFFF" w:themeColor="background1"/>
          <w:sz w:val="28"/>
          <w:szCs w:val="28"/>
        </w:rPr>
        <w:t>20</w:t>
      </w:r>
    </w:p>
    <w:p w14:paraId="0FBD73F0" w14:textId="77777777" w:rsidR="00E23038" w:rsidRPr="00546553" w:rsidRDefault="00E23038" w:rsidP="00D47FC1">
      <w:pPr>
        <w:jc w:val="right"/>
        <w:rPr>
          <w:color w:val="FFFFFF" w:themeColor="background1"/>
          <w:sz w:val="28"/>
          <w:szCs w:val="28"/>
        </w:rPr>
      </w:pP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1B86"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t>DCONIFRS</w:t>
      </w:r>
    </w:p>
    <w:p w14:paraId="669211BB" w14:textId="77777777" w:rsidR="00D47FC1" w:rsidRPr="009201DB" w:rsidRDefault="00D47FC1" w:rsidP="00D47FC1">
      <w:pPr>
        <w:spacing w:after="0"/>
        <w:rPr>
          <w:b/>
          <w:sz w:val="28"/>
          <w:szCs w:val="28"/>
        </w:rPr>
      </w:pPr>
      <w:r w:rsidRPr="009201DB">
        <w:rPr>
          <w:b/>
          <w:sz w:val="28"/>
          <w:szCs w:val="28"/>
        </w:rPr>
        <w:t>REITOR</w:t>
      </w:r>
    </w:p>
    <w:p w14:paraId="0CBF1146" w14:textId="77777777" w:rsidR="00D47FC1" w:rsidRPr="009201DB" w:rsidRDefault="00D47FC1" w:rsidP="00D47FC1">
      <w:pPr>
        <w:spacing w:after="0"/>
        <w:rPr>
          <w:sz w:val="28"/>
          <w:szCs w:val="28"/>
        </w:rPr>
      </w:pPr>
      <w:proofErr w:type="spellStart"/>
      <w:r w:rsidRPr="009201DB">
        <w:rPr>
          <w:sz w:val="28"/>
          <w:szCs w:val="28"/>
        </w:rPr>
        <w:t>Julio</w:t>
      </w:r>
      <w:proofErr w:type="spellEnd"/>
      <w:r w:rsidRPr="009201DB">
        <w:rPr>
          <w:sz w:val="28"/>
          <w:szCs w:val="28"/>
        </w:rPr>
        <w:t xml:space="preserve"> </w:t>
      </w:r>
      <w:proofErr w:type="spellStart"/>
      <w:r w:rsidRPr="009201DB">
        <w:rPr>
          <w:sz w:val="28"/>
          <w:szCs w:val="28"/>
        </w:rPr>
        <w:t>Xandro</w:t>
      </w:r>
      <w:proofErr w:type="spellEnd"/>
      <w:r w:rsidRPr="009201DB">
        <w:rPr>
          <w:sz w:val="28"/>
          <w:szCs w:val="28"/>
        </w:rPr>
        <w:t xml:space="preserve"> </w:t>
      </w:r>
      <w:proofErr w:type="spellStart"/>
      <w:r w:rsidRPr="009201DB">
        <w:rPr>
          <w:sz w:val="28"/>
          <w:szCs w:val="28"/>
        </w:rPr>
        <w:t>Heck</w:t>
      </w:r>
      <w:proofErr w:type="spellEnd"/>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2DB5E21" w14:textId="77777777" w:rsidR="00280481" w:rsidRDefault="00280481" w:rsidP="00280481">
      <w:pPr>
        <w:spacing w:after="0"/>
        <w:rPr>
          <w:sz w:val="28"/>
          <w:szCs w:val="28"/>
        </w:rPr>
      </w:pPr>
      <w:r w:rsidRPr="009201DB">
        <w:rPr>
          <w:sz w:val="28"/>
          <w:szCs w:val="28"/>
        </w:rPr>
        <w:t>Elisangela Batista Maciel</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64BD331B" w:rsidR="00D47FC1" w:rsidRDefault="00D47FC1" w:rsidP="00D47FC1">
      <w:pPr>
        <w:spacing w:after="0"/>
        <w:rPr>
          <w:sz w:val="28"/>
          <w:szCs w:val="28"/>
        </w:rPr>
      </w:pPr>
      <w:r w:rsidRPr="009201DB">
        <w:rPr>
          <w:sz w:val="28"/>
          <w:szCs w:val="28"/>
        </w:rPr>
        <w:t xml:space="preserve">Ademir </w:t>
      </w:r>
      <w:proofErr w:type="spellStart"/>
      <w:r w:rsidRPr="009201DB">
        <w:rPr>
          <w:sz w:val="28"/>
          <w:szCs w:val="28"/>
        </w:rPr>
        <w:t>Gautério</w:t>
      </w:r>
      <w:proofErr w:type="spellEnd"/>
      <w:r w:rsidRPr="009201DB">
        <w:rPr>
          <w:sz w:val="28"/>
          <w:szCs w:val="28"/>
        </w:rPr>
        <w:t xml:space="preserve"> </w:t>
      </w:r>
      <w:proofErr w:type="spellStart"/>
      <w:r w:rsidRPr="009201DB">
        <w:rPr>
          <w:sz w:val="28"/>
          <w:szCs w:val="28"/>
        </w:rPr>
        <w:t>Troina</w:t>
      </w:r>
      <w:proofErr w:type="spellEnd"/>
      <w:r w:rsidRPr="009201DB">
        <w:rPr>
          <w:sz w:val="28"/>
          <w:szCs w:val="28"/>
        </w:rPr>
        <w:t xml:space="preserve"> Junior</w:t>
      </w:r>
    </w:p>
    <w:p w14:paraId="495E75F0" w14:textId="5B3C7CB5" w:rsidR="001535F7" w:rsidRPr="009201DB" w:rsidRDefault="001535F7" w:rsidP="00D47FC1">
      <w:pPr>
        <w:spacing w:after="0"/>
        <w:rPr>
          <w:sz w:val="28"/>
          <w:szCs w:val="28"/>
        </w:rPr>
      </w:pPr>
      <w:r>
        <w:rPr>
          <w:sz w:val="28"/>
          <w:szCs w:val="28"/>
        </w:rPr>
        <w:t>Carla Klein</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7A35EAB" w14:textId="125DDB7B" w:rsidR="00650D1C" w:rsidRPr="009201DB" w:rsidRDefault="00650D1C" w:rsidP="00D47FC1">
      <w:pPr>
        <w:spacing w:after="0"/>
        <w:rPr>
          <w:sz w:val="28"/>
          <w:szCs w:val="28"/>
        </w:rPr>
      </w:pPr>
      <w:r>
        <w:rPr>
          <w:sz w:val="28"/>
          <w:szCs w:val="28"/>
        </w:rPr>
        <w:t xml:space="preserve">Gilberto </w:t>
      </w:r>
      <w:proofErr w:type="spellStart"/>
      <w:r>
        <w:rPr>
          <w:sz w:val="28"/>
          <w:szCs w:val="28"/>
        </w:rPr>
        <w:t>Takechi</w:t>
      </w:r>
      <w:proofErr w:type="spellEnd"/>
      <w:r>
        <w:rPr>
          <w:sz w:val="28"/>
          <w:szCs w:val="28"/>
        </w:rPr>
        <w:t xml:space="preserve"> </w:t>
      </w:r>
      <w:proofErr w:type="spellStart"/>
      <w:r>
        <w:rPr>
          <w:sz w:val="28"/>
          <w:szCs w:val="28"/>
        </w:rPr>
        <w:t>Genta</w:t>
      </w:r>
      <w:proofErr w:type="spellEnd"/>
    </w:p>
    <w:p w14:paraId="268D7BA8" w14:textId="77777777" w:rsidR="00D47FC1" w:rsidRPr="009201DB" w:rsidRDefault="00D47FC1" w:rsidP="00D47FC1">
      <w:pPr>
        <w:spacing w:after="0"/>
        <w:rPr>
          <w:sz w:val="28"/>
          <w:szCs w:val="28"/>
        </w:rPr>
      </w:pPr>
      <w:r w:rsidRPr="009201DB">
        <w:rPr>
          <w:sz w:val="28"/>
          <w:szCs w:val="28"/>
        </w:rPr>
        <w:t xml:space="preserve">Jane </w:t>
      </w:r>
      <w:proofErr w:type="spellStart"/>
      <w:r w:rsidRPr="009201DB">
        <w:rPr>
          <w:sz w:val="28"/>
          <w:szCs w:val="28"/>
        </w:rPr>
        <w:t>Marusa</w:t>
      </w:r>
      <w:proofErr w:type="spellEnd"/>
      <w:r w:rsidRPr="009201DB">
        <w:rPr>
          <w:sz w:val="28"/>
          <w:szCs w:val="28"/>
        </w:rPr>
        <w:t xml:space="preserve">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44C56B96" w:rsidR="00D47FC1" w:rsidRDefault="00D47FC1" w:rsidP="00D47FC1">
      <w:pPr>
        <w:spacing w:after="0"/>
        <w:rPr>
          <w:sz w:val="28"/>
          <w:szCs w:val="28"/>
        </w:rPr>
      </w:pPr>
      <w:r w:rsidRPr="009201DB">
        <w:rPr>
          <w:sz w:val="28"/>
          <w:szCs w:val="28"/>
        </w:rPr>
        <w:t>Lu</w:t>
      </w:r>
      <w:r w:rsidR="001535F7">
        <w:rPr>
          <w:sz w:val="28"/>
          <w:szCs w:val="28"/>
        </w:rPr>
        <w:t>ís</w:t>
      </w:r>
      <w:r w:rsidRPr="009201DB">
        <w:rPr>
          <w:sz w:val="28"/>
          <w:szCs w:val="28"/>
        </w:rPr>
        <w:t xml:space="preserve"> Fernando Espinosa de Farias</w:t>
      </w:r>
    </w:p>
    <w:p w14:paraId="2845D0C0" w14:textId="4C876F70" w:rsidR="00280481" w:rsidRPr="009201DB" w:rsidRDefault="00041201" w:rsidP="00D47FC1">
      <w:pPr>
        <w:spacing w:after="0"/>
        <w:rPr>
          <w:sz w:val="28"/>
          <w:szCs w:val="28"/>
        </w:rPr>
      </w:pPr>
      <w:r>
        <w:rPr>
          <w:sz w:val="28"/>
          <w:szCs w:val="28"/>
        </w:rPr>
        <w:t>Luiz Antônio Hining</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proofErr w:type="spellStart"/>
      <w:r w:rsidRPr="009201DB">
        <w:rPr>
          <w:sz w:val="28"/>
          <w:szCs w:val="28"/>
        </w:rPr>
        <w:t>Marinez</w:t>
      </w:r>
      <w:proofErr w:type="spellEnd"/>
      <w:r w:rsidRPr="009201DB">
        <w:rPr>
          <w:sz w:val="28"/>
          <w:szCs w:val="28"/>
        </w:rPr>
        <w:t xml:space="preserve"> Mauer</w:t>
      </w:r>
    </w:p>
    <w:p w14:paraId="3DD0C513" w14:textId="77777777" w:rsidR="001535F7" w:rsidRDefault="00D47FC1" w:rsidP="00D47FC1">
      <w:pPr>
        <w:spacing w:after="0"/>
        <w:rPr>
          <w:sz w:val="28"/>
          <w:szCs w:val="28"/>
        </w:rPr>
      </w:pPr>
      <w:proofErr w:type="spellStart"/>
      <w:r w:rsidRPr="009201DB">
        <w:rPr>
          <w:sz w:val="28"/>
          <w:szCs w:val="28"/>
        </w:rPr>
        <w:t>Patricia</w:t>
      </w:r>
      <w:proofErr w:type="spellEnd"/>
      <w:r w:rsidRPr="009201DB">
        <w:rPr>
          <w:sz w:val="28"/>
          <w:szCs w:val="28"/>
        </w:rPr>
        <w:t xml:space="preserve"> </w:t>
      </w:r>
      <w:proofErr w:type="spellStart"/>
      <w:r w:rsidRPr="009201DB">
        <w:rPr>
          <w:sz w:val="28"/>
          <w:szCs w:val="28"/>
        </w:rPr>
        <w:t>Kissner</w:t>
      </w:r>
      <w:proofErr w:type="spellEnd"/>
    </w:p>
    <w:p w14:paraId="37C3A8DD" w14:textId="38F583DF" w:rsidR="00D47FC1" w:rsidRPr="009201DB" w:rsidRDefault="00D47FC1" w:rsidP="00D47FC1">
      <w:pPr>
        <w:spacing w:after="0"/>
        <w:rPr>
          <w:sz w:val="28"/>
          <w:szCs w:val="28"/>
        </w:rPr>
      </w:pPr>
      <w:r w:rsidRPr="009201DB">
        <w:rPr>
          <w:sz w:val="28"/>
          <w:szCs w:val="28"/>
        </w:rPr>
        <w:t>Pedro Sergio Mendes Leite</w:t>
      </w:r>
    </w:p>
    <w:p w14:paraId="6831E90B" w14:textId="77777777" w:rsidR="00D47FC1" w:rsidRPr="009201DB" w:rsidRDefault="00D47FC1" w:rsidP="00D47FC1">
      <w:pPr>
        <w:spacing w:after="0"/>
        <w:rPr>
          <w:sz w:val="28"/>
          <w:szCs w:val="28"/>
        </w:rPr>
      </w:pPr>
      <w:r w:rsidRPr="009201DB">
        <w:rPr>
          <w:sz w:val="28"/>
          <w:szCs w:val="28"/>
        </w:rPr>
        <w:t xml:space="preserve">Roberto Russell </w:t>
      </w:r>
      <w:proofErr w:type="spellStart"/>
      <w:r w:rsidRPr="009201DB">
        <w:rPr>
          <w:sz w:val="28"/>
          <w:szCs w:val="28"/>
        </w:rPr>
        <w:t>Fossati</w:t>
      </w:r>
      <w:proofErr w:type="spellEnd"/>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15AD32E6" w14:textId="77777777" w:rsidR="00E576AD" w:rsidRDefault="00E576AD" w:rsidP="003216D5">
      <w:pPr>
        <w:spacing w:after="240"/>
        <w:ind w:firstLine="993"/>
        <w:rPr>
          <w:rFonts w:ascii="Arial" w:eastAsia="Arial Unicode MS" w:hAnsi="Arial" w:cs="Arial"/>
          <w:sz w:val="20"/>
          <w:szCs w:val="20"/>
        </w:rPr>
        <w:sectPr w:rsidR="00E576AD" w:rsidSect="009C1E3A">
          <w:type w:val="continuous"/>
          <w:pgSz w:w="16838" w:h="11906" w:orient="landscape"/>
          <w:pgMar w:top="1021" w:right="851" w:bottom="1021" w:left="851" w:header="0" w:footer="0" w:gutter="0"/>
          <w:cols w:space="708"/>
          <w:titlePg/>
          <w:docGrid w:linePitch="360"/>
        </w:sectPr>
      </w:pPr>
    </w:p>
    <w:p w14:paraId="44227B50" w14:textId="3A88302E" w:rsidR="00A524EC" w:rsidRDefault="00A524EC" w:rsidP="003216D5">
      <w:pPr>
        <w:spacing w:after="240"/>
        <w:ind w:firstLine="993"/>
        <w:rPr>
          <w:rFonts w:ascii="Arial" w:eastAsia="Arial Unicode MS" w:hAnsi="Arial" w:cs="Arial"/>
          <w:sz w:val="20"/>
          <w:szCs w:val="20"/>
        </w:rPr>
      </w:pPr>
      <w:r w:rsidRPr="00A524EC">
        <w:rPr>
          <w:rFonts w:ascii="Arial" w:eastAsia="Arial Unicode MS" w:hAnsi="Arial" w:cs="Arial"/>
          <w:sz w:val="20"/>
          <w:szCs w:val="20"/>
        </w:rPr>
        <w:lastRenderedPageBreak/>
        <w:t>Este documento é constituído por:</w:t>
      </w:r>
    </w:p>
    <w:p w14:paraId="4A9F3632" w14:textId="4BF576F5"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 – Demonstrações Contábeis;</w:t>
      </w:r>
    </w:p>
    <w:p w14:paraId="3180EB57" w14:textId="22E1676D" w:rsidR="00A524EC" w:rsidRP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 – Notas Explicativas das Demonstrações Contábeis.</w:t>
      </w:r>
    </w:p>
    <w:p w14:paraId="27F4CBBE" w14:textId="56ECA33C" w:rsidR="008F1E64" w:rsidRDefault="008F1E64">
      <w:pPr>
        <w:rPr>
          <w:rFonts w:ascii="Arial" w:eastAsia="Arial Unicode MS" w:hAnsi="Arial" w:cs="Arial"/>
          <w:sz w:val="20"/>
          <w:szCs w:val="20"/>
        </w:rPr>
      </w:pPr>
    </w:p>
    <w:p w14:paraId="4F3F1049" w14:textId="4160920B" w:rsidR="005432E7" w:rsidRDefault="005432E7">
      <w:pPr>
        <w:rPr>
          <w:rFonts w:ascii="Arial" w:eastAsia="Arial Unicode MS" w:hAnsi="Arial" w:cs="Arial"/>
          <w:sz w:val="20"/>
          <w:szCs w:val="20"/>
        </w:rPr>
      </w:pPr>
    </w:p>
    <w:p w14:paraId="30CF7B73" w14:textId="22BFC13F" w:rsidR="005432E7" w:rsidRDefault="005432E7">
      <w:pPr>
        <w:rPr>
          <w:rFonts w:ascii="Arial" w:eastAsia="Arial Unicode MS" w:hAnsi="Arial" w:cs="Arial"/>
          <w:sz w:val="20"/>
          <w:szCs w:val="20"/>
        </w:rPr>
      </w:pPr>
    </w:p>
    <w:p w14:paraId="316558E4" w14:textId="60A4A545" w:rsidR="005432E7" w:rsidRDefault="005432E7">
      <w:pPr>
        <w:rPr>
          <w:rFonts w:ascii="Arial" w:eastAsia="Arial Unicode MS" w:hAnsi="Arial" w:cs="Arial"/>
          <w:sz w:val="20"/>
          <w:szCs w:val="20"/>
        </w:rPr>
      </w:pPr>
    </w:p>
    <w:p w14:paraId="27653BE8" w14:textId="71B80613" w:rsidR="005432E7" w:rsidRDefault="005432E7">
      <w:pPr>
        <w:rPr>
          <w:rFonts w:ascii="Arial" w:eastAsia="Arial Unicode MS" w:hAnsi="Arial" w:cs="Arial"/>
          <w:sz w:val="20"/>
          <w:szCs w:val="20"/>
        </w:rPr>
      </w:pPr>
    </w:p>
    <w:p w14:paraId="3BCDFC17" w14:textId="684CDB7D" w:rsidR="005432E7" w:rsidRDefault="005432E7">
      <w:pPr>
        <w:rPr>
          <w:rFonts w:ascii="Arial" w:eastAsia="Arial Unicode MS" w:hAnsi="Arial" w:cs="Arial"/>
          <w:sz w:val="20"/>
          <w:szCs w:val="20"/>
        </w:rPr>
      </w:pPr>
    </w:p>
    <w:p w14:paraId="678D4225" w14:textId="312F6952" w:rsidR="005432E7" w:rsidRDefault="005432E7">
      <w:pPr>
        <w:rPr>
          <w:rFonts w:ascii="Arial" w:eastAsia="Arial Unicode MS" w:hAnsi="Arial" w:cs="Arial"/>
          <w:sz w:val="20"/>
          <w:szCs w:val="20"/>
        </w:rPr>
      </w:pPr>
    </w:p>
    <w:p w14:paraId="02E84D81" w14:textId="24F1F1C2" w:rsidR="005432E7" w:rsidRDefault="005432E7">
      <w:pPr>
        <w:rPr>
          <w:rFonts w:ascii="Arial" w:eastAsia="Arial Unicode MS" w:hAnsi="Arial" w:cs="Arial"/>
          <w:sz w:val="20"/>
          <w:szCs w:val="20"/>
        </w:rPr>
      </w:pPr>
    </w:p>
    <w:p w14:paraId="70D4532D" w14:textId="1C87E2EE" w:rsidR="005432E7" w:rsidRDefault="005432E7">
      <w:pPr>
        <w:rPr>
          <w:rFonts w:ascii="Arial" w:eastAsia="Arial Unicode MS" w:hAnsi="Arial" w:cs="Arial"/>
          <w:sz w:val="20"/>
          <w:szCs w:val="20"/>
        </w:rPr>
      </w:pPr>
    </w:p>
    <w:p w14:paraId="2419886C" w14:textId="02936769" w:rsidR="005432E7" w:rsidRDefault="005432E7">
      <w:pPr>
        <w:rPr>
          <w:rFonts w:ascii="Arial" w:eastAsia="Arial Unicode MS" w:hAnsi="Arial" w:cs="Arial"/>
          <w:sz w:val="20"/>
          <w:szCs w:val="20"/>
        </w:rPr>
      </w:pPr>
    </w:p>
    <w:p w14:paraId="6BF2E841" w14:textId="60C4FFE6" w:rsidR="005432E7" w:rsidRDefault="005432E7">
      <w:pPr>
        <w:rPr>
          <w:rFonts w:ascii="Arial" w:eastAsia="Arial Unicode MS" w:hAnsi="Arial" w:cs="Arial"/>
          <w:sz w:val="20"/>
          <w:szCs w:val="20"/>
        </w:rPr>
      </w:pPr>
    </w:p>
    <w:p w14:paraId="0099F5E5" w14:textId="2D7B15C7" w:rsidR="005432E7" w:rsidRDefault="005432E7">
      <w:pPr>
        <w:rPr>
          <w:rFonts w:ascii="Arial" w:eastAsia="Arial Unicode MS" w:hAnsi="Arial" w:cs="Arial"/>
          <w:sz w:val="20"/>
          <w:szCs w:val="20"/>
        </w:rPr>
      </w:pPr>
    </w:p>
    <w:p w14:paraId="65FF46FD" w14:textId="0D533922" w:rsidR="005432E7" w:rsidRDefault="005432E7">
      <w:pPr>
        <w:rPr>
          <w:rFonts w:ascii="Arial" w:eastAsia="Arial Unicode MS" w:hAnsi="Arial" w:cs="Arial"/>
          <w:sz w:val="20"/>
          <w:szCs w:val="20"/>
        </w:rPr>
      </w:pPr>
    </w:p>
    <w:p w14:paraId="4CC387A5" w14:textId="0437AAEC" w:rsidR="005432E7" w:rsidRDefault="005432E7">
      <w:pPr>
        <w:rPr>
          <w:rFonts w:ascii="Arial" w:eastAsia="Arial Unicode MS" w:hAnsi="Arial" w:cs="Arial"/>
          <w:sz w:val="20"/>
          <w:szCs w:val="20"/>
        </w:rPr>
      </w:pPr>
    </w:p>
    <w:p w14:paraId="66A4DB60" w14:textId="5D80E231" w:rsidR="005432E7" w:rsidRDefault="005432E7">
      <w:pPr>
        <w:rPr>
          <w:rFonts w:ascii="Arial" w:eastAsia="Arial Unicode MS" w:hAnsi="Arial" w:cs="Arial"/>
          <w:sz w:val="20"/>
          <w:szCs w:val="20"/>
        </w:rPr>
      </w:pPr>
    </w:p>
    <w:p w14:paraId="3472565B" w14:textId="2167B1C2" w:rsidR="005432E7" w:rsidRDefault="005432E7">
      <w:pPr>
        <w:rPr>
          <w:rFonts w:ascii="Arial" w:eastAsia="Arial Unicode MS" w:hAnsi="Arial" w:cs="Arial"/>
          <w:sz w:val="20"/>
          <w:szCs w:val="20"/>
        </w:rPr>
      </w:pPr>
    </w:p>
    <w:p w14:paraId="221B2B02" w14:textId="77777777" w:rsidR="005432E7" w:rsidRDefault="005432E7">
      <w:pPr>
        <w:rPr>
          <w:rFonts w:ascii="Arial" w:eastAsia="Arial Unicode MS" w:hAnsi="Arial" w:cs="Arial"/>
          <w:sz w:val="20"/>
          <w:szCs w:val="20"/>
        </w:rPr>
      </w:pPr>
    </w:p>
    <w:p w14:paraId="322B586D" w14:textId="2C9CDA6C" w:rsidR="005432E7" w:rsidRDefault="005432E7">
      <w:pPr>
        <w:rPr>
          <w:rFonts w:ascii="Arial" w:eastAsia="Arial Unicode MS" w:hAnsi="Arial" w:cs="Arial"/>
          <w:sz w:val="20"/>
          <w:szCs w:val="20"/>
        </w:rPr>
      </w:pPr>
    </w:p>
    <w:p w14:paraId="18742054" w14:textId="5AA5429E" w:rsidR="005432E7" w:rsidRDefault="005432E7">
      <w:pPr>
        <w:rPr>
          <w:rFonts w:ascii="Arial" w:eastAsia="Arial Unicode MS" w:hAnsi="Arial" w:cs="Arial"/>
          <w:sz w:val="20"/>
          <w:szCs w:val="20"/>
        </w:rPr>
      </w:pPr>
    </w:p>
    <w:p w14:paraId="10F999D1" w14:textId="22539DF1" w:rsidR="005432E7" w:rsidRDefault="005432E7">
      <w:pPr>
        <w:rPr>
          <w:rFonts w:ascii="Arial" w:eastAsia="Arial Unicode MS" w:hAnsi="Arial" w:cs="Arial"/>
          <w:sz w:val="20"/>
          <w:szCs w:val="20"/>
        </w:rPr>
      </w:pPr>
      <w:r>
        <w:rPr>
          <w:rFonts w:ascii="Arial" w:eastAsia="Arial Unicode MS" w:hAnsi="Arial" w:cs="Arial"/>
          <w:sz w:val="20"/>
          <w:szCs w:val="20"/>
        </w:rPr>
        <w:br w:type="page"/>
      </w:r>
    </w:p>
    <w:p w14:paraId="2D59224E" w14:textId="39B9C365" w:rsidR="004F53A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0DCA5982" w14:textId="79383E7A" w:rsidR="00EA0461" w:rsidRDefault="00EA0461" w:rsidP="00EA0461">
      <w:pPr>
        <w:spacing w:after="40"/>
        <w:ind w:firstLine="567"/>
        <w:rPr>
          <w:rFonts w:ascii="Arial" w:eastAsia="Arial Unicode MS" w:hAnsi="Arial" w:cs="Arial"/>
          <w:sz w:val="28"/>
          <w:szCs w:val="28"/>
        </w:rPr>
      </w:pPr>
      <w:r w:rsidRPr="00533035">
        <w:rPr>
          <w:rFonts w:ascii="Arial" w:eastAsia="Arial Unicode MS" w:hAnsi="Arial" w:cs="Arial"/>
          <w:sz w:val="28"/>
          <w:szCs w:val="28"/>
        </w:rPr>
        <w:t>Balanço Patrimonial</w:t>
      </w:r>
    </w:p>
    <w:p w14:paraId="7DC1D770" w14:textId="656037DC" w:rsidR="00766DD2" w:rsidRDefault="00766DD2" w:rsidP="00EA0461">
      <w:pPr>
        <w:spacing w:after="40"/>
        <w:ind w:firstLine="567"/>
        <w:rPr>
          <w:rFonts w:ascii="Arial" w:eastAsia="Arial Unicode MS" w:hAnsi="Arial" w:cs="Arial"/>
          <w:sz w:val="28"/>
          <w:szCs w:val="28"/>
        </w:rPr>
      </w:pPr>
      <w:r w:rsidRPr="00766DD2">
        <w:rPr>
          <w:rFonts w:ascii="Arial" w:eastAsia="Arial Unicode MS" w:hAnsi="Arial" w:cs="Arial"/>
          <w:noProof/>
          <w:sz w:val="28"/>
          <w:szCs w:val="28"/>
        </w:rPr>
        <w:drawing>
          <wp:inline distT="0" distB="0" distL="0" distR="0" wp14:anchorId="3A9DA7DE" wp14:editId="6AAD1046">
            <wp:extent cx="4610100" cy="59531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5953125"/>
                    </a:xfrm>
                    <a:prstGeom prst="rect">
                      <a:avLst/>
                    </a:prstGeom>
                    <a:noFill/>
                    <a:ln>
                      <a:noFill/>
                    </a:ln>
                  </pic:spPr>
                </pic:pic>
              </a:graphicData>
            </a:graphic>
          </wp:inline>
        </w:drawing>
      </w:r>
    </w:p>
    <w:p w14:paraId="374BD66D" w14:textId="22254865" w:rsidR="00766DD2" w:rsidRDefault="00766DD2" w:rsidP="00EA0461">
      <w:pPr>
        <w:spacing w:after="40"/>
        <w:ind w:firstLine="567"/>
        <w:rPr>
          <w:rFonts w:ascii="Arial" w:eastAsia="Arial Unicode MS" w:hAnsi="Arial" w:cs="Arial"/>
          <w:sz w:val="28"/>
          <w:szCs w:val="28"/>
        </w:rPr>
      </w:pPr>
      <w:r w:rsidRPr="00766DD2">
        <w:rPr>
          <w:rFonts w:ascii="Arial" w:eastAsia="Arial Unicode MS" w:hAnsi="Arial" w:cs="Arial"/>
          <w:noProof/>
          <w:sz w:val="28"/>
          <w:szCs w:val="28"/>
        </w:rPr>
        <w:lastRenderedPageBreak/>
        <w:drawing>
          <wp:inline distT="0" distB="0" distL="0" distR="0" wp14:anchorId="43FFF838" wp14:editId="779269A6">
            <wp:extent cx="4486275" cy="3438525"/>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3438525"/>
                    </a:xfrm>
                    <a:prstGeom prst="rect">
                      <a:avLst/>
                    </a:prstGeom>
                    <a:noFill/>
                    <a:ln>
                      <a:noFill/>
                    </a:ln>
                  </pic:spPr>
                </pic:pic>
              </a:graphicData>
            </a:graphic>
          </wp:inline>
        </w:drawing>
      </w:r>
    </w:p>
    <w:p w14:paraId="5F9BCDDC" w14:textId="68DDAECF" w:rsidR="003735F4" w:rsidRDefault="003735F4" w:rsidP="00533035">
      <w:pPr>
        <w:spacing w:after="40"/>
        <w:ind w:firstLine="567"/>
        <w:rPr>
          <w:rFonts w:ascii="Arial" w:eastAsia="Arial Unicode MS" w:hAnsi="Arial" w:cs="Arial"/>
          <w:sz w:val="28"/>
          <w:szCs w:val="28"/>
        </w:rPr>
      </w:pPr>
    </w:p>
    <w:p w14:paraId="6E375E3F" w14:textId="2CE8ADDB" w:rsidR="004F53A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t>O Balanço Patrimonial evidencia os ativos e passivos, e sua evolução 20</w:t>
      </w:r>
      <w:r w:rsidR="00893DD4">
        <w:rPr>
          <w:rFonts w:ascii="Arial" w:eastAsia="Arial Unicode MS" w:hAnsi="Arial" w:cs="Arial"/>
          <w:sz w:val="20"/>
          <w:szCs w:val="20"/>
        </w:rPr>
        <w:t>2</w:t>
      </w:r>
      <w:r w:rsidR="00666F8F">
        <w:rPr>
          <w:rFonts w:ascii="Arial" w:eastAsia="Arial Unicode MS" w:hAnsi="Arial" w:cs="Arial"/>
          <w:sz w:val="20"/>
          <w:szCs w:val="20"/>
        </w:rPr>
        <w:t>1</w:t>
      </w:r>
      <w:r w:rsidRPr="00533035">
        <w:rPr>
          <w:rFonts w:ascii="Arial" w:eastAsia="Arial Unicode MS" w:hAnsi="Arial" w:cs="Arial"/>
          <w:sz w:val="20"/>
          <w:szCs w:val="20"/>
        </w:rPr>
        <w:t xml:space="preserve"> em relação a 20</w:t>
      </w:r>
      <w:r w:rsidR="00666F8F">
        <w:rPr>
          <w:rFonts w:ascii="Arial" w:eastAsia="Arial Unicode MS" w:hAnsi="Arial" w:cs="Arial"/>
          <w:sz w:val="20"/>
          <w:szCs w:val="20"/>
        </w:rPr>
        <w:t>20</w:t>
      </w:r>
      <w:r w:rsidRPr="00533035">
        <w:rPr>
          <w:rFonts w:ascii="Arial" w:eastAsia="Arial Unicode MS" w:hAnsi="Arial" w:cs="Arial"/>
          <w:sz w:val="20"/>
          <w:szCs w:val="20"/>
        </w:rPr>
        <w:t>.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w:t>
      </w:r>
      <w:r w:rsidR="00676BFE">
        <w:rPr>
          <w:rFonts w:ascii="Arial" w:eastAsia="Arial Unicode MS" w:hAnsi="Arial" w:cs="Arial"/>
          <w:sz w:val="20"/>
          <w:szCs w:val="20"/>
        </w:rPr>
        <w:t>ncia sobre a situação financeira</w:t>
      </w:r>
      <w:r w:rsidRPr="00533035">
        <w:rPr>
          <w:rFonts w:ascii="Arial" w:eastAsia="Arial Unicode MS" w:hAnsi="Arial" w:cs="Arial"/>
          <w:sz w:val="20"/>
          <w:szCs w:val="20"/>
        </w:rPr>
        <w:t xml:space="preserve"> de qualquer entidade.</w:t>
      </w:r>
    </w:p>
    <w:p w14:paraId="756272C9" w14:textId="5CDA8D1E" w:rsidR="00B94E86" w:rsidRDefault="00B94E86" w:rsidP="004F53A5">
      <w:pPr>
        <w:spacing w:after="40"/>
        <w:rPr>
          <w:rFonts w:ascii="Arial" w:eastAsia="Arial Unicode MS" w:hAnsi="Arial" w:cs="Arial"/>
          <w:sz w:val="20"/>
          <w:szCs w:val="20"/>
        </w:rPr>
      </w:pPr>
    </w:p>
    <w:p w14:paraId="47649ABB" w14:textId="353CEAB5" w:rsidR="00B94E86" w:rsidRDefault="00B94E86" w:rsidP="004F53A5">
      <w:pPr>
        <w:spacing w:after="40"/>
        <w:rPr>
          <w:rFonts w:ascii="Arial" w:eastAsia="Arial Unicode MS" w:hAnsi="Arial" w:cs="Arial"/>
          <w:sz w:val="20"/>
          <w:szCs w:val="20"/>
        </w:rPr>
      </w:pPr>
      <w:r w:rsidRPr="00B94E86">
        <w:rPr>
          <w:rFonts w:ascii="Arial" w:eastAsia="Arial Unicode MS" w:hAnsi="Arial" w:cs="Arial"/>
          <w:noProof/>
          <w:sz w:val="20"/>
          <w:szCs w:val="20"/>
        </w:rPr>
        <w:drawing>
          <wp:inline distT="0" distB="0" distL="0" distR="0" wp14:anchorId="3A2973A4" wp14:editId="6992DE17">
            <wp:extent cx="2647950" cy="11811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inline>
        </w:drawing>
      </w:r>
      <w:r w:rsidRPr="00B94E86">
        <w:rPr>
          <w:rFonts w:ascii="Arial" w:eastAsia="Arial Unicode MS" w:hAnsi="Arial" w:cs="Arial"/>
          <w:noProof/>
          <w:sz w:val="20"/>
          <w:szCs w:val="20"/>
        </w:rPr>
        <w:drawing>
          <wp:inline distT="0" distB="0" distL="0" distR="0" wp14:anchorId="4AF348BD" wp14:editId="318E2562">
            <wp:extent cx="2562225" cy="1076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2225" cy="1076325"/>
                    </a:xfrm>
                    <a:prstGeom prst="rect">
                      <a:avLst/>
                    </a:prstGeom>
                    <a:noFill/>
                    <a:ln>
                      <a:noFill/>
                    </a:ln>
                  </pic:spPr>
                </pic:pic>
              </a:graphicData>
            </a:graphic>
          </wp:inline>
        </w:drawing>
      </w:r>
    </w:p>
    <w:p w14:paraId="127BC24C" w14:textId="30D99163" w:rsidR="008A0FF9" w:rsidRDefault="008A0FF9" w:rsidP="004F53A5">
      <w:pPr>
        <w:spacing w:after="40"/>
        <w:rPr>
          <w:rFonts w:ascii="Arial" w:eastAsia="Arial Unicode MS" w:hAnsi="Arial" w:cs="Arial"/>
          <w:sz w:val="20"/>
          <w:szCs w:val="20"/>
        </w:rPr>
      </w:pPr>
    </w:p>
    <w:p w14:paraId="25AB4A26" w14:textId="7ED3296C" w:rsidR="008A0FF9" w:rsidRDefault="008A0FF9" w:rsidP="004F53A5">
      <w:pPr>
        <w:spacing w:after="40"/>
        <w:rPr>
          <w:rFonts w:ascii="Arial" w:eastAsia="Arial Unicode MS" w:hAnsi="Arial" w:cs="Arial"/>
          <w:sz w:val="20"/>
          <w:szCs w:val="20"/>
        </w:rPr>
      </w:pPr>
      <w:r w:rsidRPr="008A0FF9">
        <w:rPr>
          <w:rFonts w:ascii="Arial" w:eastAsia="Arial Unicode MS" w:hAnsi="Arial" w:cs="Arial"/>
          <w:sz w:val="20"/>
          <w:szCs w:val="20"/>
        </w:rPr>
        <w:t xml:space="preserve"> </w:t>
      </w:r>
    </w:p>
    <w:p w14:paraId="447E916D" w14:textId="4126BF8F" w:rsidR="00676BFE" w:rsidRDefault="009D48A1" w:rsidP="00676BFE">
      <w:pPr>
        <w:spacing w:after="40"/>
        <w:rPr>
          <w:rFonts w:ascii="Arial" w:eastAsia="Arial Unicode MS" w:hAnsi="Arial" w:cs="Arial"/>
          <w:sz w:val="20"/>
          <w:szCs w:val="20"/>
        </w:rPr>
      </w:pPr>
      <w:r w:rsidRPr="009D48A1">
        <w:rPr>
          <w:rFonts w:ascii="Arial" w:eastAsia="Arial Unicode MS" w:hAnsi="Arial" w:cs="Arial"/>
          <w:sz w:val="20"/>
          <w:szCs w:val="20"/>
        </w:rPr>
        <w:t xml:space="preserve"> </w:t>
      </w:r>
      <w:r w:rsidR="00676BFE" w:rsidRPr="00A06D31">
        <w:rPr>
          <w:rFonts w:ascii="Arial" w:eastAsia="Arial Unicode MS" w:hAnsi="Arial" w:cs="Arial"/>
          <w:sz w:val="20"/>
          <w:szCs w:val="20"/>
        </w:rPr>
        <w:t xml:space="preserve">Conforme demonstrado no gráfico, o IFRS encerrou o </w:t>
      </w:r>
      <w:r w:rsidR="00B94E86">
        <w:rPr>
          <w:rFonts w:ascii="Arial" w:eastAsia="Arial Unicode MS" w:hAnsi="Arial" w:cs="Arial"/>
          <w:sz w:val="20"/>
          <w:szCs w:val="20"/>
        </w:rPr>
        <w:t>2</w:t>
      </w:r>
      <w:r w:rsidR="00676BFE">
        <w:rPr>
          <w:rFonts w:ascii="Arial" w:eastAsia="Arial Unicode MS" w:hAnsi="Arial" w:cs="Arial"/>
          <w:sz w:val="20"/>
          <w:szCs w:val="20"/>
        </w:rPr>
        <w:t>º trimestre de 20</w:t>
      </w:r>
      <w:r w:rsidR="00893DD4">
        <w:rPr>
          <w:rFonts w:ascii="Arial" w:eastAsia="Arial Unicode MS" w:hAnsi="Arial" w:cs="Arial"/>
          <w:sz w:val="20"/>
          <w:szCs w:val="20"/>
        </w:rPr>
        <w:t>2</w:t>
      </w:r>
      <w:r w:rsidR="000F68AF">
        <w:rPr>
          <w:rFonts w:ascii="Arial" w:eastAsia="Arial Unicode MS" w:hAnsi="Arial" w:cs="Arial"/>
          <w:sz w:val="20"/>
          <w:szCs w:val="20"/>
        </w:rPr>
        <w:t>1</w:t>
      </w:r>
      <w:r w:rsidR="00676BFE" w:rsidRPr="00A06D31">
        <w:rPr>
          <w:rFonts w:ascii="Arial" w:eastAsia="Arial Unicode MS" w:hAnsi="Arial" w:cs="Arial"/>
          <w:sz w:val="20"/>
          <w:szCs w:val="20"/>
        </w:rPr>
        <w:t xml:space="preserve"> com um ativo líquido da ordem de R$ </w:t>
      </w:r>
      <w:r w:rsidR="000F68AF">
        <w:rPr>
          <w:rFonts w:ascii="Arial" w:eastAsia="Arial Unicode MS" w:hAnsi="Arial" w:cs="Arial"/>
          <w:sz w:val="20"/>
          <w:szCs w:val="20"/>
        </w:rPr>
        <w:t>229,14</w:t>
      </w:r>
      <w:r w:rsidR="00676BFE" w:rsidRPr="00A06D31">
        <w:rPr>
          <w:rFonts w:ascii="Arial" w:eastAsia="Arial Unicode MS" w:hAnsi="Arial" w:cs="Arial"/>
          <w:sz w:val="20"/>
          <w:szCs w:val="20"/>
        </w:rPr>
        <w:t xml:space="preserve"> milhões.</w:t>
      </w:r>
    </w:p>
    <w:p w14:paraId="4C31D0D8" w14:textId="1822A971" w:rsidR="00C73175" w:rsidRDefault="00C73175" w:rsidP="00676BFE">
      <w:pPr>
        <w:spacing w:after="40"/>
        <w:rPr>
          <w:rFonts w:ascii="Arial" w:eastAsia="Arial Unicode MS" w:hAnsi="Arial" w:cs="Arial"/>
          <w:sz w:val="20"/>
          <w:szCs w:val="20"/>
        </w:rPr>
      </w:pPr>
    </w:p>
    <w:p w14:paraId="04CB2534" w14:textId="005EE482" w:rsidR="00C73175" w:rsidRDefault="00C73175" w:rsidP="00676BFE">
      <w:pPr>
        <w:spacing w:after="40"/>
        <w:rPr>
          <w:rFonts w:ascii="Arial" w:eastAsia="Arial Unicode MS" w:hAnsi="Arial" w:cs="Arial"/>
          <w:sz w:val="20"/>
          <w:szCs w:val="20"/>
        </w:rPr>
      </w:pPr>
    </w:p>
    <w:p w14:paraId="5370ED92" w14:textId="2E56E989" w:rsidR="00C73175" w:rsidRDefault="00C73175" w:rsidP="00676BFE">
      <w:pPr>
        <w:spacing w:after="40"/>
        <w:rPr>
          <w:rFonts w:ascii="Arial" w:eastAsia="Arial Unicode MS" w:hAnsi="Arial" w:cs="Arial"/>
          <w:sz w:val="20"/>
          <w:szCs w:val="20"/>
        </w:rPr>
      </w:pPr>
    </w:p>
    <w:p w14:paraId="5749F96C" w14:textId="4BF2771B" w:rsidR="00C73175" w:rsidRDefault="00C73175" w:rsidP="00676BFE">
      <w:pPr>
        <w:spacing w:after="40"/>
        <w:rPr>
          <w:rFonts w:ascii="Arial" w:eastAsia="Arial Unicode MS" w:hAnsi="Arial" w:cs="Arial"/>
          <w:sz w:val="20"/>
          <w:szCs w:val="20"/>
        </w:rPr>
      </w:pPr>
    </w:p>
    <w:p w14:paraId="2FD01C9A" w14:textId="5DE618F5" w:rsidR="00C73175" w:rsidRDefault="00C73175" w:rsidP="00676BFE">
      <w:pPr>
        <w:spacing w:after="40"/>
        <w:rPr>
          <w:rFonts w:ascii="Arial" w:eastAsia="Arial Unicode MS" w:hAnsi="Arial" w:cs="Arial"/>
          <w:sz w:val="20"/>
          <w:szCs w:val="20"/>
        </w:rPr>
      </w:pPr>
    </w:p>
    <w:p w14:paraId="5F58671D" w14:textId="05E91DA8" w:rsidR="00C73175" w:rsidRDefault="00C73175" w:rsidP="00676BFE">
      <w:pPr>
        <w:spacing w:after="40"/>
        <w:rPr>
          <w:rFonts w:ascii="Arial" w:eastAsia="Arial Unicode MS" w:hAnsi="Arial" w:cs="Arial"/>
          <w:sz w:val="20"/>
          <w:szCs w:val="20"/>
        </w:rPr>
      </w:pPr>
    </w:p>
    <w:p w14:paraId="5B236E9A" w14:textId="36B72901" w:rsidR="00457367" w:rsidRDefault="00457367" w:rsidP="00676BFE">
      <w:pPr>
        <w:spacing w:after="40"/>
        <w:rPr>
          <w:rFonts w:ascii="Arial" w:eastAsia="Arial Unicode MS" w:hAnsi="Arial" w:cs="Arial"/>
          <w:sz w:val="20"/>
          <w:szCs w:val="20"/>
        </w:rPr>
      </w:pPr>
    </w:p>
    <w:p w14:paraId="2BACD4CB" w14:textId="206C49E3" w:rsidR="00457367" w:rsidRDefault="00457367" w:rsidP="00676BFE">
      <w:pPr>
        <w:spacing w:after="40"/>
        <w:rPr>
          <w:rFonts w:ascii="Arial" w:eastAsia="Arial Unicode MS" w:hAnsi="Arial" w:cs="Arial"/>
          <w:sz w:val="20"/>
          <w:szCs w:val="20"/>
        </w:rPr>
      </w:pPr>
    </w:p>
    <w:p w14:paraId="755B50A5" w14:textId="4B31B936" w:rsidR="00457367" w:rsidRDefault="00457367" w:rsidP="00676BFE">
      <w:pPr>
        <w:spacing w:after="40"/>
        <w:rPr>
          <w:rFonts w:ascii="Arial" w:eastAsia="Arial Unicode MS" w:hAnsi="Arial" w:cs="Arial"/>
          <w:sz w:val="20"/>
          <w:szCs w:val="20"/>
        </w:rPr>
      </w:pPr>
    </w:p>
    <w:p w14:paraId="4D9B1C6A" w14:textId="529DF981" w:rsidR="00457367" w:rsidRDefault="00457367" w:rsidP="00676BFE">
      <w:pPr>
        <w:spacing w:after="40"/>
        <w:rPr>
          <w:rFonts w:ascii="Arial" w:eastAsia="Arial Unicode MS" w:hAnsi="Arial" w:cs="Arial"/>
          <w:sz w:val="20"/>
          <w:szCs w:val="20"/>
        </w:rPr>
      </w:pPr>
    </w:p>
    <w:p w14:paraId="1179B264" w14:textId="04BD68B8" w:rsidR="00457367" w:rsidRDefault="00457367" w:rsidP="00676BFE">
      <w:pPr>
        <w:spacing w:after="40"/>
        <w:rPr>
          <w:rFonts w:ascii="Arial" w:eastAsia="Arial Unicode MS" w:hAnsi="Arial" w:cs="Arial"/>
          <w:sz w:val="20"/>
          <w:szCs w:val="20"/>
        </w:rPr>
      </w:pPr>
    </w:p>
    <w:p w14:paraId="71670BC5" w14:textId="77777777" w:rsidR="00457367" w:rsidRDefault="00457367" w:rsidP="00676BFE">
      <w:pPr>
        <w:spacing w:after="40"/>
        <w:rPr>
          <w:rFonts w:ascii="Arial" w:eastAsia="Arial Unicode MS" w:hAnsi="Arial" w:cs="Arial"/>
          <w:sz w:val="20"/>
          <w:szCs w:val="20"/>
        </w:rPr>
      </w:pPr>
    </w:p>
    <w:p w14:paraId="633C1DEA" w14:textId="14549677" w:rsidR="00161CA4" w:rsidRDefault="00161CA4" w:rsidP="00676BFE">
      <w:pPr>
        <w:spacing w:after="40"/>
        <w:rPr>
          <w:rFonts w:ascii="Arial" w:eastAsia="Arial Unicode MS" w:hAnsi="Arial" w:cs="Arial"/>
          <w:sz w:val="20"/>
          <w:szCs w:val="20"/>
        </w:rPr>
      </w:pPr>
    </w:p>
    <w:p w14:paraId="0C1D21C2" w14:textId="54A4D0BD" w:rsidR="00161CA4" w:rsidRDefault="00161CA4" w:rsidP="00676BFE">
      <w:pPr>
        <w:spacing w:after="40"/>
        <w:rPr>
          <w:rFonts w:ascii="Arial" w:eastAsia="Arial Unicode MS" w:hAnsi="Arial" w:cs="Arial"/>
          <w:sz w:val="20"/>
          <w:szCs w:val="20"/>
        </w:rPr>
      </w:pPr>
    </w:p>
    <w:p w14:paraId="7F314CD3" w14:textId="068F9D4E" w:rsidR="00CF094B" w:rsidRDefault="00C40707" w:rsidP="00744CDB">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Demonstração das Variações Patrimoniais</w:t>
      </w:r>
    </w:p>
    <w:p w14:paraId="4E927055" w14:textId="03C57F1C" w:rsidR="00B94E86" w:rsidRDefault="00B94E86" w:rsidP="00B94E86">
      <w:pPr>
        <w:spacing w:after="40"/>
        <w:rPr>
          <w:rFonts w:ascii="Arial" w:eastAsia="Arial Unicode MS" w:hAnsi="Arial" w:cs="Arial"/>
          <w:sz w:val="28"/>
          <w:szCs w:val="28"/>
        </w:rPr>
      </w:pPr>
      <w:r w:rsidRPr="00B94E86">
        <w:rPr>
          <w:rFonts w:ascii="Arial" w:eastAsia="Arial Unicode MS" w:hAnsi="Arial" w:cs="Arial"/>
          <w:noProof/>
          <w:sz w:val="28"/>
          <w:szCs w:val="28"/>
        </w:rPr>
        <w:drawing>
          <wp:inline distT="0" distB="0" distL="0" distR="0" wp14:anchorId="692E5EDA" wp14:editId="2A8380BC">
            <wp:extent cx="4743450" cy="20669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2066925"/>
                    </a:xfrm>
                    <a:prstGeom prst="rect">
                      <a:avLst/>
                    </a:prstGeom>
                    <a:noFill/>
                    <a:ln>
                      <a:noFill/>
                    </a:ln>
                  </pic:spPr>
                </pic:pic>
              </a:graphicData>
            </a:graphic>
          </wp:inline>
        </w:drawing>
      </w:r>
    </w:p>
    <w:p w14:paraId="4AAA0F04" w14:textId="0291AC4A" w:rsidR="00B94E86" w:rsidRDefault="00B94E86" w:rsidP="00B94E86">
      <w:pPr>
        <w:spacing w:after="40"/>
        <w:rPr>
          <w:rFonts w:ascii="Arial" w:eastAsia="Arial Unicode MS" w:hAnsi="Arial" w:cs="Arial"/>
          <w:sz w:val="28"/>
          <w:szCs w:val="28"/>
        </w:rPr>
      </w:pPr>
      <w:r w:rsidRPr="00B94E86">
        <w:rPr>
          <w:rFonts w:ascii="Arial" w:eastAsia="Arial Unicode MS" w:hAnsi="Arial" w:cs="Arial"/>
          <w:noProof/>
          <w:sz w:val="28"/>
          <w:szCs w:val="28"/>
        </w:rPr>
        <w:drawing>
          <wp:inline distT="0" distB="0" distL="0" distR="0" wp14:anchorId="53AF16A3" wp14:editId="3B6A92E2">
            <wp:extent cx="4838700" cy="50101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5010150"/>
                    </a:xfrm>
                    <a:prstGeom prst="rect">
                      <a:avLst/>
                    </a:prstGeom>
                    <a:noFill/>
                    <a:ln>
                      <a:noFill/>
                    </a:ln>
                  </pic:spPr>
                </pic:pic>
              </a:graphicData>
            </a:graphic>
          </wp:inline>
        </w:drawing>
      </w:r>
    </w:p>
    <w:p w14:paraId="5556C272" w14:textId="193B75DC" w:rsidR="00FE2D15" w:rsidRDefault="00FE2D15" w:rsidP="00FE2D15">
      <w:pPr>
        <w:spacing w:after="40"/>
        <w:rPr>
          <w:rFonts w:ascii="Arial" w:eastAsia="Arial Unicode MS" w:hAnsi="Arial" w:cs="Arial"/>
          <w:sz w:val="28"/>
          <w:szCs w:val="28"/>
        </w:rPr>
      </w:pPr>
    </w:p>
    <w:p w14:paraId="2C827421" w14:textId="192544FA" w:rsidR="00FE2D15" w:rsidRDefault="00FE2D15" w:rsidP="00FE2D15">
      <w:pPr>
        <w:spacing w:after="40"/>
        <w:rPr>
          <w:rFonts w:ascii="Arial" w:eastAsia="Arial Unicode MS" w:hAnsi="Arial" w:cs="Arial"/>
          <w:sz w:val="28"/>
          <w:szCs w:val="28"/>
        </w:rPr>
      </w:pPr>
    </w:p>
    <w:p w14:paraId="75FEAB0C" w14:textId="77777777" w:rsidR="00FE2D15" w:rsidRDefault="00FE2D15" w:rsidP="00FE2D15">
      <w:pPr>
        <w:spacing w:after="40"/>
        <w:rPr>
          <w:rFonts w:ascii="Arial" w:eastAsia="Arial Unicode MS" w:hAnsi="Arial" w:cs="Arial"/>
          <w:sz w:val="28"/>
          <w:szCs w:val="28"/>
        </w:rPr>
      </w:pPr>
    </w:p>
    <w:p w14:paraId="36AB9C12" w14:textId="457E2597" w:rsidR="00CF094B" w:rsidRDefault="00CF094B" w:rsidP="00CF094B">
      <w:pPr>
        <w:spacing w:after="40"/>
        <w:rPr>
          <w:rFonts w:ascii="Arial" w:eastAsia="Arial Unicode MS" w:hAnsi="Arial" w:cs="Arial"/>
          <w:sz w:val="28"/>
          <w:szCs w:val="28"/>
        </w:rPr>
      </w:pPr>
    </w:p>
    <w:p w14:paraId="2C6C8E73" w14:textId="54287BAD" w:rsidR="00C73175" w:rsidRDefault="009D48A1" w:rsidP="00CF094B">
      <w:pPr>
        <w:spacing w:after="40"/>
        <w:rPr>
          <w:rFonts w:ascii="Arial" w:eastAsia="Arial Unicode MS" w:hAnsi="Arial" w:cs="Arial"/>
          <w:sz w:val="28"/>
          <w:szCs w:val="28"/>
        </w:rPr>
      </w:pPr>
      <w:r>
        <w:rPr>
          <w:rFonts w:ascii="Arial" w:eastAsia="Arial Unicode MS" w:hAnsi="Arial" w:cs="Arial"/>
          <w:sz w:val="28"/>
          <w:szCs w:val="28"/>
        </w:rPr>
        <w:br/>
      </w:r>
    </w:p>
    <w:p w14:paraId="301D7397" w14:textId="74E8363A" w:rsidR="005B620D" w:rsidRDefault="005B620D" w:rsidP="00CF094B">
      <w:pPr>
        <w:spacing w:after="40"/>
        <w:rPr>
          <w:rFonts w:ascii="Arial" w:eastAsia="Arial Unicode MS" w:hAnsi="Arial" w:cs="Arial"/>
          <w:sz w:val="28"/>
          <w:szCs w:val="28"/>
        </w:rPr>
      </w:pPr>
    </w:p>
    <w:p w14:paraId="0B754F20" w14:textId="2E694270" w:rsidR="005B620D" w:rsidRDefault="005B620D" w:rsidP="00CF094B">
      <w:pPr>
        <w:spacing w:after="40"/>
        <w:rPr>
          <w:rFonts w:ascii="Arial" w:eastAsia="Arial Unicode MS" w:hAnsi="Arial" w:cs="Arial"/>
          <w:sz w:val="28"/>
          <w:szCs w:val="28"/>
        </w:rPr>
      </w:pPr>
    </w:p>
    <w:p w14:paraId="127CC9C3" w14:textId="093D6F2D" w:rsidR="00D42FB9" w:rsidRDefault="00756B26" w:rsidP="008C268B">
      <w:pPr>
        <w:tabs>
          <w:tab w:val="left" w:pos="9525"/>
        </w:tabs>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Balanço Orçamentário</w:t>
      </w:r>
    </w:p>
    <w:p w14:paraId="14DECA99" w14:textId="23136DE5" w:rsidR="005B620D" w:rsidRDefault="005B620D" w:rsidP="008C268B">
      <w:pPr>
        <w:tabs>
          <w:tab w:val="left" w:pos="9525"/>
        </w:tabs>
        <w:spacing w:after="40"/>
        <w:ind w:firstLine="567"/>
        <w:rPr>
          <w:rFonts w:ascii="Arial" w:eastAsia="Arial Unicode MS" w:hAnsi="Arial" w:cs="Arial"/>
          <w:sz w:val="28"/>
          <w:szCs w:val="28"/>
        </w:rPr>
      </w:pPr>
      <w:r w:rsidRPr="005B620D">
        <w:rPr>
          <w:rFonts w:ascii="Arial" w:eastAsia="Arial Unicode MS" w:hAnsi="Arial" w:cs="Arial"/>
          <w:noProof/>
          <w:sz w:val="28"/>
          <w:szCs w:val="28"/>
        </w:rPr>
        <w:drawing>
          <wp:inline distT="0" distB="0" distL="0" distR="0" wp14:anchorId="4FC1F809" wp14:editId="02658B91">
            <wp:extent cx="4981575" cy="333375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3333750"/>
                    </a:xfrm>
                    <a:prstGeom prst="rect">
                      <a:avLst/>
                    </a:prstGeom>
                    <a:noFill/>
                    <a:ln>
                      <a:noFill/>
                    </a:ln>
                  </pic:spPr>
                </pic:pic>
              </a:graphicData>
            </a:graphic>
          </wp:inline>
        </w:drawing>
      </w:r>
    </w:p>
    <w:p w14:paraId="3B6BA4C7" w14:textId="601290A9" w:rsidR="005B620D" w:rsidRDefault="005B620D" w:rsidP="008C268B">
      <w:pPr>
        <w:tabs>
          <w:tab w:val="left" w:pos="9525"/>
        </w:tabs>
        <w:spacing w:after="40"/>
        <w:ind w:firstLine="567"/>
        <w:rPr>
          <w:rFonts w:ascii="Arial" w:eastAsia="Arial Unicode MS" w:hAnsi="Arial" w:cs="Arial"/>
          <w:sz w:val="28"/>
          <w:szCs w:val="28"/>
        </w:rPr>
      </w:pPr>
      <w:r w:rsidRPr="005B620D">
        <w:rPr>
          <w:rFonts w:ascii="Arial" w:eastAsia="Arial Unicode MS" w:hAnsi="Arial" w:cs="Arial"/>
          <w:noProof/>
          <w:sz w:val="28"/>
          <w:szCs w:val="28"/>
        </w:rPr>
        <w:drawing>
          <wp:inline distT="0" distB="0" distL="0" distR="0" wp14:anchorId="3643CA31" wp14:editId="46A760EF">
            <wp:extent cx="6372225" cy="33337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2225" cy="3333750"/>
                    </a:xfrm>
                    <a:prstGeom prst="rect">
                      <a:avLst/>
                    </a:prstGeom>
                    <a:noFill/>
                    <a:ln>
                      <a:noFill/>
                    </a:ln>
                  </pic:spPr>
                </pic:pic>
              </a:graphicData>
            </a:graphic>
          </wp:inline>
        </w:drawing>
      </w:r>
    </w:p>
    <w:p w14:paraId="2253A6C4" w14:textId="7AE9A35C" w:rsidR="005B620D" w:rsidRDefault="005B620D" w:rsidP="008C268B">
      <w:pPr>
        <w:tabs>
          <w:tab w:val="left" w:pos="9525"/>
        </w:tabs>
        <w:spacing w:after="40"/>
        <w:ind w:firstLine="567"/>
        <w:rPr>
          <w:rFonts w:ascii="Arial" w:eastAsia="Arial Unicode MS" w:hAnsi="Arial" w:cs="Arial"/>
          <w:sz w:val="28"/>
          <w:szCs w:val="28"/>
        </w:rPr>
      </w:pPr>
      <w:r w:rsidRPr="005B620D">
        <w:rPr>
          <w:rFonts w:ascii="Arial" w:eastAsia="Arial Unicode MS" w:hAnsi="Arial" w:cs="Arial"/>
          <w:noProof/>
          <w:sz w:val="28"/>
          <w:szCs w:val="28"/>
        </w:rPr>
        <w:drawing>
          <wp:inline distT="0" distB="0" distL="0" distR="0" wp14:anchorId="1BAA8CDD" wp14:editId="2F48120F">
            <wp:extent cx="4152900" cy="17145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p w14:paraId="078D2538" w14:textId="45D3EC4F" w:rsidR="002D7393" w:rsidRDefault="002D7393" w:rsidP="008C268B">
      <w:pPr>
        <w:tabs>
          <w:tab w:val="left" w:pos="9525"/>
        </w:tabs>
        <w:spacing w:after="40"/>
        <w:ind w:firstLine="567"/>
        <w:rPr>
          <w:rFonts w:ascii="Arial" w:eastAsia="Arial Unicode MS" w:hAnsi="Arial" w:cs="Arial"/>
          <w:sz w:val="28"/>
          <w:szCs w:val="28"/>
        </w:rPr>
      </w:pPr>
    </w:p>
    <w:p w14:paraId="06B3F51C" w14:textId="6E1D6318" w:rsidR="002D7393" w:rsidRDefault="002D7393" w:rsidP="008C268B">
      <w:pPr>
        <w:tabs>
          <w:tab w:val="left" w:pos="9525"/>
        </w:tabs>
        <w:spacing w:after="40"/>
        <w:ind w:firstLine="567"/>
        <w:rPr>
          <w:rFonts w:ascii="Arial" w:eastAsia="Arial Unicode MS" w:hAnsi="Arial" w:cs="Arial"/>
          <w:sz w:val="28"/>
          <w:szCs w:val="28"/>
        </w:rPr>
      </w:pPr>
    </w:p>
    <w:p w14:paraId="698DD773" w14:textId="786F8C19" w:rsidR="002D7393" w:rsidRDefault="002D7393" w:rsidP="008C268B">
      <w:pPr>
        <w:tabs>
          <w:tab w:val="left" w:pos="9525"/>
        </w:tabs>
        <w:spacing w:after="40"/>
        <w:ind w:firstLine="567"/>
        <w:rPr>
          <w:rFonts w:ascii="Arial" w:eastAsia="Arial Unicode MS" w:hAnsi="Arial" w:cs="Arial"/>
          <w:sz w:val="28"/>
          <w:szCs w:val="28"/>
        </w:rPr>
      </w:pPr>
    </w:p>
    <w:p w14:paraId="125CA6D9" w14:textId="157A6746" w:rsidR="006D7255" w:rsidRDefault="006D7255" w:rsidP="008C268B">
      <w:pPr>
        <w:tabs>
          <w:tab w:val="left" w:pos="9525"/>
        </w:tabs>
        <w:spacing w:after="40"/>
        <w:ind w:firstLine="567"/>
        <w:rPr>
          <w:rFonts w:ascii="Arial" w:eastAsia="Arial Unicode MS" w:hAnsi="Arial" w:cs="Arial"/>
          <w:sz w:val="20"/>
          <w:szCs w:val="20"/>
        </w:rPr>
        <w:sectPr w:rsidR="006D7255" w:rsidSect="00E576AD">
          <w:type w:val="continuous"/>
          <w:pgSz w:w="11906" w:h="16838"/>
          <w:pgMar w:top="1021" w:right="851" w:bottom="851" w:left="851" w:header="709" w:footer="0" w:gutter="0"/>
          <w:cols w:space="144"/>
          <w:docGrid w:linePitch="360"/>
        </w:sectPr>
      </w:pPr>
    </w:p>
    <w:p w14:paraId="3A7A9E2C" w14:textId="702CFF6C" w:rsidR="006D725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094FCDF2" w14:textId="02B16C1A" w:rsidR="005B620D" w:rsidRDefault="00C14ABA" w:rsidP="006D7255">
      <w:pPr>
        <w:spacing w:after="40"/>
        <w:ind w:firstLine="567"/>
        <w:rPr>
          <w:rFonts w:ascii="Arial" w:eastAsia="Arial Unicode MS" w:hAnsi="Arial" w:cs="Arial"/>
          <w:sz w:val="28"/>
          <w:szCs w:val="28"/>
        </w:rPr>
      </w:pPr>
      <w:r w:rsidRPr="00C14ABA">
        <w:rPr>
          <w:rFonts w:ascii="Arial" w:eastAsia="Arial Unicode MS" w:hAnsi="Arial" w:cs="Arial"/>
          <w:noProof/>
          <w:sz w:val="28"/>
          <w:szCs w:val="28"/>
        </w:rPr>
        <w:drawing>
          <wp:inline distT="0" distB="0" distL="0" distR="0" wp14:anchorId="24D00BC5" wp14:editId="4CA21FF9">
            <wp:extent cx="4505325" cy="6038850"/>
            <wp:effectExtent l="0" t="0" r="952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6038850"/>
                    </a:xfrm>
                    <a:prstGeom prst="rect">
                      <a:avLst/>
                    </a:prstGeom>
                    <a:noFill/>
                    <a:ln>
                      <a:noFill/>
                    </a:ln>
                  </pic:spPr>
                </pic:pic>
              </a:graphicData>
            </a:graphic>
          </wp:inline>
        </w:drawing>
      </w:r>
    </w:p>
    <w:p w14:paraId="7B68C568" w14:textId="6A5E8900" w:rsidR="002D7393" w:rsidRDefault="002D7393" w:rsidP="006D7255">
      <w:pPr>
        <w:spacing w:after="40"/>
        <w:ind w:firstLine="567"/>
        <w:rPr>
          <w:rFonts w:ascii="Arial" w:eastAsia="Arial Unicode MS" w:hAnsi="Arial" w:cs="Arial"/>
          <w:sz w:val="28"/>
          <w:szCs w:val="28"/>
        </w:rPr>
      </w:pPr>
    </w:p>
    <w:p w14:paraId="7EC7D4CC" w14:textId="2BE88EBA" w:rsidR="00745081" w:rsidRDefault="00745081" w:rsidP="006D7255">
      <w:pPr>
        <w:spacing w:after="40"/>
        <w:ind w:firstLine="567"/>
        <w:rPr>
          <w:rFonts w:ascii="Arial" w:eastAsia="Arial Unicode MS" w:hAnsi="Arial" w:cs="Arial"/>
          <w:sz w:val="28"/>
          <w:szCs w:val="28"/>
        </w:rPr>
      </w:pPr>
    </w:p>
    <w:p w14:paraId="7C4FD558" w14:textId="13D89324" w:rsidR="00EA04D0" w:rsidRDefault="00EA04D0" w:rsidP="006D7255">
      <w:pPr>
        <w:spacing w:after="40"/>
        <w:ind w:firstLine="567"/>
        <w:rPr>
          <w:rFonts w:ascii="Arial" w:eastAsia="Arial Unicode MS" w:hAnsi="Arial" w:cs="Arial"/>
          <w:sz w:val="28"/>
          <w:szCs w:val="28"/>
        </w:rPr>
      </w:pPr>
    </w:p>
    <w:p w14:paraId="3F602709" w14:textId="77D972E5" w:rsidR="00D42FB9" w:rsidRDefault="00D42FB9" w:rsidP="006D7255">
      <w:pPr>
        <w:spacing w:after="40"/>
        <w:ind w:firstLine="567"/>
        <w:rPr>
          <w:rFonts w:ascii="Arial" w:eastAsia="Arial Unicode MS" w:hAnsi="Arial" w:cs="Arial"/>
          <w:sz w:val="28"/>
          <w:szCs w:val="28"/>
        </w:rPr>
      </w:pPr>
    </w:p>
    <w:p w14:paraId="6CD356AB" w14:textId="7B8A931B" w:rsidR="00996B00" w:rsidRPr="00533035" w:rsidRDefault="00996B00" w:rsidP="00996B00">
      <w:pPr>
        <w:spacing w:after="40"/>
        <w:rPr>
          <w:rFonts w:ascii="Arial" w:eastAsia="Arial Unicode MS" w:hAnsi="Arial" w:cs="Arial"/>
          <w:sz w:val="28"/>
          <w:szCs w:val="28"/>
        </w:rPr>
      </w:pPr>
    </w:p>
    <w:p w14:paraId="6BF4535E" w14:textId="7C4A0B48" w:rsidR="00E40488" w:rsidRDefault="00E40488" w:rsidP="004F53A5">
      <w:pPr>
        <w:spacing w:after="40"/>
        <w:rPr>
          <w:noProof/>
          <w:lang w:eastAsia="pt-BR"/>
        </w:rPr>
      </w:pPr>
    </w:p>
    <w:p w14:paraId="3F9FBB59" w14:textId="47B174A1" w:rsidR="00996B00" w:rsidRDefault="00996B00" w:rsidP="004F53A5">
      <w:pPr>
        <w:spacing w:after="40"/>
        <w:rPr>
          <w:noProof/>
          <w:lang w:eastAsia="pt-BR"/>
        </w:rPr>
      </w:pPr>
    </w:p>
    <w:p w14:paraId="7DD4248B" w14:textId="4E8AE374" w:rsidR="00996B00" w:rsidRDefault="00996B00" w:rsidP="004F53A5">
      <w:pPr>
        <w:spacing w:after="40"/>
        <w:rPr>
          <w:noProof/>
          <w:lang w:eastAsia="pt-BR"/>
        </w:rPr>
      </w:pPr>
    </w:p>
    <w:p w14:paraId="4144B5D4" w14:textId="77777777" w:rsidR="00996B00" w:rsidRDefault="00996B00" w:rsidP="004F53A5">
      <w:pPr>
        <w:spacing w:after="40"/>
        <w:rPr>
          <w:rFonts w:ascii="Arial" w:eastAsia="Arial Unicode MS" w:hAnsi="Arial" w:cs="Arial"/>
          <w:sz w:val="20"/>
          <w:szCs w:val="20"/>
        </w:rPr>
      </w:pPr>
    </w:p>
    <w:p w14:paraId="22965A47" w14:textId="0EF3B545" w:rsidR="005432E7" w:rsidRDefault="005432E7" w:rsidP="004F53A5">
      <w:pPr>
        <w:spacing w:after="40"/>
        <w:rPr>
          <w:rFonts w:ascii="Arial" w:eastAsia="Arial Unicode MS" w:hAnsi="Arial" w:cs="Arial"/>
          <w:sz w:val="20"/>
          <w:szCs w:val="20"/>
        </w:rPr>
      </w:pPr>
    </w:p>
    <w:p w14:paraId="367DCA32" w14:textId="01A35FCC" w:rsidR="005432E7" w:rsidRDefault="005432E7" w:rsidP="004F53A5">
      <w:pPr>
        <w:spacing w:after="40"/>
        <w:rPr>
          <w:rFonts w:ascii="Arial" w:eastAsia="Arial Unicode MS" w:hAnsi="Arial" w:cs="Arial"/>
          <w:sz w:val="20"/>
          <w:szCs w:val="20"/>
        </w:rPr>
      </w:pPr>
    </w:p>
    <w:p w14:paraId="739EBF5E" w14:textId="57AAFEC1" w:rsidR="005432E7" w:rsidRDefault="005432E7" w:rsidP="004F53A5">
      <w:pPr>
        <w:spacing w:after="40"/>
        <w:rPr>
          <w:rFonts w:ascii="Arial" w:eastAsia="Arial Unicode MS" w:hAnsi="Arial" w:cs="Arial"/>
          <w:sz w:val="20"/>
          <w:szCs w:val="20"/>
        </w:rPr>
      </w:pPr>
    </w:p>
    <w:p w14:paraId="55FC29EC" w14:textId="36E9CD35" w:rsidR="005432E7" w:rsidRDefault="005432E7" w:rsidP="004F53A5">
      <w:pPr>
        <w:spacing w:after="40"/>
        <w:rPr>
          <w:rFonts w:ascii="Arial" w:eastAsia="Arial Unicode MS" w:hAnsi="Arial" w:cs="Arial"/>
          <w:sz w:val="20"/>
          <w:szCs w:val="20"/>
        </w:rPr>
      </w:pPr>
    </w:p>
    <w:p w14:paraId="42724AFD" w14:textId="6B8CD059" w:rsidR="005432E7" w:rsidRDefault="005432E7" w:rsidP="004F53A5">
      <w:pPr>
        <w:spacing w:after="40"/>
        <w:rPr>
          <w:rFonts w:ascii="Arial" w:eastAsia="Arial Unicode MS" w:hAnsi="Arial" w:cs="Arial"/>
          <w:sz w:val="20"/>
          <w:szCs w:val="20"/>
        </w:rPr>
      </w:pPr>
    </w:p>
    <w:p w14:paraId="50789240" w14:textId="71E6D1D7" w:rsidR="002D7393"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3F0D2023" w14:textId="2627777D" w:rsidR="00C14ABA" w:rsidRDefault="00C14ABA" w:rsidP="00D559BD">
      <w:pPr>
        <w:spacing w:after="40"/>
        <w:ind w:firstLine="567"/>
        <w:rPr>
          <w:rFonts w:ascii="Arial" w:eastAsia="Arial Unicode MS" w:hAnsi="Arial" w:cs="Arial"/>
          <w:sz w:val="28"/>
          <w:szCs w:val="28"/>
        </w:rPr>
      </w:pPr>
      <w:r w:rsidRPr="00C14ABA">
        <w:rPr>
          <w:rFonts w:ascii="Arial" w:eastAsia="Arial Unicode MS" w:hAnsi="Arial" w:cs="Arial"/>
          <w:noProof/>
          <w:sz w:val="28"/>
          <w:szCs w:val="28"/>
        </w:rPr>
        <w:drawing>
          <wp:inline distT="0" distB="0" distL="0" distR="0" wp14:anchorId="5AB6E0E1" wp14:editId="6EFAA359">
            <wp:extent cx="4943475" cy="5667375"/>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3475" cy="5667375"/>
                    </a:xfrm>
                    <a:prstGeom prst="rect">
                      <a:avLst/>
                    </a:prstGeom>
                    <a:noFill/>
                    <a:ln>
                      <a:noFill/>
                    </a:ln>
                  </pic:spPr>
                </pic:pic>
              </a:graphicData>
            </a:graphic>
          </wp:inline>
        </w:drawing>
      </w:r>
    </w:p>
    <w:p w14:paraId="531FB0B4" w14:textId="77777777" w:rsidR="00C14ABA" w:rsidRDefault="00C14ABA" w:rsidP="00D559BD">
      <w:pPr>
        <w:spacing w:after="40"/>
        <w:ind w:firstLine="567"/>
        <w:rPr>
          <w:rFonts w:ascii="Arial" w:eastAsia="Arial Unicode MS" w:hAnsi="Arial" w:cs="Arial"/>
          <w:sz w:val="28"/>
          <w:szCs w:val="28"/>
        </w:rPr>
      </w:pPr>
    </w:p>
    <w:p w14:paraId="65AEA754" w14:textId="47BAB0D2" w:rsidR="002D7393" w:rsidRDefault="002D7393" w:rsidP="00D559BD">
      <w:pPr>
        <w:spacing w:after="40"/>
        <w:ind w:firstLine="567"/>
        <w:rPr>
          <w:rFonts w:ascii="Arial" w:eastAsia="Arial Unicode MS" w:hAnsi="Arial" w:cs="Arial"/>
          <w:sz w:val="28"/>
          <w:szCs w:val="28"/>
        </w:rPr>
      </w:pPr>
    </w:p>
    <w:p w14:paraId="6893B68C" w14:textId="13B84AC4" w:rsidR="00C5518E" w:rsidRDefault="00C5518E" w:rsidP="00D559BD">
      <w:pPr>
        <w:spacing w:after="40"/>
        <w:ind w:firstLine="567"/>
        <w:rPr>
          <w:rFonts w:ascii="Arial" w:eastAsia="Arial Unicode MS" w:hAnsi="Arial" w:cs="Arial"/>
          <w:sz w:val="28"/>
          <w:szCs w:val="28"/>
        </w:rPr>
      </w:pPr>
    </w:p>
    <w:p w14:paraId="76CC62A0" w14:textId="76919415" w:rsidR="00EA04D0" w:rsidRDefault="00EA04D0" w:rsidP="00D559BD">
      <w:pPr>
        <w:spacing w:after="40"/>
        <w:ind w:firstLine="567"/>
        <w:rPr>
          <w:rFonts w:ascii="Arial" w:eastAsia="Arial Unicode MS" w:hAnsi="Arial" w:cs="Arial"/>
          <w:sz w:val="28"/>
          <w:szCs w:val="28"/>
        </w:rPr>
      </w:pPr>
    </w:p>
    <w:p w14:paraId="321B87F4" w14:textId="6C19A909" w:rsidR="00D42FB9" w:rsidRDefault="00D42FB9" w:rsidP="00D559BD">
      <w:pPr>
        <w:spacing w:after="40"/>
        <w:ind w:firstLine="567"/>
        <w:rPr>
          <w:rFonts w:ascii="Arial" w:eastAsia="Arial Unicode MS" w:hAnsi="Arial" w:cs="Arial"/>
          <w:sz w:val="28"/>
          <w:szCs w:val="28"/>
        </w:rPr>
      </w:pPr>
    </w:p>
    <w:p w14:paraId="05F74644" w14:textId="7A4F4464" w:rsidR="00B81850" w:rsidRDefault="00B81850" w:rsidP="004F53A5">
      <w:pPr>
        <w:spacing w:after="40"/>
        <w:rPr>
          <w:rFonts w:ascii="Arial" w:eastAsia="Arial Unicode MS" w:hAnsi="Arial" w:cs="Arial"/>
          <w:sz w:val="20"/>
          <w:szCs w:val="20"/>
        </w:rPr>
      </w:pPr>
    </w:p>
    <w:p w14:paraId="4DFF982E" w14:textId="617DED42" w:rsidR="00B81850" w:rsidRDefault="00B81850" w:rsidP="004F53A5">
      <w:pPr>
        <w:spacing w:after="40"/>
        <w:rPr>
          <w:rFonts w:ascii="Arial" w:eastAsia="Arial Unicode MS" w:hAnsi="Arial" w:cs="Arial"/>
          <w:sz w:val="20"/>
          <w:szCs w:val="20"/>
        </w:rPr>
      </w:pPr>
    </w:p>
    <w:p w14:paraId="3703E0EF" w14:textId="2AD8F024" w:rsidR="00B81850" w:rsidRDefault="00B81850" w:rsidP="004F53A5">
      <w:pPr>
        <w:spacing w:after="40"/>
        <w:rPr>
          <w:rFonts w:ascii="Arial" w:eastAsia="Arial Unicode MS" w:hAnsi="Arial" w:cs="Arial"/>
          <w:sz w:val="20"/>
          <w:szCs w:val="20"/>
        </w:rPr>
      </w:pPr>
    </w:p>
    <w:p w14:paraId="5F815B36" w14:textId="0095010F" w:rsidR="00B81850" w:rsidRDefault="00B81850" w:rsidP="004F53A5">
      <w:pPr>
        <w:spacing w:after="40"/>
        <w:rPr>
          <w:rFonts w:ascii="Arial" w:eastAsia="Arial Unicode MS" w:hAnsi="Arial" w:cs="Arial"/>
          <w:sz w:val="20"/>
          <w:szCs w:val="20"/>
        </w:rPr>
      </w:pPr>
    </w:p>
    <w:p w14:paraId="6F565923" w14:textId="5EA698DD" w:rsidR="00B81850" w:rsidRDefault="00B81850" w:rsidP="004F53A5">
      <w:pPr>
        <w:spacing w:after="40"/>
        <w:rPr>
          <w:rFonts w:ascii="Arial" w:eastAsia="Arial Unicode MS" w:hAnsi="Arial" w:cs="Arial"/>
          <w:sz w:val="20"/>
          <w:szCs w:val="20"/>
        </w:rPr>
      </w:pPr>
    </w:p>
    <w:p w14:paraId="3843331F" w14:textId="050D0821" w:rsidR="00B81850" w:rsidRDefault="00B81850" w:rsidP="004F53A5">
      <w:pPr>
        <w:spacing w:after="40"/>
        <w:rPr>
          <w:rFonts w:ascii="Arial" w:eastAsia="Arial Unicode MS" w:hAnsi="Arial" w:cs="Arial"/>
          <w:sz w:val="20"/>
          <w:szCs w:val="20"/>
        </w:rPr>
      </w:pPr>
    </w:p>
    <w:p w14:paraId="5FFD81A0" w14:textId="1B62B457" w:rsidR="00B81850" w:rsidRDefault="00B81850" w:rsidP="004F53A5">
      <w:pPr>
        <w:spacing w:after="40"/>
        <w:rPr>
          <w:rFonts w:ascii="Arial" w:eastAsia="Arial Unicode MS" w:hAnsi="Arial" w:cs="Arial"/>
          <w:sz w:val="20"/>
          <w:szCs w:val="20"/>
        </w:rPr>
      </w:pPr>
    </w:p>
    <w:p w14:paraId="34AD1F95" w14:textId="70A176E2" w:rsidR="00B81850" w:rsidRDefault="00B81850" w:rsidP="004F53A5">
      <w:pPr>
        <w:spacing w:after="40"/>
        <w:rPr>
          <w:rFonts w:ascii="Arial" w:eastAsia="Arial Unicode MS" w:hAnsi="Arial" w:cs="Arial"/>
          <w:sz w:val="20"/>
          <w:szCs w:val="20"/>
        </w:rPr>
      </w:pPr>
    </w:p>
    <w:p w14:paraId="7D5AC18C" w14:textId="1DC00508" w:rsidR="00B81850" w:rsidRDefault="00B81850" w:rsidP="004F53A5">
      <w:pPr>
        <w:spacing w:after="40"/>
        <w:rPr>
          <w:rFonts w:ascii="Arial" w:eastAsia="Arial Unicode MS" w:hAnsi="Arial" w:cs="Arial"/>
          <w:sz w:val="20"/>
          <w:szCs w:val="20"/>
        </w:rPr>
      </w:pPr>
    </w:p>
    <w:p w14:paraId="6A8DD068" w14:textId="5D811114" w:rsidR="00B81850" w:rsidRDefault="00B81850" w:rsidP="004F53A5">
      <w:pPr>
        <w:spacing w:after="40"/>
        <w:rPr>
          <w:rFonts w:ascii="Arial" w:eastAsia="Arial Unicode MS" w:hAnsi="Arial" w:cs="Arial"/>
          <w:sz w:val="20"/>
          <w:szCs w:val="20"/>
        </w:rPr>
      </w:pPr>
    </w:p>
    <w:p w14:paraId="3B790A4D" w14:textId="0B94FB9B" w:rsidR="00B81850" w:rsidRDefault="00B81850" w:rsidP="004F53A5">
      <w:pPr>
        <w:spacing w:after="40"/>
        <w:rPr>
          <w:rFonts w:ascii="Arial" w:eastAsia="Arial Unicode MS" w:hAnsi="Arial" w:cs="Arial"/>
          <w:sz w:val="20"/>
          <w:szCs w:val="20"/>
        </w:rPr>
      </w:pPr>
    </w:p>
    <w:p w14:paraId="6D8530F0" w14:textId="77777777" w:rsidR="00C14ABA" w:rsidRDefault="00C14ABA" w:rsidP="004F53A5">
      <w:pPr>
        <w:spacing w:after="40"/>
        <w:rPr>
          <w:rFonts w:ascii="Arial" w:eastAsia="Arial Unicode MS" w:hAnsi="Arial" w:cs="Arial"/>
          <w:sz w:val="20"/>
          <w:szCs w:val="20"/>
        </w:rPr>
      </w:pPr>
    </w:p>
    <w:p w14:paraId="7969F09F" w14:textId="1521F9F2" w:rsidR="00433D43" w:rsidRDefault="00433D43" w:rsidP="00433D43">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das Mutações do Patrimônio Líquido</w:t>
      </w:r>
    </w:p>
    <w:p w14:paraId="537E65F2" w14:textId="73780BB6" w:rsidR="00C14ABA" w:rsidRDefault="00C14ABA" w:rsidP="00433D43">
      <w:pPr>
        <w:spacing w:after="40"/>
        <w:ind w:firstLine="567"/>
        <w:rPr>
          <w:rFonts w:ascii="Arial" w:eastAsia="Arial Unicode MS" w:hAnsi="Arial" w:cs="Arial"/>
          <w:sz w:val="28"/>
          <w:szCs w:val="28"/>
        </w:rPr>
      </w:pPr>
      <w:r w:rsidRPr="00C14ABA">
        <w:rPr>
          <w:rFonts w:ascii="Arial" w:eastAsia="Arial Unicode MS" w:hAnsi="Arial" w:cs="Arial"/>
          <w:noProof/>
          <w:sz w:val="28"/>
          <w:szCs w:val="28"/>
        </w:rPr>
        <w:drawing>
          <wp:inline distT="0" distB="0" distL="0" distR="0" wp14:anchorId="0C9EAE9C" wp14:editId="5F3E48B4">
            <wp:extent cx="5895975" cy="2438400"/>
            <wp:effectExtent l="0" t="0" r="952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5975" cy="2438400"/>
                    </a:xfrm>
                    <a:prstGeom prst="rect">
                      <a:avLst/>
                    </a:prstGeom>
                    <a:noFill/>
                    <a:ln>
                      <a:noFill/>
                    </a:ln>
                  </pic:spPr>
                </pic:pic>
              </a:graphicData>
            </a:graphic>
          </wp:inline>
        </w:drawing>
      </w:r>
    </w:p>
    <w:p w14:paraId="608CD05A" w14:textId="77777777" w:rsidR="00C14ABA" w:rsidRDefault="00C14ABA" w:rsidP="00433D43">
      <w:pPr>
        <w:spacing w:after="40"/>
        <w:ind w:firstLine="567"/>
        <w:rPr>
          <w:rFonts w:ascii="Arial" w:eastAsia="Arial Unicode MS" w:hAnsi="Arial" w:cs="Arial"/>
          <w:sz w:val="28"/>
          <w:szCs w:val="28"/>
        </w:rPr>
      </w:pPr>
    </w:p>
    <w:p w14:paraId="02AA6CB1" w14:textId="060C4472" w:rsidR="002D7393" w:rsidRDefault="002D7393" w:rsidP="00433D43">
      <w:pPr>
        <w:spacing w:after="40"/>
        <w:ind w:firstLine="567"/>
        <w:rPr>
          <w:rFonts w:ascii="Arial" w:eastAsia="Arial Unicode MS" w:hAnsi="Arial" w:cs="Arial"/>
          <w:noProof/>
          <w:sz w:val="28"/>
          <w:szCs w:val="28"/>
        </w:rPr>
      </w:pPr>
    </w:p>
    <w:p w14:paraId="1FAA7E77" w14:textId="0B426051" w:rsidR="00457367" w:rsidRDefault="00457367" w:rsidP="00433D43">
      <w:pPr>
        <w:spacing w:after="40"/>
        <w:ind w:firstLine="567"/>
        <w:rPr>
          <w:rFonts w:ascii="Arial" w:eastAsia="Arial Unicode MS" w:hAnsi="Arial" w:cs="Arial"/>
          <w:noProof/>
          <w:sz w:val="28"/>
          <w:szCs w:val="28"/>
        </w:rPr>
      </w:pPr>
    </w:p>
    <w:p w14:paraId="0C75AB97" w14:textId="1944811F" w:rsidR="00457367" w:rsidRDefault="00457367" w:rsidP="00433D43">
      <w:pPr>
        <w:spacing w:after="40"/>
        <w:ind w:firstLine="567"/>
        <w:rPr>
          <w:rFonts w:ascii="Arial" w:eastAsia="Arial Unicode MS" w:hAnsi="Arial" w:cs="Arial"/>
          <w:noProof/>
          <w:sz w:val="28"/>
          <w:szCs w:val="28"/>
        </w:rPr>
      </w:pPr>
    </w:p>
    <w:p w14:paraId="741A3DC0" w14:textId="2DBFF77F" w:rsidR="00457367" w:rsidRDefault="00457367" w:rsidP="00433D43">
      <w:pPr>
        <w:spacing w:after="40"/>
        <w:ind w:firstLine="567"/>
        <w:rPr>
          <w:rFonts w:ascii="Arial" w:eastAsia="Arial Unicode MS" w:hAnsi="Arial" w:cs="Arial"/>
          <w:noProof/>
          <w:sz w:val="28"/>
          <w:szCs w:val="28"/>
        </w:rPr>
      </w:pPr>
    </w:p>
    <w:p w14:paraId="388689A5" w14:textId="1C5B55DC" w:rsidR="00457367" w:rsidRDefault="00457367" w:rsidP="00433D43">
      <w:pPr>
        <w:spacing w:after="40"/>
        <w:ind w:firstLine="567"/>
        <w:rPr>
          <w:rFonts w:ascii="Arial" w:eastAsia="Arial Unicode MS" w:hAnsi="Arial" w:cs="Arial"/>
          <w:noProof/>
          <w:sz w:val="28"/>
          <w:szCs w:val="28"/>
        </w:rPr>
      </w:pPr>
    </w:p>
    <w:p w14:paraId="76F9A75E" w14:textId="6296C82B" w:rsidR="00457367" w:rsidRDefault="00457367" w:rsidP="00433D43">
      <w:pPr>
        <w:spacing w:after="40"/>
        <w:ind w:firstLine="567"/>
        <w:rPr>
          <w:rFonts w:ascii="Arial" w:eastAsia="Arial Unicode MS" w:hAnsi="Arial" w:cs="Arial"/>
          <w:noProof/>
          <w:sz w:val="28"/>
          <w:szCs w:val="28"/>
        </w:rPr>
      </w:pPr>
    </w:p>
    <w:p w14:paraId="4D89FFBF" w14:textId="42253254" w:rsidR="00457367" w:rsidRDefault="00457367" w:rsidP="00433D43">
      <w:pPr>
        <w:spacing w:after="40"/>
        <w:ind w:firstLine="567"/>
        <w:rPr>
          <w:rFonts w:ascii="Arial" w:eastAsia="Arial Unicode MS" w:hAnsi="Arial" w:cs="Arial"/>
          <w:noProof/>
          <w:sz w:val="28"/>
          <w:szCs w:val="28"/>
        </w:rPr>
      </w:pPr>
    </w:p>
    <w:p w14:paraId="2808A898" w14:textId="6F388E28" w:rsidR="00457367" w:rsidRDefault="00457367" w:rsidP="00433D43">
      <w:pPr>
        <w:spacing w:after="40"/>
        <w:ind w:firstLine="567"/>
        <w:rPr>
          <w:rFonts w:ascii="Arial" w:eastAsia="Arial Unicode MS" w:hAnsi="Arial" w:cs="Arial"/>
          <w:noProof/>
          <w:sz w:val="28"/>
          <w:szCs w:val="28"/>
        </w:rPr>
      </w:pPr>
    </w:p>
    <w:p w14:paraId="67B2848C" w14:textId="77777777" w:rsidR="00457367" w:rsidRDefault="00457367" w:rsidP="00433D43">
      <w:pPr>
        <w:spacing w:after="40"/>
        <w:ind w:firstLine="567"/>
        <w:rPr>
          <w:rFonts w:ascii="Arial" w:eastAsia="Arial Unicode MS" w:hAnsi="Arial" w:cs="Arial"/>
          <w:sz w:val="28"/>
          <w:szCs w:val="28"/>
        </w:rPr>
      </w:pPr>
    </w:p>
    <w:p w14:paraId="27B03BDF" w14:textId="201908D6" w:rsidR="00040B55" w:rsidRDefault="00040B55" w:rsidP="00433D43">
      <w:pPr>
        <w:spacing w:after="40"/>
        <w:ind w:firstLine="567"/>
        <w:rPr>
          <w:rFonts w:ascii="Arial" w:eastAsia="Arial Unicode MS" w:hAnsi="Arial" w:cs="Arial"/>
          <w:sz w:val="28"/>
          <w:szCs w:val="28"/>
        </w:rPr>
      </w:pPr>
    </w:p>
    <w:p w14:paraId="29FDF015" w14:textId="49EAD8D2" w:rsidR="00EA04D0" w:rsidRDefault="00EA04D0" w:rsidP="00433D43">
      <w:pPr>
        <w:spacing w:after="40"/>
        <w:ind w:firstLine="567"/>
        <w:rPr>
          <w:rFonts w:ascii="Arial" w:eastAsia="Arial Unicode MS" w:hAnsi="Arial" w:cs="Arial"/>
          <w:sz w:val="28"/>
          <w:szCs w:val="28"/>
        </w:rPr>
      </w:pPr>
    </w:p>
    <w:p w14:paraId="7DAD1188" w14:textId="2F76A333" w:rsidR="00B81850" w:rsidRDefault="00B81850" w:rsidP="00433D43">
      <w:pPr>
        <w:spacing w:after="40"/>
        <w:ind w:firstLine="567"/>
        <w:rPr>
          <w:rFonts w:ascii="Arial" w:eastAsia="Arial Unicode MS" w:hAnsi="Arial" w:cs="Arial"/>
          <w:sz w:val="28"/>
          <w:szCs w:val="28"/>
        </w:rPr>
      </w:pPr>
    </w:p>
    <w:p w14:paraId="207CD8C6" w14:textId="04517C8E" w:rsidR="00996B00" w:rsidRPr="00433D43" w:rsidRDefault="00996B00" w:rsidP="00996B00">
      <w:pPr>
        <w:spacing w:after="40"/>
        <w:rPr>
          <w:rFonts w:ascii="Arial" w:eastAsia="Arial Unicode MS" w:hAnsi="Arial" w:cs="Arial"/>
          <w:sz w:val="28"/>
          <w:szCs w:val="28"/>
        </w:rPr>
      </w:pPr>
    </w:p>
    <w:p w14:paraId="766A9F31" w14:textId="3BC7A2B0" w:rsidR="00433D43" w:rsidRDefault="00433D43" w:rsidP="004F53A5">
      <w:pPr>
        <w:spacing w:after="40"/>
        <w:rPr>
          <w:rFonts w:ascii="Arial" w:eastAsia="Arial Unicode MS" w:hAnsi="Arial" w:cs="Arial"/>
          <w:sz w:val="20"/>
          <w:szCs w:val="20"/>
        </w:rPr>
      </w:pPr>
    </w:p>
    <w:p w14:paraId="74B90490" w14:textId="31E0CF7D" w:rsidR="00433D43" w:rsidRDefault="00433D43" w:rsidP="004F53A5">
      <w:pPr>
        <w:spacing w:after="40"/>
        <w:rPr>
          <w:rFonts w:ascii="Arial" w:eastAsia="Arial Unicode MS" w:hAnsi="Arial" w:cs="Arial"/>
          <w:sz w:val="20"/>
          <w:szCs w:val="20"/>
        </w:rPr>
      </w:pPr>
    </w:p>
    <w:p w14:paraId="1884BDB0" w14:textId="376DC328" w:rsidR="00B81850" w:rsidRDefault="00B81850" w:rsidP="004F53A5">
      <w:pPr>
        <w:spacing w:after="40"/>
        <w:rPr>
          <w:rFonts w:ascii="Arial" w:eastAsia="Arial Unicode MS" w:hAnsi="Arial" w:cs="Arial"/>
          <w:sz w:val="20"/>
          <w:szCs w:val="20"/>
        </w:rPr>
      </w:pPr>
    </w:p>
    <w:p w14:paraId="08E4B48B" w14:textId="48EEF843" w:rsidR="00B81850" w:rsidRDefault="00B81850" w:rsidP="004F53A5">
      <w:pPr>
        <w:spacing w:after="40"/>
        <w:rPr>
          <w:rFonts w:ascii="Arial" w:eastAsia="Arial Unicode MS" w:hAnsi="Arial" w:cs="Arial"/>
          <w:sz w:val="20"/>
          <w:szCs w:val="20"/>
        </w:rPr>
      </w:pPr>
    </w:p>
    <w:p w14:paraId="12B6EBEC" w14:textId="0E857E73" w:rsidR="00B81850" w:rsidRDefault="00B81850" w:rsidP="004F53A5">
      <w:pPr>
        <w:spacing w:after="40"/>
        <w:rPr>
          <w:rFonts w:ascii="Arial" w:eastAsia="Arial Unicode MS" w:hAnsi="Arial" w:cs="Arial"/>
          <w:sz w:val="20"/>
          <w:szCs w:val="20"/>
        </w:rPr>
      </w:pPr>
    </w:p>
    <w:p w14:paraId="3250C0B8" w14:textId="5EFE1C7F" w:rsidR="00B81850" w:rsidRDefault="00B81850" w:rsidP="004F53A5">
      <w:pPr>
        <w:spacing w:after="40"/>
        <w:rPr>
          <w:rFonts w:ascii="Arial" w:eastAsia="Arial Unicode MS" w:hAnsi="Arial" w:cs="Arial"/>
          <w:sz w:val="20"/>
          <w:szCs w:val="20"/>
        </w:rPr>
      </w:pPr>
    </w:p>
    <w:p w14:paraId="5598232E" w14:textId="488A7CE5" w:rsidR="00B81850" w:rsidRDefault="00B81850" w:rsidP="004F53A5">
      <w:pPr>
        <w:spacing w:after="40"/>
        <w:rPr>
          <w:rFonts w:ascii="Arial" w:eastAsia="Arial Unicode MS" w:hAnsi="Arial" w:cs="Arial"/>
          <w:sz w:val="20"/>
          <w:szCs w:val="20"/>
        </w:rPr>
      </w:pPr>
    </w:p>
    <w:p w14:paraId="03E62739" w14:textId="2F7B7ADE" w:rsidR="00B81850" w:rsidRDefault="00B81850" w:rsidP="004F53A5">
      <w:pPr>
        <w:spacing w:after="40"/>
        <w:rPr>
          <w:rFonts w:ascii="Arial" w:eastAsia="Arial Unicode MS" w:hAnsi="Arial" w:cs="Arial"/>
          <w:sz w:val="20"/>
          <w:szCs w:val="20"/>
        </w:rPr>
      </w:pPr>
    </w:p>
    <w:p w14:paraId="2F25633A" w14:textId="485C73F9" w:rsidR="00B81850" w:rsidRDefault="00B81850" w:rsidP="004F53A5">
      <w:pPr>
        <w:spacing w:after="40"/>
        <w:rPr>
          <w:rFonts w:ascii="Arial" w:eastAsia="Arial Unicode MS" w:hAnsi="Arial" w:cs="Arial"/>
          <w:sz w:val="20"/>
          <w:szCs w:val="20"/>
        </w:rPr>
      </w:pPr>
    </w:p>
    <w:p w14:paraId="1DD9F160" w14:textId="4D0DA227" w:rsidR="00B81850" w:rsidRDefault="00B81850" w:rsidP="004F53A5">
      <w:pPr>
        <w:spacing w:after="40"/>
        <w:rPr>
          <w:rFonts w:ascii="Arial" w:eastAsia="Arial Unicode MS" w:hAnsi="Arial" w:cs="Arial"/>
          <w:sz w:val="20"/>
          <w:szCs w:val="20"/>
        </w:rPr>
      </w:pPr>
    </w:p>
    <w:p w14:paraId="1F128770" w14:textId="24E2A24A" w:rsidR="00B81850" w:rsidRDefault="00B81850" w:rsidP="004F53A5">
      <w:pPr>
        <w:spacing w:after="40"/>
        <w:rPr>
          <w:rFonts w:ascii="Arial" w:eastAsia="Arial Unicode MS" w:hAnsi="Arial" w:cs="Arial"/>
          <w:sz w:val="20"/>
          <w:szCs w:val="20"/>
        </w:rPr>
      </w:pPr>
    </w:p>
    <w:p w14:paraId="2578B91E" w14:textId="23626B46" w:rsidR="00B81850" w:rsidRDefault="00B81850" w:rsidP="004F53A5">
      <w:pPr>
        <w:spacing w:after="40"/>
        <w:rPr>
          <w:rFonts w:ascii="Arial" w:eastAsia="Arial Unicode MS" w:hAnsi="Arial" w:cs="Arial"/>
          <w:sz w:val="20"/>
          <w:szCs w:val="20"/>
        </w:rPr>
      </w:pPr>
    </w:p>
    <w:p w14:paraId="11BA18D3" w14:textId="2B571991" w:rsidR="00B81850" w:rsidRDefault="00B81850" w:rsidP="004F53A5">
      <w:pPr>
        <w:spacing w:after="40"/>
        <w:rPr>
          <w:rFonts w:ascii="Arial" w:eastAsia="Arial Unicode MS" w:hAnsi="Arial" w:cs="Arial"/>
          <w:sz w:val="20"/>
          <w:szCs w:val="20"/>
        </w:rPr>
      </w:pPr>
    </w:p>
    <w:p w14:paraId="477C8B05" w14:textId="7B74C617" w:rsidR="00B81850" w:rsidRDefault="00B81850" w:rsidP="004F53A5">
      <w:pPr>
        <w:spacing w:after="40"/>
        <w:rPr>
          <w:rFonts w:ascii="Arial" w:eastAsia="Arial Unicode MS" w:hAnsi="Arial" w:cs="Arial"/>
          <w:sz w:val="20"/>
          <w:szCs w:val="20"/>
        </w:rPr>
      </w:pPr>
    </w:p>
    <w:p w14:paraId="49E06414" w14:textId="546B63B4" w:rsidR="00764E00" w:rsidRDefault="00764E00" w:rsidP="004F53A5">
      <w:pPr>
        <w:spacing w:after="40"/>
        <w:rPr>
          <w:rFonts w:ascii="Arial" w:eastAsia="Arial Unicode MS" w:hAnsi="Arial" w:cs="Arial"/>
          <w:sz w:val="20"/>
          <w:szCs w:val="20"/>
        </w:rPr>
      </w:pPr>
    </w:p>
    <w:p w14:paraId="36DCD731" w14:textId="513854BB" w:rsidR="00764E00" w:rsidRDefault="00764E00" w:rsidP="004F53A5">
      <w:pPr>
        <w:spacing w:after="40"/>
        <w:rPr>
          <w:rFonts w:ascii="Arial" w:eastAsia="Arial Unicode MS" w:hAnsi="Arial" w:cs="Arial"/>
          <w:sz w:val="20"/>
          <w:szCs w:val="20"/>
        </w:rPr>
      </w:pPr>
    </w:p>
    <w:p w14:paraId="66C5D73E" w14:textId="3B89874D"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Base de Preparação das Demonstrações e das Práticas Contábeis</w:t>
      </w:r>
    </w:p>
    <w:p w14:paraId="4EDF516B" w14:textId="3E32B1DE"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6153C9F8" w:rsidR="007D6891"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do </w:t>
      </w:r>
      <w:r w:rsidR="00957044">
        <w:rPr>
          <w:rFonts w:ascii="Arial" w:eastAsia="Arial Unicode MS" w:hAnsi="Arial" w:cs="Arial"/>
          <w:sz w:val="20"/>
          <w:szCs w:val="20"/>
        </w:rPr>
        <w:t>trimestre</w:t>
      </w:r>
      <w:r w:rsidRPr="00533035">
        <w:rPr>
          <w:rFonts w:ascii="Arial" w:eastAsia="Arial Unicode MS" w:hAnsi="Arial" w:cs="Arial"/>
          <w:sz w:val="20"/>
          <w:szCs w:val="20"/>
        </w:rPr>
        <w:t>, os saldos</w:t>
      </w:r>
      <w:r w:rsidR="00E52177">
        <w:rPr>
          <w:rFonts w:ascii="Arial" w:eastAsia="Arial Unicode MS" w:hAnsi="Arial" w:cs="Arial"/>
          <w:sz w:val="20"/>
          <w:szCs w:val="20"/>
        </w:rPr>
        <w:t xml:space="preserve"> em caixa e equivalentes de caixa, exceto recursos liberados pelo Tesouro,</w:t>
      </w:r>
      <w:r w:rsidRPr="00533035">
        <w:rPr>
          <w:rFonts w:ascii="Arial" w:eastAsia="Arial Unicode MS" w:hAnsi="Arial" w:cs="Arial"/>
          <w:sz w:val="20"/>
          <w:szCs w:val="20"/>
        </w:rPr>
        <w:t xml:space="preserve"> não foram conciliados com extrato ou documento de controle</w:t>
      </w:r>
      <w:r w:rsidR="00797FED">
        <w:rPr>
          <w:rFonts w:ascii="Arial" w:eastAsia="Arial Unicode MS" w:hAnsi="Arial" w:cs="Arial"/>
          <w:sz w:val="20"/>
          <w:szCs w:val="20"/>
        </w:rPr>
        <w:t xml:space="preserve"> que </w:t>
      </w:r>
      <w:r w:rsidR="00924B29">
        <w:rPr>
          <w:rFonts w:ascii="Arial" w:eastAsia="Arial Unicode MS" w:hAnsi="Arial" w:cs="Arial"/>
          <w:sz w:val="20"/>
          <w:szCs w:val="20"/>
        </w:rPr>
        <w:t>viabilizasse a conformidade das contas</w:t>
      </w:r>
      <w:r w:rsidRPr="00533035">
        <w:rPr>
          <w:rFonts w:ascii="Arial" w:eastAsia="Arial Unicode MS" w:hAnsi="Arial" w:cs="Arial"/>
          <w:sz w:val="20"/>
          <w:szCs w:val="20"/>
        </w:rPr>
        <w:t>.</w:t>
      </w:r>
      <w:r w:rsidR="00924B29">
        <w:rPr>
          <w:rFonts w:ascii="Arial" w:eastAsia="Arial Unicode MS" w:hAnsi="Arial" w:cs="Arial"/>
          <w:sz w:val="20"/>
          <w:szCs w:val="20"/>
        </w:rPr>
        <w:t xml:space="preserve"> Documentos não foram apresentados.</w:t>
      </w:r>
    </w:p>
    <w:p w14:paraId="7A96E029" w14:textId="51656ACC" w:rsidR="00924B29" w:rsidRPr="00533035" w:rsidRDefault="00924B29" w:rsidP="007D6891">
      <w:pPr>
        <w:spacing w:after="40"/>
        <w:rPr>
          <w:rFonts w:ascii="Arial" w:eastAsia="Arial Unicode MS" w:hAnsi="Arial" w:cs="Arial"/>
          <w:sz w:val="20"/>
          <w:szCs w:val="20"/>
        </w:rPr>
      </w:pPr>
      <w:r>
        <w:rPr>
          <w:rFonts w:ascii="Arial" w:eastAsia="Arial Unicode MS" w:hAnsi="Arial" w:cs="Arial"/>
          <w:sz w:val="20"/>
          <w:szCs w:val="20"/>
        </w:rPr>
        <w:t xml:space="preserve">O </w:t>
      </w:r>
      <w:r w:rsidR="00D30662">
        <w:rPr>
          <w:rFonts w:ascii="Arial" w:eastAsia="Arial Unicode MS" w:hAnsi="Arial" w:cs="Arial"/>
          <w:sz w:val="20"/>
          <w:szCs w:val="20"/>
        </w:rPr>
        <w:t xml:space="preserve">respectivo </w:t>
      </w:r>
      <w:r>
        <w:rPr>
          <w:rFonts w:ascii="Arial" w:eastAsia="Arial Unicode MS" w:hAnsi="Arial" w:cs="Arial"/>
          <w:sz w:val="20"/>
          <w:szCs w:val="20"/>
        </w:rPr>
        <w:t>saldo</w:t>
      </w:r>
      <w:r w:rsidR="00D30662">
        <w:rPr>
          <w:rFonts w:ascii="Arial" w:eastAsia="Arial Unicode MS" w:hAnsi="Arial" w:cs="Arial"/>
          <w:sz w:val="20"/>
          <w:szCs w:val="20"/>
        </w:rPr>
        <w:t xml:space="preserve"> escriturado</w:t>
      </w:r>
      <w:r>
        <w:rPr>
          <w:rFonts w:ascii="Arial" w:eastAsia="Arial Unicode MS" w:hAnsi="Arial" w:cs="Arial"/>
          <w:sz w:val="20"/>
          <w:szCs w:val="20"/>
        </w:rPr>
        <w:t xml:space="preserve"> </w:t>
      </w:r>
      <w:r w:rsidR="00D30662">
        <w:rPr>
          <w:rFonts w:ascii="Arial" w:eastAsia="Arial Unicode MS" w:hAnsi="Arial" w:cs="Arial"/>
          <w:sz w:val="20"/>
          <w:szCs w:val="20"/>
        </w:rPr>
        <w:t xml:space="preserve">em </w:t>
      </w:r>
      <w:r w:rsidR="00C44643">
        <w:rPr>
          <w:rFonts w:ascii="Arial" w:eastAsia="Arial Unicode MS" w:hAnsi="Arial" w:cs="Arial"/>
          <w:sz w:val="20"/>
          <w:szCs w:val="20"/>
        </w:rPr>
        <w:t>30/06</w:t>
      </w:r>
      <w:r w:rsidR="00241A37">
        <w:rPr>
          <w:rFonts w:ascii="Arial" w:eastAsia="Arial Unicode MS" w:hAnsi="Arial" w:cs="Arial"/>
          <w:sz w:val="20"/>
          <w:szCs w:val="20"/>
        </w:rPr>
        <w:t>/202</w:t>
      </w:r>
      <w:r w:rsidR="002D7393">
        <w:rPr>
          <w:rFonts w:ascii="Arial" w:eastAsia="Arial Unicode MS" w:hAnsi="Arial" w:cs="Arial"/>
          <w:sz w:val="20"/>
          <w:szCs w:val="20"/>
        </w:rPr>
        <w:t>1</w:t>
      </w:r>
      <w:r w:rsidR="00D30662">
        <w:rPr>
          <w:rFonts w:ascii="Arial" w:eastAsia="Arial Unicode MS" w:hAnsi="Arial" w:cs="Arial"/>
          <w:sz w:val="20"/>
          <w:szCs w:val="20"/>
        </w:rPr>
        <w:t xml:space="preserve"> é de R$ </w:t>
      </w:r>
      <w:r w:rsidR="00C44643">
        <w:rPr>
          <w:rFonts w:ascii="Arial" w:eastAsia="Arial Unicode MS" w:hAnsi="Arial" w:cs="Arial"/>
          <w:sz w:val="20"/>
          <w:szCs w:val="20"/>
        </w:rPr>
        <w:t>186.349,78</w:t>
      </w:r>
      <w:r w:rsidR="004F5480">
        <w:rPr>
          <w:rFonts w:ascii="Arial" w:eastAsia="Arial Unicode MS" w:hAnsi="Arial" w:cs="Arial"/>
          <w:sz w:val="20"/>
          <w:szCs w:val="20"/>
        </w:rPr>
        <w:t>.</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597A8F9C" w14:textId="7E470240" w:rsidR="00D30662"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w:t>
      </w:r>
      <w:r w:rsidR="00797FED">
        <w:rPr>
          <w:rFonts w:ascii="Arial" w:eastAsia="Arial Unicode MS" w:hAnsi="Arial" w:cs="Arial"/>
          <w:sz w:val="20"/>
          <w:szCs w:val="20"/>
        </w:rPr>
        <w:t>adiantamentos concedidos a pessoal</w:t>
      </w:r>
      <w:r w:rsidR="00006B51" w:rsidRPr="00533035">
        <w:rPr>
          <w:rFonts w:ascii="Arial" w:eastAsia="Arial Unicode MS" w:hAnsi="Arial" w:cs="Arial"/>
          <w:sz w:val="20"/>
          <w:szCs w:val="20"/>
        </w:rPr>
        <w:t xml:space="preserve"> não foram conciliados com o sistema da folha de pagamento de forma que no final do exercício </w:t>
      </w:r>
      <w:r w:rsidR="00D30662">
        <w:rPr>
          <w:rFonts w:ascii="Arial" w:eastAsia="Arial Unicode MS" w:hAnsi="Arial" w:cs="Arial"/>
          <w:sz w:val="20"/>
          <w:szCs w:val="20"/>
        </w:rPr>
        <w:t>pudesse refletir</w:t>
      </w:r>
      <w:r w:rsidR="00006B51" w:rsidRPr="00533035">
        <w:rPr>
          <w:rFonts w:ascii="Arial" w:eastAsia="Arial Unicode MS" w:hAnsi="Arial" w:cs="Arial"/>
          <w:sz w:val="20"/>
          <w:szCs w:val="20"/>
        </w:rPr>
        <w:t xml:space="preserve"> apenas os adiantamentos concedidos e ainda não descontados, referentes ao exercício s</w:t>
      </w:r>
      <w:r w:rsidR="00797FED">
        <w:rPr>
          <w:rFonts w:ascii="Arial" w:eastAsia="Arial Unicode MS" w:hAnsi="Arial" w:cs="Arial"/>
          <w:sz w:val="20"/>
          <w:szCs w:val="20"/>
        </w:rPr>
        <w:t>eguinte. O referido documento</w:t>
      </w:r>
      <w:r w:rsidR="00D30662">
        <w:rPr>
          <w:rFonts w:ascii="Arial" w:eastAsia="Arial Unicode MS" w:hAnsi="Arial" w:cs="Arial"/>
          <w:sz w:val="20"/>
          <w:szCs w:val="20"/>
        </w:rPr>
        <w:t xml:space="preserve"> do sistema gerencial da folha de pagamentos não foi apresentado e o saldo escriturado de adiantamentos concedidos em </w:t>
      </w:r>
      <w:r w:rsidR="00881107">
        <w:rPr>
          <w:rFonts w:ascii="Arial" w:eastAsia="Arial Unicode MS" w:hAnsi="Arial" w:cs="Arial"/>
          <w:sz w:val="20"/>
          <w:szCs w:val="20"/>
        </w:rPr>
        <w:t>30/06</w:t>
      </w:r>
      <w:r w:rsidR="00E4280D">
        <w:rPr>
          <w:rFonts w:ascii="Arial" w:eastAsia="Arial Unicode MS" w:hAnsi="Arial" w:cs="Arial"/>
          <w:sz w:val="20"/>
          <w:szCs w:val="20"/>
        </w:rPr>
        <w:t>/202</w:t>
      </w:r>
      <w:r w:rsidR="0037102B">
        <w:rPr>
          <w:rFonts w:ascii="Arial" w:eastAsia="Arial Unicode MS" w:hAnsi="Arial" w:cs="Arial"/>
          <w:sz w:val="20"/>
          <w:szCs w:val="20"/>
        </w:rPr>
        <w:t>1</w:t>
      </w:r>
      <w:r w:rsidR="00E4280D">
        <w:rPr>
          <w:rFonts w:ascii="Arial" w:eastAsia="Arial Unicode MS" w:hAnsi="Arial" w:cs="Arial"/>
          <w:sz w:val="20"/>
          <w:szCs w:val="20"/>
        </w:rPr>
        <w:t xml:space="preserve"> </w:t>
      </w:r>
      <w:r w:rsidR="00D30662">
        <w:rPr>
          <w:rFonts w:ascii="Arial" w:eastAsia="Arial Unicode MS" w:hAnsi="Arial" w:cs="Arial"/>
          <w:sz w:val="20"/>
          <w:szCs w:val="20"/>
        </w:rPr>
        <w:t xml:space="preserve">é de R$ </w:t>
      </w:r>
      <w:r w:rsidR="00881107">
        <w:rPr>
          <w:rFonts w:ascii="Arial" w:eastAsia="Arial Unicode MS" w:hAnsi="Arial" w:cs="Arial"/>
          <w:sz w:val="20"/>
          <w:szCs w:val="20"/>
        </w:rPr>
        <w:t>1.382.741,93</w:t>
      </w:r>
      <w:r w:rsidR="00D30662">
        <w:rPr>
          <w:rFonts w:ascii="Arial" w:eastAsia="Arial Unicode MS" w:hAnsi="Arial" w:cs="Arial"/>
          <w:sz w:val="20"/>
          <w:szCs w:val="20"/>
        </w:rPr>
        <w:t>.</w:t>
      </w:r>
    </w:p>
    <w:p w14:paraId="437115EF" w14:textId="43E1B14C" w:rsidR="000E7D97"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de exercício, não foram apresentados à esta setorial os documentos de escrituração </w:t>
      </w:r>
      <w:r w:rsidR="00797FED">
        <w:rPr>
          <w:rFonts w:ascii="Arial" w:eastAsia="Arial Unicode MS" w:hAnsi="Arial" w:cs="Arial"/>
          <w:sz w:val="20"/>
          <w:szCs w:val="20"/>
        </w:rPr>
        <w:t>do saldo alongado</w:t>
      </w:r>
      <w:r w:rsidRPr="00533035">
        <w:rPr>
          <w:rFonts w:ascii="Arial" w:eastAsia="Arial Unicode MS" w:hAnsi="Arial" w:cs="Arial"/>
          <w:sz w:val="20"/>
          <w:szCs w:val="20"/>
        </w:rPr>
        <w:t xml:space="preserve"> a receber em conta “</w:t>
      </w:r>
      <w:r w:rsidR="00D30662">
        <w:rPr>
          <w:rFonts w:ascii="Arial" w:eastAsia="Arial Unicode MS" w:hAnsi="Arial" w:cs="Arial"/>
          <w:sz w:val="20"/>
          <w:szCs w:val="20"/>
        </w:rPr>
        <w:t>clientes” do campus Bento Gonçalves, de modo que ateste com confiabilidade o</w:t>
      </w:r>
      <w:r w:rsidR="00797FED">
        <w:rPr>
          <w:rFonts w:ascii="Arial" w:eastAsia="Arial Unicode MS" w:hAnsi="Arial" w:cs="Arial"/>
          <w:sz w:val="20"/>
          <w:szCs w:val="20"/>
        </w:rPr>
        <w:t xml:space="preserve"> saldo escriturado</w:t>
      </w:r>
      <w:r w:rsidRPr="00533035">
        <w:rPr>
          <w:rFonts w:ascii="Arial" w:eastAsia="Arial Unicode MS" w:hAnsi="Arial" w:cs="Arial"/>
          <w:sz w:val="20"/>
          <w:szCs w:val="20"/>
        </w:rPr>
        <w:t>.</w:t>
      </w:r>
      <w:r w:rsidR="00D30662">
        <w:rPr>
          <w:rFonts w:ascii="Arial" w:eastAsia="Arial Unicode MS" w:hAnsi="Arial" w:cs="Arial"/>
          <w:sz w:val="20"/>
          <w:szCs w:val="20"/>
        </w:rPr>
        <w:t xml:space="preserve"> Em </w:t>
      </w:r>
      <w:r w:rsidR="00881107">
        <w:rPr>
          <w:rFonts w:ascii="Arial" w:eastAsia="Arial Unicode MS" w:hAnsi="Arial" w:cs="Arial"/>
          <w:sz w:val="20"/>
          <w:szCs w:val="20"/>
        </w:rPr>
        <w:t>30/06</w:t>
      </w:r>
      <w:r w:rsidR="00E4280D">
        <w:rPr>
          <w:rFonts w:ascii="Arial" w:eastAsia="Arial Unicode MS" w:hAnsi="Arial" w:cs="Arial"/>
          <w:sz w:val="20"/>
          <w:szCs w:val="20"/>
        </w:rPr>
        <w:t>/202</w:t>
      </w:r>
      <w:r w:rsidR="0037102B">
        <w:rPr>
          <w:rFonts w:ascii="Arial" w:eastAsia="Arial Unicode MS" w:hAnsi="Arial" w:cs="Arial"/>
          <w:sz w:val="20"/>
          <w:szCs w:val="20"/>
        </w:rPr>
        <w:t>1</w:t>
      </w:r>
      <w:r w:rsidR="00D30662">
        <w:rPr>
          <w:rFonts w:ascii="Arial" w:eastAsia="Arial Unicode MS" w:hAnsi="Arial" w:cs="Arial"/>
          <w:sz w:val="20"/>
          <w:szCs w:val="20"/>
        </w:rPr>
        <w:t>, o saldo alongado é de R$ 5.878,00.</w:t>
      </w:r>
    </w:p>
    <w:p w14:paraId="32B6F52E" w14:textId="0BFFA611" w:rsidR="00B66194" w:rsidRPr="009649FC" w:rsidRDefault="00B66194"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Dívida ativa não tributária</w:t>
      </w:r>
    </w:p>
    <w:p w14:paraId="7DAE0270" w14:textId="06CB6FCF"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foi apresentado documento gerencial de controle da dívida ativa não tributária que viabilize a conciliação de saldos e ateste, com segurança e fidedignidade, os valores escriturados nesse título.</w:t>
      </w:r>
    </w:p>
    <w:p w14:paraId="458CFC04" w14:textId="4CC76EDB" w:rsidR="00D30662" w:rsidRDefault="00D30662"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8C3E79">
        <w:rPr>
          <w:rFonts w:ascii="Arial" w:eastAsia="Arial Unicode MS" w:hAnsi="Arial" w:cs="Arial"/>
          <w:sz w:val="20"/>
          <w:szCs w:val="20"/>
        </w:rPr>
        <w:t>30/06/2021</w:t>
      </w:r>
      <w:r>
        <w:rPr>
          <w:rFonts w:ascii="Arial" w:eastAsia="Arial Unicode MS" w:hAnsi="Arial" w:cs="Arial"/>
          <w:sz w:val="20"/>
          <w:szCs w:val="20"/>
        </w:rPr>
        <w:t xml:space="preserve">, o saldo em dívida ativa não tributária é </w:t>
      </w:r>
      <w:r w:rsidR="00255673">
        <w:rPr>
          <w:rFonts w:ascii="Arial" w:eastAsia="Arial Unicode MS" w:hAnsi="Arial" w:cs="Arial"/>
          <w:sz w:val="20"/>
          <w:szCs w:val="20"/>
        </w:rPr>
        <w:t xml:space="preserve">de R$ </w:t>
      </w:r>
      <w:r w:rsidR="00764249">
        <w:rPr>
          <w:rFonts w:ascii="Arial" w:eastAsia="Arial Unicode MS" w:hAnsi="Arial" w:cs="Arial"/>
          <w:sz w:val="20"/>
          <w:szCs w:val="20"/>
        </w:rPr>
        <w:t>99.914,02</w:t>
      </w:r>
      <w:r>
        <w:rPr>
          <w:rFonts w:ascii="Arial" w:eastAsia="Arial Unicode MS" w:hAnsi="Arial" w:cs="Arial"/>
          <w:sz w:val="20"/>
          <w:szCs w:val="20"/>
        </w:rPr>
        <w:t>.</w:t>
      </w:r>
    </w:p>
    <w:p w14:paraId="2674E5C1" w14:textId="6636658C" w:rsidR="00AA0E39" w:rsidRPr="009649FC" w:rsidRDefault="00AA0E3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Bens móveis</w:t>
      </w:r>
    </w:p>
    <w:p w14:paraId="5533024E" w14:textId="5B3D058A" w:rsidR="00B66194" w:rsidRDefault="00800967" w:rsidP="00006B51">
      <w:pPr>
        <w:spacing w:after="40"/>
        <w:rPr>
          <w:rFonts w:ascii="Arial" w:eastAsia="Arial Unicode MS" w:hAnsi="Arial" w:cs="Arial"/>
          <w:sz w:val="20"/>
          <w:szCs w:val="20"/>
        </w:rPr>
      </w:pPr>
      <w:r>
        <w:rPr>
          <w:rFonts w:ascii="Arial" w:eastAsia="Arial Unicode MS" w:hAnsi="Arial" w:cs="Arial"/>
          <w:sz w:val="20"/>
          <w:szCs w:val="20"/>
        </w:rPr>
        <w:t>Durante todo o exercício, manteve-se divergente o saldo SIAFI de bens móveis em relação ao correspondente documento de controle</w:t>
      </w:r>
      <w:r w:rsidR="009649FC">
        <w:rPr>
          <w:rFonts w:ascii="Arial" w:eastAsia="Arial Unicode MS" w:hAnsi="Arial" w:cs="Arial"/>
          <w:sz w:val="20"/>
          <w:szCs w:val="20"/>
        </w:rPr>
        <w:t xml:space="preserve"> gerencial</w:t>
      </w:r>
      <w:r>
        <w:rPr>
          <w:rFonts w:ascii="Arial" w:eastAsia="Arial Unicode MS" w:hAnsi="Arial" w:cs="Arial"/>
          <w:sz w:val="20"/>
          <w:szCs w:val="20"/>
        </w:rPr>
        <w:t>, Relatório de Movimentação de Bens Móveis – RMB,</w:t>
      </w:r>
      <w:r w:rsidR="00C658AF">
        <w:rPr>
          <w:rFonts w:ascii="Arial" w:eastAsia="Arial Unicode MS" w:hAnsi="Arial" w:cs="Arial"/>
          <w:sz w:val="20"/>
          <w:szCs w:val="20"/>
        </w:rPr>
        <w:t xml:space="preserve"> e não há registro de </w:t>
      </w:r>
      <w:r w:rsidR="009649FC">
        <w:rPr>
          <w:rFonts w:ascii="Arial" w:eastAsia="Arial Unicode MS" w:hAnsi="Arial" w:cs="Arial"/>
          <w:sz w:val="20"/>
          <w:szCs w:val="20"/>
        </w:rPr>
        <w:t>laudos de</w:t>
      </w:r>
      <w:r w:rsidR="00C658AF">
        <w:rPr>
          <w:rFonts w:ascii="Arial" w:eastAsia="Arial Unicode MS" w:hAnsi="Arial" w:cs="Arial"/>
          <w:sz w:val="20"/>
          <w:szCs w:val="20"/>
        </w:rPr>
        <w:t xml:space="preserve"> reavaliação dos ativos</w:t>
      </w:r>
      <w:r w:rsidR="009649FC">
        <w:rPr>
          <w:rFonts w:ascii="Arial" w:eastAsia="Arial Unicode MS" w:hAnsi="Arial" w:cs="Arial"/>
          <w:sz w:val="20"/>
          <w:szCs w:val="20"/>
        </w:rPr>
        <w:t xml:space="preserve"> (</w:t>
      </w:r>
      <w:r w:rsidR="00C658AF">
        <w:rPr>
          <w:rFonts w:ascii="Arial" w:eastAsia="Arial Unicode MS" w:hAnsi="Arial" w:cs="Arial"/>
          <w:sz w:val="20"/>
          <w:szCs w:val="20"/>
        </w:rPr>
        <w:t>bens móveis, imóveis, intangíveis e outros</w:t>
      </w:r>
      <w:r w:rsidR="009649FC">
        <w:rPr>
          <w:rFonts w:ascii="Arial" w:eastAsia="Arial Unicode MS" w:hAnsi="Arial" w:cs="Arial"/>
          <w:sz w:val="20"/>
          <w:szCs w:val="20"/>
        </w:rPr>
        <w:t>)</w:t>
      </w:r>
      <w:r w:rsidR="00C658AF">
        <w:rPr>
          <w:rFonts w:ascii="Arial" w:eastAsia="Arial Unicode MS" w:hAnsi="Arial" w:cs="Arial"/>
          <w:sz w:val="20"/>
          <w:szCs w:val="20"/>
        </w:rPr>
        <w:t>,</w:t>
      </w:r>
      <w:r>
        <w:rPr>
          <w:rFonts w:ascii="Arial" w:eastAsia="Arial Unicode MS" w:hAnsi="Arial" w:cs="Arial"/>
          <w:sz w:val="20"/>
          <w:szCs w:val="20"/>
        </w:rPr>
        <w:t xml:space="preserve"> de modo que as contas correspondentes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o ativo escriturado.</w:t>
      </w:r>
    </w:p>
    <w:p w14:paraId="0890F617" w14:textId="2EFFBA8D"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Não há registro de laudo de inventário consolidado que viabilize conciliação das contas desse título e que, paralelamente, ateste com </w:t>
      </w:r>
      <w:r w:rsidR="009649FC">
        <w:rPr>
          <w:rFonts w:ascii="Arial" w:eastAsia="Arial Unicode MS" w:hAnsi="Arial" w:cs="Arial"/>
          <w:sz w:val="20"/>
          <w:szCs w:val="20"/>
        </w:rPr>
        <w:t>confiabilidade</w:t>
      </w:r>
      <w:r>
        <w:rPr>
          <w:rFonts w:ascii="Arial" w:eastAsia="Arial Unicode MS" w:hAnsi="Arial" w:cs="Arial"/>
          <w:sz w:val="20"/>
          <w:szCs w:val="20"/>
        </w:rPr>
        <w:t xml:space="preserve"> o saldo em bens não localizados</w:t>
      </w:r>
      <w:r w:rsidR="00255673">
        <w:rPr>
          <w:rFonts w:ascii="Arial" w:eastAsia="Arial Unicode MS" w:hAnsi="Arial" w:cs="Arial"/>
          <w:sz w:val="20"/>
          <w:szCs w:val="20"/>
        </w:rPr>
        <w:t xml:space="preserve"> e que permita</w:t>
      </w:r>
      <w:r>
        <w:rPr>
          <w:rFonts w:ascii="Arial" w:eastAsia="Arial Unicode MS" w:hAnsi="Arial" w:cs="Arial"/>
          <w:sz w:val="20"/>
          <w:szCs w:val="20"/>
        </w:rPr>
        <w:t xml:space="preserve"> a promoção de descontinuidade dos bens.</w:t>
      </w:r>
    </w:p>
    <w:p w14:paraId="314A743F" w14:textId="55E5D706"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O saldo, em </w:t>
      </w:r>
      <w:r w:rsidR="008C3E79">
        <w:rPr>
          <w:rFonts w:ascii="Arial" w:eastAsia="Arial Unicode MS" w:hAnsi="Arial" w:cs="Arial"/>
          <w:sz w:val="20"/>
          <w:szCs w:val="20"/>
        </w:rPr>
        <w:t>30/06</w:t>
      </w:r>
      <w:r w:rsidR="00E4280D">
        <w:rPr>
          <w:rFonts w:ascii="Arial" w:eastAsia="Arial Unicode MS" w:hAnsi="Arial" w:cs="Arial"/>
          <w:sz w:val="20"/>
          <w:szCs w:val="20"/>
        </w:rPr>
        <w:t>/202</w:t>
      </w:r>
      <w:r w:rsidR="0037102B">
        <w:rPr>
          <w:rFonts w:ascii="Arial" w:eastAsia="Arial Unicode MS" w:hAnsi="Arial" w:cs="Arial"/>
          <w:sz w:val="20"/>
          <w:szCs w:val="20"/>
        </w:rPr>
        <w:t>1</w:t>
      </w:r>
      <w:r>
        <w:rPr>
          <w:rFonts w:ascii="Arial" w:eastAsia="Arial Unicode MS" w:hAnsi="Arial" w:cs="Arial"/>
          <w:sz w:val="20"/>
          <w:szCs w:val="20"/>
        </w:rPr>
        <w:t xml:space="preserve">, de bens não localizados, é de R$ </w:t>
      </w:r>
      <w:r w:rsidR="00E4280D">
        <w:rPr>
          <w:rFonts w:ascii="Arial" w:eastAsia="Arial Unicode MS" w:hAnsi="Arial" w:cs="Arial"/>
          <w:sz w:val="20"/>
          <w:szCs w:val="20"/>
        </w:rPr>
        <w:t>2.</w:t>
      </w:r>
      <w:r w:rsidR="00835C24">
        <w:rPr>
          <w:rFonts w:ascii="Arial" w:eastAsia="Arial Unicode MS" w:hAnsi="Arial" w:cs="Arial"/>
          <w:sz w:val="20"/>
          <w:szCs w:val="20"/>
        </w:rPr>
        <w:t>147.769,79</w:t>
      </w:r>
      <w:r>
        <w:rPr>
          <w:rFonts w:ascii="Arial" w:eastAsia="Arial Unicode MS" w:hAnsi="Arial" w:cs="Arial"/>
          <w:sz w:val="20"/>
          <w:szCs w:val="20"/>
        </w:rPr>
        <w:t>.</w:t>
      </w:r>
    </w:p>
    <w:p w14:paraId="102E7C64" w14:textId="69B7C501" w:rsidR="00AA0E39" w:rsidRDefault="00800967" w:rsidP="00006B51">
      <w:pPr>
        <w:spacing w:after="40"/>
        <w:rPr>
          <w:rFonts w:ascii="Arial" w:eastAsia="Arial Unicode MS" w:hAnsi="Arial" w:cs="Arial"/>
          <w:sz w:val="20"/>
          <w:szCs w:val="20"/>
        </w:rPr>
      </w:pPr>
      <w:r w:rsidRPr="0067151A">
        <w:rPr>
          <w:rFonts w:ascii="Arial" w:eastAsia="Arial Unicode MS" w:hAnsi="Arial" w:cs="Arial"/>
          <w:sz w:val="20"/>
          <w:szCs w:val="20"/>
        </w:rPr>
        <w:t>A divergência total</w:t>
      </w:r>
      <w:r w:rsidR="00B66194" w:rsidRPr="0067151A">
        <w:rPr>
          <w:rFonts w:ascii="Arial" w:eastAsia="Arial Unicode MS" w:hAnsi="Arial" w:cs="Arial"/>
          <w:sz w:val="20"/>
          <w:szCs w:val="20"/>
        </w:rPr>
        <w:t xml:space="preserve"> do saldo de bens móveis </w:t>
      </w:r>
      <w:r w:rsidR="0067151A" w:rsidRPr="0067151A">
        <w:rPr>
          <w:rFonts w:ascii="Arial" w:eastAsia="Arial Unicode MS" w:hAnsi="Arial" w:cs="Arial"/>
          <w:sz w:val="20"/>
          <w:szCs w:val="20"/>
        </w:rPr>
        <w:t xml:space="preserve">e intangíveis </w:t>
      </w:r>
      <w:r w:rsidR="00B66194" w:rsidRPr="0067151A">
        <w:rPr>
          <w:rFonts w:ascii="Arial" w:eastAsia="Arial Unicode MS" w:hAnsi="Arial" w:cs="Arial"/>
          <w:sz w:val="20"/>
          <w:szCs w:val="20"/>
        </w:rPr>
        <w:t xml:space="preserve">no SIAFI e </w:t>
      </w:r>
      <w:r w:rsidR="00BF5A16" w:rsidRPr="0067151A">
        <w:rPr>
          <w:rFonts w:ascii="Arial" w:eastAsia="Arial Unicode MS" w:hAnsi="Arial" w:cs="Arial"/>
          <w:sz w:val="20"/>
          <w:szCs w:val="20"/>
        </w:rPr>
        <w:t>o saldo de bens móveis</w:t>
      </w:r>
      <w:r w:rsidR="0067151A" w:rsidRPr="0067151A">
        <w:rPr>
          <w:rFonts w:ascii="Arial" w:eastAsia="Arial Unicode MS" w:hAnsi="Arial" w:cs="Arial"/>
          <w:sz w:val="20"/>
          <w:szCs w:val="20"/>
        </w:rPr>
        <w:t xml:space="preserve"> e intangíveis</w:t>
      </w:r>
      <w:r w:rsidR="00BF5A16" w:rsidRPr="0067151A">
        <w:rPr>
          <w:rFonts w:ascii="Arial" w:eastAsia="Arial Unicode MS" w:hAnsi="Arial" w:cs="Arial"/>
          <w:sz w:val="20"/>
          <w:szCs w:val="20"/>
        </w:rPr>
        <w:t xml:space="preserve"> no controle patrimonial</w:t>
      </w:r>
      <w:r w:rsidRPr="0067151A">
        <w:rPr>
          <w:rFonts w:ascii="Arial" w:eastAsia="Arial Unicode MS" w:hAnsi="Arial" w:cs="Arial"/>
          <w:sz w:val="20"/>
          <w:szCs w:val="20"/>
        </w:rPr>
        <w:t xml:space="preserve">, em </w:t>
      </w:r>
      <w:r w:rsidR="009A533B">
        <w:rPr>
          <w:rFonts w:ascii="Arial" w:eastAsia="Arial Unicode MS" w:hAnsi="Arial" w:cs="Arial"/>
          <w:sz w:val="20"/>
          <w:szCs w:val="20"/>
        </w:rPr>
        <w:t>30/06</w:t>
      </w:r>
      <w:r w:rsidR="00835C24">
        <w:rPr>
          <w:rFonts w:ascii="Arial" w:eastAsia="Arial Unicode MS" w:hAnsi="Arial" w:cs="Arial"/>
          <w:sz w:val="20"/>
          <w:szCs w:val="20"/>
        </w:rPr>
        <w:t>/202</w:t>
      </w:r>
      <w:r w:rsidR="00DE6CFD">
        <w:rPr>
          <w:rFonts w:ascii="Arial" w:eastAsia="Arial Unicode MS" w:hAnsi="Arial" w:cs="Arial"/>
          <w:sz w:val="20"/>
          <w:szCs w:val="20"/>
        </w:rPr>
        <w:t>1</w:t>
      </w:r>
      <w:r w:rsidRPr="0067151A">
        <w:rPr>
          <w:rFonts w:ascii="Arial" w:eastAsia="Arial Unicode MS" w:hAnsi="Arial" w:cs="Arial"/>
          <w:sz w:val="20"/>
          <w:szCs w:val="20"/>
        </w:rPr>
        <w:t xml:space="preserve">, é de </w:t>
      </w:r>
      <w:r w:rsidR="00656750">
        <w:rPr>
          <w:rFonts w:ascii="Arial" w:eastAsia="Arial Unicode MS" w:hAnsi="Arial" w:cs="Arial"/>
          <w:sz w:val="20"/>
          <w:szCs w:val="20"/>
        </w:rPr>
        <w:t xml:space="preserve">R$ </w:t>
      </w:r>
      <w:r w:rsidR="009A533B">
        <w:rPr>
          <w:rFonts w:ascii="Times New Roman" w:hAnsi="Times New Roman"/>
          <w:szCs w:val="24"/>
        </w:rPr>
        <w:t>4.336.360,12</w:t>
      </w:r>
      <w:r w:rsidR="00916702">
        <w:rPr>
          <w:rFonts w:ascii="Arial" w:eastAsia="Arial Unicode MS" w:hAnsi="Arial" w:cs="Arial"/>
          <w:sz w:val="20"/>
          <w:szCs w:val="20"/>
        </w:rPr>
        <w:t>.</w:t>
      </w:r>
    </w:p>
    <w:p w14:paraId="52255223" w14:textId="4FA3EB77"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de exercício, não foram corrigidos problemas de cálculo do relatório de depreciação </w:t>
      </w:r>
      <w:r w:rsidR="0067151A">
        <w:rPr>
          <w:rFonts w:ascii="Arial" w:eastAsia="Arial Unicode MS" w:hAnsi="Arial" w:cs="Arial"/>
          <w:sz w:val="20"/>
          <w:szCs w:val="20"/>
        </w:rPr>
        <w:t xml:space="preserve">e amortização </w:t>
      </w:r>
      <w:r>
        <w:rPr>
          <w:rFonts w:ascii="Arial" w:eastAsia="Arial Unicode MS" w:hAnsi="Arial" w:cs="Arial"/>
          <w:sz w:val="20"/>
          <w:szCs w:val="20"/>
        </w:rPr>
        <w:t>acumulada, de modo que os registros desse</w:t>
      </w:r>
      <w:r w:rsidR="0067151A">
        <w:rPr>
          <w:rFonts w:ascii="Arial" w:eastAsia="Arial Unicode MS" w:hAnsi="Arial" w:cs="Arial"/>
          <w:sz w:val="20"/>
          <w:szCs w:val="20"/>
        </w:rPr>
        <w:t>s</w:t>
      </w:r>
      <w:r>
        <w:rPr>
          <w:rFonts w:ascii="Arial" w:eastAsia="Arial Unicode MS" w:hAnsi="Arial" w:cs="Arial"/>
          <w:sz w:val="20"/>
          <w:szCs w:val="20"/>
        </w:rPr>
        <w:t xml:space="preserve"> título</w:t>
      </w:r>
      <w:r w:rsidR="0067151A">
        <w:rPr>
          <w:rFonts w:ascii="Arial" w:eastAsia="Arial Unicode MS" w:hAnsi="Arial" w:cs="Arial"/>
          <w:sz w:val="20"/>
          <w:szCs w:val="20"/>
        </w:rPr>
        <w:t>s</w:t>
      </w:r>
      <w:r>
        <w:rPr>
          <w:rFonts w:ascii="Arial" w:eastAsia="Arial Unicode MS" w:hAnsi="Arial" w:cs="Arial"/>
          <w:sz w:val="20"/>
          <w:szCs w:val="20"/>
        </w:rPr>
        <w:t xml:space="preserve">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a depreciação acumulada de bens móveis</w:t>
      </w:r>
      <w:r w:rsidR="0067151A">
        <w:rPr>
          <w:rFonts w:ascii="Arial" w:eastAsia="Arial Unicode MS" w:hAnsi="Arial" w:cs="Arial"/>
          <w:sz w:val="20"/>
          <w:szCs w:val="20"/>
        </w:rPr>
        <w:t xml:space="preserve"> e amortização acumulada de bens intangíveis</w:t>
      </w:r>
      <w:r>
        <w:rPr>
          <w:rFonts w:ascii="Arial" w:eastAsia="Arial Unicode MS" w:hAnsi="Arial" w:cs="Arial"/>
          <w:sz w:val="20"/>
          <w:szCs w:val="20"/>
        </w:rPr>
        <w:t>.</w:t>
      </w:r>
    </w:p>
    <w:p w14:paraId="7EBB8E32" w14:textId="138251A9" w:rsidR="00C658AF" w:rsidRPr="009649FC" w:rsidRDefault="00C658AF"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Ativo intangível</w:t>
      </w:r>
    </w:p>
    <w:p w14:paraId="42BCEBF6" w14:textId="342284F2"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foram apresentados documento de controle dos ativos intangíveis e amortização acumulada, de modo que os registros desse título não refletem com fidedignidade o ativo escriturado.</w:t>
      </w:r>
    </w:p>
    <w:p w14:paraId="2B52FB47" w14:textId="687D084B" w:rsidR="009649FC"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9A533B">
        <w:rPr>
          <w:rFonts w:ascii="Arial" w:eastAsia="Arial Unicode MS" w:hAnsi="Arial" w:cs="Arial"/>
          <w:sz w:val="20"/>
          <w:szCs w:val="20"/>
        </w:rPr>
        <w:t>30/06</w:t>
      </w:r>
      <w:r w:rsidR="00656750">
        <w:rPr>
          <w:rFonts w:ascii="Arial" w:eastAsia="Arial Unicode MS" w:hAnsi="Arial" w:cs="Arial"/>
          <w:sz w:val="20"/>
          <w:szCs w:val="20"/>
        </w:rPr>
        <w:t>/202</w:t>
      </w:r>
      <w:r w:rsidR="00DE6CFD">
        <w:rPr>
          <w:rFonts w:ascii="Arial" w:eastAsia="Arial Unicode MS" w:hAnsi="Arial" w:cs="Arial"/>
          <w:sz w:val="20"/>
          <w:szCs w:val="20"/>
        </w:rPr>
        <w:t>1</w:t>
      </w:r>
      <w:r>
        <w:rPr>
          <w:rFonts w:ascii="Arial" w:eastAsia="Arial Unicode MS" w:hAnsi="Arial" w:cs="Arial"/>
          <w:sz w:val="20"/>
          <w:szCs w:val="20"/>
        </w:rPr>
        <w:t xml:space="preserve">, o saldo em ativos intangíveis é de R$ </w:t>
      </w:r>
      <w:r w:rsidR="009A533B">
        <w:rPr>
          <w:rFonts w:ascii="Arial" w:eastAsia="Arial Unicode MS" w:hAnsi="Arial" w:cs="Arial"/>
          <w:sz w:val="20"/>
          <w:szCs w:val="20"/>
        </w:rPr>
        <w:t>854.770,21</w:t>
      </w:r>
      <w:r>
        <w:rPr>
          <w:rFonts w:ascii="Arial" w:eastAsia="Arial Unicode MS" w:hAnsi="Arial" w:cs="Arial"/>
          <w:sz w:val="20"/>
          <w:szCs w:val="20"/>
        </w:rPr>
        <w:t>.</w:t>
      </w:r>
    </w:p>
    <w:p w14:paraId="00B5A99D" w14:textId="68327E2F" w:rsidR="00924B29" w:rsidRPr="009649FC" w:rsidRDefault="00924B2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Obrigações trabalhistas, previdenciárias e assistenciais a pagar</w:t>
      </w:r>
    </w:p>
    <w:p w14:paraId="231B3F9E" w14:textId="5F9C6988" w:rsidR="00924B29" w:rsidRDefault="00924B29"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o sistema de folha de pagamento não apresentou relatório que permita conciliação das contas de obrigações trabalhistas, previdenciárias e assistenciais, de modo que os saldos escriturados possam refletir a realidade, com segurança e fidedignidade.</w:t>
      </w:r>
    </w:p>
    <w:p w14:paraId="7D0B7C6B" w14:textId="7EFC9F3C" w:rsidR="00313283"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9A533B">
        <w:rPr>
          <w:rFonts w:ascii="Arial" w:eastAsia="Arial Unicode MS" w:hAnsi="Arial" w:cs="Arial"/>
          <w:sz w:val="20"/>
          <w:szCs w:val="20"/>
        </w:rPr>
        <w:t>30/06</w:t>
      </w:r>
      <w:r w:rsidR="00DE6CFD">
        <w:rPr>
          <w:rFonts w:ascii="Arial" w:eastAsia="Arial Unicode MS" w:hAnsi="Arial" w:cs="Arial"/>
          <w:sz w:val="20"/>
          <w:szCs w:val="20"/>
        </w:rPr>
        <w:t>/2021</w:t>
      </w:r>
      <w:r>
        <w:rPr>
          <w:rFonts w:ascii="Arial" w:eastAsia="Arial Unicode MS" w:hAnsi="Arial" w:cs="Arial"/>
          <w:sz w:val="20"/>
          <w:szCs w:val="20"/>
        </w:rPr>
        <w:t xml:space="preserve">, as obrigações trabalhistas, previdenciárias e assistenciais a pagar escrituradas somam R$ </w:t>
      </w:r>
      <w:r w:rsidR="009A533B">
        <w:rPr>
          <w:rFonts w:ascii="Arial" w:eastAsia="Arial Unicode MS" w:hAnsi="Arial" w:cs="Arial"/>
          <w:sz w:val="20"/>
          <w:szCs w:val="20"/>
        </w:rPr>
        <w:t>33.913.303,73</w:t>
      </w:r>
      <w:r w:rsidR="00E31DF9">
        <w:rPr>
          <w:rFonts w:ascii="Arial" w:eastAsia="Arial Unicode MS" w:hAnsi="Arial" w:cs="Arial"/>
          <w:sz w:val="20"/>
          <w:szCs w:val="20"/>
        </w:rPr>
        <w:t>.</w:t>
      </w:r>
    </w:p>
    <w:p w14:paraId="2ED511E7" w14:textId="5CBCEF3C" w:rsidR="0092356D" w:rsidRPr="008077D5" w:rsidRDefault="0092356D" w:rsidP="0092356D">
      <w:pPr>
        <w:spacing w:after="0" w:line="240" w:lineRule="auto"/>
        <w:rPr>
          <w:rFonts w:ascii="Arial" w:eastAsia="Times New Roman" w:hAnsi="Arial" w:cs="Arial"/>
          <w:color w:val="000000" w:themeColor="text1"/>
          <w:sz w:val="20"/>
          <w:szCs w:val="20"/>
          <w:lang w:eastAsia="pt-BR"/>
        </w:rPr>
      </w:pPr>
      <w:r w:rsidRPr="008077D5">
        <w:rPr>
          <w:rFonts w:ascii="Arial" w:eastAsia="Times New Roman" w:hAnsi="Arial" w:cs="Arial"/>
          <w:color w:val="000000" w:themeColor="text1"/>
          <w:sz w:val="20"/>
          <w:szCs w:val="20"/>
          <w:lang w:eastAsia="pt-BR"/>
        </w:rPr>
        <w:t xml:space="preserve">Faltam informações administrativas que justifique parte dos encargos recolhidos de contribuição previdenciárias ao INSS relativa aos contratos temporários. Até o </w:t>
      </w:r>
      <w:r w:rsidR="00DE6CFD">
        <w:rPr>
          <w:rFonts w:ascii="Arial" w:eastAsia="Times New Roman" w:hAnsi="Arial" w:cs="Arial"/>
          <w:color w:val="000000" w:themeColor="text1"/>
          <w:sz w:val="20"/>
          <w:szCs w:val="20"/>
          <w:lang w:eastAsia="pt-BR"/>
        </w:rPr>
        <w:t>primeiro</w:t>
      </w:r>
      <w:r w:rsidRPr="008077D5">
        <w:rPr>
          <w:rFonts w:ascii="Arial" w:eastAsia="Times New Roman" w:hAnsi="Arial" w:cs="Arial"/>
          <w:color w:val="000000" w:themeColor="text1"/>
          <w:sz w:val="20"/>
          <w:szCs w:val="20"/>
          <w:lang w:eastAsia="pt-BR"/>
        </w:rPr>
        <w:t xml:space="preserve"> </w:t>
      </w:r>
      <w:r w:rsidR="007D1028" w:rsidRPr="008077D5">
        <w:rPr>
          <w:rFonts w:ascii="Arial" w:eastAsia="Times New Roman" w:hAnsi="Arial" w:cs="Arial"/>
          <w:color w:val="000000" w:themeColor="text1"/>
          <w:sz w:val="20"/>
          <w:szCs w:val="20"/>
          <w:lang w:eastAsia="pt-BR"/>
        </w:rPr>
        <w:t>trimestre</w:t>
      </w:r>
      <w:r w:rsidRPr="008077D5">
        <w:rPr>
          <w:rFonts w:ascii="Arial" w:eastAsia="Times New Roman" w:hAnsi="Arial" w:cs="Arial"/>
          <w:color w:val="000000" w:themeColor="text1"/>
          <w:sz w:val="20"/>
          <w:szCs w:val="20"/>
          <w:lang w:eastAsia="pt-BR"/>
        </w:rPr>
        <w:t xml:space="preserve"> do exercício, foi identificado o recolhimento de </w:t>
      </w:r>
      <w:r w:rsidRPr="008077D5">
        <w:rPr>
          <w:rFonts w:ascii="Arial" w:eastAsia="Times New Roman" w:hAnsi="Arial" w:cs="Arial"/>
          <w:color w:val="000000" w:themeColor="text1"/>
          <w:sz w:val="20"/>
          <w:szCs w:val="20"/>
          <w:lang w:eastAsia="pt-BR"/>
        </w:rPr>
        <w:lastRenderedPageBreak/>
        <w:t xml:space="preserve">R$ </w:t>
      </w:r>
      <w:r w:rsidR="00012E6B">
        <w:rPr>
          <w:rFonts w:ascii="Arial" w:eastAsia="Times New Roman" w:hAnsi="Arial" w:cs="Arial"/>
          <w:color w:val="000000" w:themeColor="text1"/>
          <w:sz w:val="20"/>
          <w:szCs w:val="20"/>
          <w:lang w:eastAsia="pt-BR"/>
        </w:rPr>
        <w:t>273</w:t>
      </w:r>
      <w:r w:rsidR="00FC0B9B">
        <w:rPr>
          <w:rFonts w:ascii="Arial" w:eastAsia="Times New Roman" w:hAnsi="Arial" w:cs="Arial"/>
          <w:color w:val="000000" w:themeColor="text1"/>
          <w:sz w:val="20"/>
          <w:szCs w:val="20"/>
          <w:lang w:eastAsia="pt-BR"/>
        </w:rPr>
        <w:tab/>
      </w:r>
      <w:r w:rsidRPr="008077D5">
        <w:rPr>
          <w:rFonts w:ascii="Arial" w:eastAsia="Times New Roman" w:hAnsi="Arial" w:cs="Arial"/>
          <w:color w:val="000000" w:themeColor="text1"/>
          <w:sz w:val="20"/>
          <w:szCs w:val="20"/>
          <w:lang w:eastAsia="pt-BR"/>
        </w:rPr>
        <w:t xml:space="preserve"> mil a maior a conta de contribuições previdenciárias - INSS, equivalente a </w:t>
      </w:r>
      <w:r w:rsidR="00673BD0">
        <w:rPr>
          <w:rFonts w:ascii="Arial" w:eastAsia="Times New Roman" w:hAnsi="Arial" w:cs="Arial"/>
          <w:color w:val="000000" w:themeColor="text1"/>
          <w:sz w:val="20"/>
          <w:szCs w:val="20"/>
          <w:lang w:eastAsia="pt-BR"/>
        </w:rPr>
        <w:t>4,</w:t>
      </w:r>
      <w:r w:rsidR="00DE6CFD">
        <w:rPr>
          <w:rFonts w:ascii="Arial" w:eastAsia="Times New Roman" w:hAnsi="Arial" w:cs="Arial"/>
          <w:color w:val="000000" w:themeColor="text1"/>
          <w:sz w:val="20"/>
          <w:szCs w:val="20"/>
          <w:lang w:eastAsia="pt-BR"/>
        </w:rPr>
        <w:t>03</w:t>
      </w:r>
      <w:r w:rsidRPr="008077D5">
        <w:rPr>
          <w:rFonts w:ascii="Arial" w:eastAsia="Times New Roman" w:hAnsi="Arial" w:cs="Arial"/>
          <w:color w:val="000000" w:themeColor="text1"/>
          <w:sz w:val="20"/>
          <w:szCs w:val="20"/>
          <w:lang w:eastAsia="pt-BR"/>
        </w:rPr>
        <w:t>% do total de encargos recolhidos nessa rubrica.</w:t>
      </w:r>
    </w:p>
    <w:p w14:paraId="0E895D8D" w14:textId="34AB6882" w:rsidR="009649FC" w:rsidRDefault="009649FC" w:rsidP="00006B51">
      <w:pPr>
        <w:spacing w:after="40"/>
        <w:rPr>
          <w:rFonts w:ascii="Arial" w:eastAsia="Arial Unicode MS" w:hAnsi="Arial" w:cs="Arial"/>
          <w:sz w:val="20"/>
          <w:szCs w:val="20"/>
        </w:rPr>
      </w:pPr>
    </w:p>
    <w:p w14:paraId="029301C4" w14:textId="7121F868" w:rsidR="00AA0E39" w:rsidRPr="009649FC" w:rsidRDefault="00A619F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Conformidade de gestão</w:t>
      </w:r>
    </w:p>
    <w:p w14:paraId="5EC0B675" w14:textId="44223232" w:rsidR="00A619F9" w:rsidRDefault="00A619F9" w:rsidP="00006B51">
      <w:pPr>
        <w:spacing w:after="40"/>
        <w:rPr>
          <w:rFonts w:ascii="Arial" w:eastAsia="Arial Unicode MS" w:hAnsi="Arial" w:cs="Arial"/>
          <w:sz w:val="20"/>
          <w:szCs w:val="20"/>
        </w:rPr>
      </w:pPr>
      <w:r>
        <w:rPr>
          <w:rFonts w:ascii="Arial" w:eastAsia="Arial Unicode MS" w:hAnsi="Arial" w:cs="Arial"/>
          <w:sz w:val="20"/>
          <w:szCs w:val="20"/>
        </w:rPr>
        <w:t xml:space="preserve">Durante todo o exercício, foram </w:t>
      </w:r>
      <w:r w:rsidR="00797FED">
        <w:rPr>
          <w:rFonts w:ascii="Arial" w:eastAsia="Arial Unicode MS" w:hAnsi="Arial" w:cs="Arial"/>
          <w:sz w:val="20"/>
          <w:szCs w:val="20"/>
        </w:rPr>
        <w:t>apontadas</w:t>
      </w:r>
      <w:r>
        <w:rPr>
          <w:rFonts w:ascii="Arial" w:eastAsia="Arial Unicode MS" w:hAnsi="Arial" w:cs="Arial"/>
          <w:sz w:val="20"/>
          <w:szCs w:val="20"/>
        </w:rPr>
        <w:t xml:space="preserve"> ausências </w:t>
      </w:r>
      <w:r w:rsidR="00C0595E">
        <w:rPr>
          <w:rFonts w:ascii="Arial" w:eastAsia="Arial Unicode MS" w:hAnsi="Arial" w:cs="Arial"/>
          <w:sz w:val="20"/>
          <w:szCs w:val="20"/>
        </w:rPr>
        <w:t>ou restrições n</w:t>
      </w:r>
      <w:r>
        <w:rPr>
          <w:rFonts w:ascii="Arial" w:eastAsia="Arial Unicode MS" w:hAnsi="Arial" w:cs="Arial"/>
          <w:sz w:val="20"/>
          <w:szCs w:val="20"/>
        </w:rPr>
        <w:t xml:space="preserve">o registro de conformidade de gestão em diversas unidades gestoras, de modo que </w:t>
      </w:r>
      <w:r w:rsidR="00797FED">
        <w:rPr>
          <w:rFonts w:ascii="Arial" w:eastAsia="Arial Unicode MS" w:hAnsi="Arial" w:cs="Arial"/>
          <w:sz w:val="20"/>
          <w:szCs w:val="20"/>
        </w:rPr>
        <w:t>a execução orçamentária, financeira e patrimonial não reflete, na sua totalidade</w:t>
      </w:r>
      <w:r w:rsidR="009649FC">
        <w:rPr>
          <w:rFonts w:ascii="Arial" w:eastAsia="Arial Unicode MS" w:hAnsi="Arial" w:cs="Arial"/>
          <w:sz w:val="20"/>
          <w:szCs w:val="20"/>
        </w:rPr>
        <w:t xml:space="preserve"> e com confiabilidade</w:t>
      </w:r>
      <w:r w:rsidR="00797FED">
        <w:rPr>
          <w:rFonts w:ascii="Arial" w:eastAsia="Arial Unicode MS" w:hAnsi="Arial" w:cs="Arial"/>
          <w:sz w:val="20"/>
          <w:szCs w:val="20"/>
        </w:rPr>
        <w:t>, os atos e fatos de gestão.</w:t>
      </w:r>
    </w:p>
    <w:p w14:paraId="7E33326E" w14:textId="0C1ED4BB" w:rsidR="009602C6" w:rsidRPr="009649FC" w:rsidRDefault="009602C6"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Atos potenciais</w:t>
      </w:r>
    </w:p>
    <w:p w14:paraId="740F2863" w14:textId="7EDE59E0" w:rsidR="009602C6" w:rsidRDefault="009602C6"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do </w:t>
      </w:r>
      <w:r w:rsidR="00673BD0">
        <w:rPr>
          <w:rFonts w:ascii="Arial" w:eastAsia="Arial Unicode MS" w:hAnsi="Arial" w:cs="Arial"/>
          <w:sz w:val="20"/>
          <w:szCs w:val="20"/>
        </w:rPr>
        <w:t>exercício</w:t>
      </w:r>
      <w:r w:rsidR="007B34DC">
        <w:rPr>
          <w:rFonts w:ascii="Arial" w:eastAsia="Arial Unicode MS" w:hAnsi="Arial" w:cs="Arial"/>
          <w:sz w:val="20"/>
          <w:szCs w:val="20"/>
        </w:rPr>
        <w:t>,</w:t>
      </w:r>
      <w:r>
        <w:rPr>
          <w:rFonts w:ascii="Arial" w:eastAsia="Arial Unicode MS" w:hAnsi="Arial" w:cs="Arial"/>
          <w:sz w:val="20"/>
          <w:szCs w:val="20"/>
        </w:rPr>
        <w:t xml:space="preserve"> os saldos de contratos celebrados</w:t>
      </w:r>
      <w:r w:rsidR="007B34DC">
        <w:rPr>
          <w:rFonts w:ascii="Arial" w:eastAsia="Arial Unicode MS" w:hAnsi="Arial" w:cs="Arial"/>
          <w:sz w:val="20"/>
          <w:szCs w:val="20"/>
        </w:rPr>
        <w:t xml:space="preserve"> não foram conciliados com documento de controle</w:t>
      </w:r>
      <w:r w:rsidR="00924B29">
        <w:rPr>
          <w:rFonts w:ascii="Arial" w:eastAsia="Arial Unicode MS" w:hAnsi="Arial" w:cs="Arial"/>
          <w:sz w:val="20"/>
          <w:szCs w:val="20"/>
        </w:rPr>
        <w:t xml:space="preserve"> do sistema gerencial</w:t>
      </w:r>
      <w:r w:rsidR="007B34DC">
        <w:rPr>
          <w:rFonts w:ascii="Arial" w:eastAsia="Arial Unicode MS" w:hAnsi="Arial" w:cs="Arial"/>
          <w:sz w:val="20"/>
          <w:szCs w:val="20"/>
        </w:rPr>
        <w:t xml:space="preserve"> que viabilize, de forma </w:t>
      </w:r>
      <w:r w:rsidR="009649FC">
        <w:rPr>
          <w:rFonts w:ascii="Arial" w:eastAsia="Arial Unicode MS" w:hAnsi="Arial" w:cs="Arial"/>
          <w:sz w:val="20"/>
          <w:szCs w:val="20"/>
        </w:rPr>
        <w:t>confiável</w:t>
      </w:r>
      <w:r w:rsidR="007B34DC">
        <w:rPr>
          <w:rFonts w:ascii="Arial" w:eastAsia="Arial Unicode MS" w:hAnsi="Arial" w:cs="Arial"/>
          <w:sz w:val="20"/>
          <w:szCs w:val="20"/>
        </w:rPr>
        <w:t>, a conformidade contábil das contas do grupo de controle devedores/credores</w:t>
      </w:r>
      <w:r w:rsidR="00924B29">
        <w:rPr>
          <w:rFonts w:ascii="Arial" w:eastAsia="Arial Unicode MS" w:hAnsi="Arial" w:cs="Arial"/>
          <w:sz w:val="20"/>
          <w:szCs w:val="20"/>
        </w:rPr>
        <w:t>. De tal forma</w:t>
      </w:r>
      <w:r w:rsidR="007B34DC">
        <w:rPr>
          <w:rFonts w:ascii="Arial" w:eastAsia="Arial Unicode MS" w:hAnsi="Arial" w:cs="Arial"/>
          <w:sz w:val="20"/>
          <w:szCs w:val="20"/>
        </w:rPr>
        <w:t>, os saldos desse grupo não refletem com fidedignidade os atos potenciais</w:t>
      </w:r>
      <w:r w:rsidR="00924B29">
        <w:rPr>
          <w:rFonts w:ascii="Arial" w:eastAsia="Arial Unicode MS" w:hAnsi="Arial" w:cs="Arial"/>
          <w:sz w:val="20"/>
          <w:szCs w:val="20"/>
        </w:rPr>
        <w:t xml:space="preserve"> dos direitos contratuais</w:t>
      </w:r>
      <w:r w:rsidR="00AA0E39">
        <w:rPr>
          <w:rFonts w:ascii="Arial" w:eastAsia="Arial Unicode MS" w:hAnsi="Arial" w:cs="Arial"/>
          <w:sz w:val="20"/>
          <w:szCs w:val="20"/>
        </w:rPr>
        <w:t xml:space="preserve"> em execução</w:t>
      </w:r>
      <w:r w:rsidR="007B34DC">
        <w:rPr>
          <w:rFonts w:ascii="Arial" w:eastAsia="Arial Unicode MS" w:hAnsi="Arial" w:cs="Arial"/>
          <w:sz w:val="20"/>
          <w:szCs w:val="20"/>
        </w:rPr>
        <w:t>.</w:t>
      </w:r>
    </w:p>
    <w:p w14:paraId="7FD2B180" w14:textId="5A333A39" w:rsidR="00433D43" w:rsidRDefault="00433D43"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012E6B">
        <w:rPr>
          <w:rFonts w:ascii="Arial" w:eastAsia="Arial Unicode MS" w:hAnsi="Arial" w:cs="Arial"/>
          <w:sz w:val="20"/>
          <w:szCs w:val="20"/>
        </w:rPr>
        <w:t>30/06</w:t>
      </w:r>
      <w:r w:rsidR="00822AE3">
        <w:rPr>
          <w:rFonts w:ascii="Arial" w:eastAsia="Arial Unicode MS" w:hAnsi="Arial" w:cs="Arial"/>
          <w:sz w:val="20"/>
          <w:szCs w:val="20"/>
        </w:rPr>
        <w:t>/202</w:t>
      </w:r>
      <w:r w:rsidR="002B38A2">
        <w:rPr>
          <w:rFonts w:ascii="Arial" w:eastAsia="Arial Unicode MS" w:hAnsi="Arial" w:cs="Arial"/>
          <w:sz w:val="20"/>
          <w:szCs w:val="20"/>
        </w:rPr>
        <w:t>1</w:t>
      </w:r>
      <w:r>
        <w:rPr>
          <w:rFonts w:ascii="Arial" w:eastAsia="Arial Unicode MS" w:hAnsi="Arial" w:cs="Arial"/>
          <w:sz w:val="20"/>
          <w:szCs w:val="20"/>
        </w:rPr>
        <w:t xml:space="preserve">, </w:t>
      </w:r>
      <w:proofErr w:type="gramStart"/>
      <w:r>
        <w:rPr>
          <w:rFonts w:ascii="Arial" w:eastAsia="Arial Unicode MS" w:hAnsi="Arial" w:cs="Arial"/>
          <w:sz w:val="20"/>
          <w:szCs w:val="20"/>
        </w:rPr>
        <w:t>a execução de obrigações contratuais escrituradas em contas de controle somam</w:t>
      </w:r>
      <w:proofErr w:type="gramEnd"/>
      <w:r>
        <w:rPr>
          <w:rFonts w:ascii="Arial" w:eastAsia="Arial Unicode MS" w:hAnsi="Arial" w:cs="Arial"/>
          <w:sz w:val="20"/>
          <w:szCs w:val="20"/>
        </w:rPr>
        <w:t xml:space="preserve"> R$ </w:t>
      </w:r>
      <w:r w:rsidR="00012E6B">
        <w:rPr>
          <w:rFonts w:ascii="Arial" w:eastAsia="Arial Unicode MS" w:hAnsi="Arial" w:cs="Arial"/>
          <w:sz w:val="20"/>
          <w:szCs w:val="20"/>
        </w:rPr>
        <w:t>43.925.330,18</w:t>
      </w:r>
      <w:r>
        <w:rPr>
          <w:rFonts w:ascii="Arial" w:eastAsia="Arial Unicode MS" w:hAnsi="Arial" w:cs="Arial"/>
          <w:sz w:val="20"/>
          <w:szCs w:val="20"/>
        </w:rPr>
        <w:t>.</w:t>
      </w:r>
    </w:p>
    <w:p w14:paraId="580C41CA" w14:textId="6944C7D5" w:rsidR="0092356D" w:rsidRDefault="0092356D" w:rsidP="00006B51">
      <w:pPr>
        <w:spacing w:after="40"/>
        <w:rPr>
          <w:rFonts w:ascii="Arial" w:eastAsia="Arial Unicode MS" w:hAnsi="Arial" w:cs="Arial"/>
          <w:sz w:val="20"/>
          <w:szCs w:val="20"/>
        </w:rPr>
      </w:pP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7EDDB0D0" w:rsidR="00137CCD" w:rsidRDefault="00137CCD" w:rsidP="004F53A5">
      <w:pPr>
        <w:spacing w:after="40"/>
        <w:rPr>
          <w:rFonts w:ascii="Arial" w:eastAsia="Arial Unicode MS" w:hAnsi="Arial" w:cs="Arial"/>
          <w:sz w:val="20"/>
          <w:szCs w:val="20"/>
        </w:rPr>
      </w:pPr>
    </w:p>
    <w:p w14:paraId="19D510FB" w14:textId="1DF91E1D" w:rsidR="009D4D1D" w:rsidRDefault="009D4D1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4FFA60EE" w:rsidR="00FF2AB6"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transferências concedidas; (v) empréstimos e financiamentos concedidos; (vi) adiantamentos e; (vi) valores a compensar. Os valores são mensurados e avaliados pelo valor original, acrescido das atualizações monetárias e juros, quando aplicável.</w:t>
      </w:r>
    </w:p>
    <w:p w14:paraId="536572AF" w14:textId="75ED96D0" w:rsidR="008077D5" w:rsidRDefault="008077D5" w:rsidP="00FF2AB6">
      <w:pPr>
        <w:spacing w:after="40"/>
        <w:rPr>
          <w:rFonts w:ascii="Arial" w:eastAsia="Arial Unicode MS" w:hAnsi="Arial" w:cs="Arial"/>
          <w:sz w:val="20"/>
          <w:szCs w:val="20"/>
        </w:rPr>
      </w:pPr>
    </w:p>
    <w:p w14:paraId="36BF9157" w14:textId="6E37801C" w:rsidR="008077D5" w:rsidRDefault="008077D5" w:rsidP="00FF2AB6">
      <w:pPr>
        <w:spacing w:after="40"/>
        <w:rPr>
          <w:rFonts w:ascii="Arial" w:eastAsia="Arial Unicode MS" w:hAnsi="Arial" w:cs="Arial"/>
          <w:sz w:val="20"/>
          <w:szCs w:val="20"/>
        </w:rPr>
      </w:pPr>
    </w:p>
    <w:p w14:paraId="623A9347" w14:textId="77777777" w:rsidR="008077D5" w:rsidRPr="00533035" w:rsidRDefault="008077D5" w:rsidP="00FF2AB6">
      <w:pPr>
        <w:spacing w:after="40"/>
        <w:rPr>
          <w:rFonts w:ascii="Arial" w:eastAsia="Arial Unicode MS" w:hAnsi="Arial" w:cs="Arial"/>
          <w:sz w:val="20"/>
          <w:szCs w:val="20"/>
        </w:rPr>
      </w:pP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lastRenderedPageBreak/>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3904904E"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Como regra geral, a depreciação</w:t>
      </w:r>
      <w:r w:rsidR="00B907C7">
        <w:rPr>
          <w:rFonts w:ascii="Arial" w:eastAsia="Arial Unicode MS" w:hAnsi="Arial" w:cs="Arial"/>
          <w:sz w:val="20"/>
          <w:szCs w:val="20"/>
        </w:rPr>
        <w:t xml:space="preserve"> de</w:t>
      </w:r>
      <w:r w:rsidRPr="00533035">
        <w:rPr>
          <w:rFonts w:ascii="Arial" w:eastAsia="Arial Unicode MS" w:hAnsi="Arial" w:cs="Arial"/>
          <w:sz w:val="20"/>
          <w:szCs w:val="20"/>
        </w:rPr>
        <w:t xml:space="preserve"> bens móveis deve ser iniciada a partir do primeiro dia do mês seguinte à data da colocação do bem em utilização. Porém, quando o valor do bem adquirido e o valor da depreciação no primeiro mês 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As informações da depreciação dos bens imóveis são apuradas pelo Sistema de Gerenciamento do Patrimônio Imobiliário da União –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 valor depreciado dos bens imóveis da União, autarquias e fundações públicas federais é apurado mensal e automaticamente pelo sistema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xml:space="preserve"> sobre o valor depreciável da acessão, utilizando-se, para tanto, o Método da Parábola de </w:t>
      </w:r>
      <w:proofErr w:type="spellStart"/>
      <w:r w:rsidRPr="00533035">
        <w:rPr>
          <w:rFonts w:ascii="Arial" w:eastAsia="Arial Unicode MS" w:hAnsi="Arial" w:cs="Arial"/>
          <w:sz w:val="20"/>
          <w:szCs w:val="20"/>
        </w:rPr>
        <w:t>Kuentzle</w:t>
      </w:r>
      <w:proofErr w:type="spellEnd"/>
      <w:r w:rsidRPr="00533035">
        <w:rPr>
          <w:rFonts w:ascii="Arial" w:eastAsia="Arial Unicode MS" w:hAnsi="Arial" w:cs="Arial"/>
          <w:sz w:val="20"/>
          <w:szCs w:val="20"/>
        </w:rPr>
        <w:t>,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proofErr w:type="spellStart"/>
      <w:r w:rsidRPr="00533035">
        <w:rPr>
          <w:rFonts w:ascii="Arial" w:eastAsia="Arial Unicode MS" w:hAnsi="Arial" w:cs="Arial"/>
          <w:b/>
          <w:color w:val="538135" w:themeColor="accent6" w:themeShade="BF"/>
          <w:sz w:val="20"/>
          <w:szCs w:val="20"/>
        </w:rPr>
        <w:t>Kd</w:t>
      </w:r>
      <w:proofErr w:type="spellEnd"/>
      <w:r w:rsidRPr="00533035">
        <w:rPr>
          <w:rFonts w:ascii="Arial" w:eastAsia="Arial Unicode MS" w:hAnsi="Arial" w:cs="Arial"/>
          <w:b/>
          <w:color w:val="538135" w:themeColor="accent6" w:themeShade="BF"/>
          <w:sz w:val="20"/>
          <w:szCs w:val="20"/>
        </w:rPr>
        <w:t xml:space="preserve">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proofErr w:type="spellStart"/>
      <w:r w:rsidRPr="00533035">
        <w:rPr>
          <w:rFonts w:ascii="Arial" w:eastAsia="Arial Unicode MS" w:hAnsi="Arial" w:cs="Arial"/>
          <w:b/>
          <w:color w:val="ED7D31" w:themeColor="accent2"/>
          <w:sz w:val="20"/>
          <w:szCs w:val="20"/>
        </w:rPr>
        <w:t>Kd</w:t>
      </w:r>
      <w:proofErr w:type="spellEnd"/>
      <w:r w:rsidRPr="00533035">
        <w:rPr>
          <w:rFonts w:ascii="Arial" w:eastAsia="Arial Unicode MS" w:hAnsi="Arial" w:cs="Arial"/>
          <w:b/>
          <w:color w:val="ED7D31" w:themeColor="accent2"/>
          <w:sz w:val="20"/>
          <w:szCs w:val="20"/>
        </w:rPr>
        <w:t xml:space="preserve">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lastRenderedPageBreak/>
        <w:t>Para fins da depreciação, a vida útil é definida com base no laudo de avaliação específico ou, na sua ausência, por parâmetros predefinidos pela SPU segundo 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empréstimos e financiamentos;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fornecedores e contas a pagar;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obrigações fiscais; (v) obrigações de repartições a outros entes; (vi) provisões; e (</w:t>
      </w:r>
      <w:proofErr w:type="spellStart"/>
      <w:r w:rsidRPr="00533035">
        <w:rPr>
          <w:rFonts w:ascii="Arial" w:eastAsia="Arial Unicode MS" w:hAnsi="Arial" w:cs="Arial"/>
          <w:sz w:val="20"/>
          <w:szCs w:val="20"/>
        </w:rPr>
        <w:t>vii</w:t>
      </w:r>
      <w:proofErr w:type="spellEnd"/>
      <w:r w:rsidRPr="00533035">
        <w:rPr>
          <w:rFonts w:ascii="Arial" w:eastAsia="Arial Unicode MS" w:hAnsi="Arial" w:cs="Arial"/>
          <w:sz w:val="20"/>
          <w:szCs w:val="20"/>
        </w:rPr>
        <w:t>)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orçamentário representa o confronto entre as receitas orçamentárias realizadas e as despesas orçamentárias empenhadas. O superavit/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E576AD">
          <w:type w:val="continuous"/>
          <w:pgSz w:w="11906" w:h="16838"/>
          <w:pgMar w:top="1021" w:right="851" w:bottom="85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248217A2" w:rsidR="001F7B7F"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2DD15E3F" w14:textId="489D7661" w:rsidR="0017616F" w:rsidRDefault="0017616F" w:rsidP="004F53A5">
      <w:pPr>
        <w:spacing w:after="40"/>
        <w:rPr>
          <w:rFonts w:ascii="Arial" w:eastAsia="Arial Unicode MS" w:hAnsi="Arial" w:cs="Arial"/>
          <w:sz w:val="20"/>
          <w:szCs w:val="20"/>
        </w:rPr>
      </w:pPr>
      <w:r w:rsidRPr="0017616F">
        <w:rPr>
          <w:rFonts w:ascii="Arial" w:eastAsia="Arial Unicode MS" w:hAnsi="Arial" w:cs="Arial"/>
          <w:noProof/>
          <w:sz w:val="20"/>
          <w:szCs w:val="20"/>
        </w:rPr>
        <w:lastRenderedPageBreak/>
        <w:drawing>
          <wp:inline distT="0" distB="0" distL="0" distR="0" wp14:anchorId="0AD3E144" wp14:editId="17739811">
            <wp:extent cx="6324600" cy="160972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24600" cy="1609725"/>
                    </a:xfrm>
                    <a:prstGeom prst="rect">
                      <a:avLst/>
                    </a:prstGeom>
                    <a:noFill/>
                    <a:ln>
                      <a:noFill/>
                    </a:ln>
                  </pic:spPr>
                </pic:pic>
              </a:graphicData>
            </a:graphic>
          </wp:inline>
        </w:drawing>
      </w:r>
    </w:p>
    <w:p w14:paraId="0EBE911E" w14:textId="77777777" w:rsidR="00AB3CFF" w:rsidRDefault="00AB3CFF" w:rsidP="004F53A5">
      <w:pPr>
        <w:spacing w:after="40"/>
        <w:rPr>
          <w:rFonts w:ascii="Arial" w:eastAsia="Arial Unicode MS" w:hAnsi="Arial" w:cs="Arial"/>
          <w:sz w:val="20"/>
          <w:szCs w:val="20"/>
        </w:rPr>
      </w:pP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2766C90F" w:rsidR="00867F88"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w:t>
      </w:r>
    </w:p>
    <w:p w14:paraId="2D3C17B2" w14:textId="2E2F9411" w:rsidR="00CC49C9" w:rsidRPr="00533035" w:rsidRDefault="00CC49C9" w:rsidP="00867F88">
      <w:pPr>
        <w:pStyle w:val="PargrafodaLista"/>
        <w:numPr>
          <w:ilvl w:val="0"/>
          <w:numId w:val="1"/>
        </w:numPr>
        <w:spacing w:after="40"/>
        <w:rPr>
          <w:rFonts w:ascii="Arial" w:eastAsia="Arial Unicode MS" w:hAnsi="Arial" w:cs="Arial"/>
          <w:color w:val="009999"/>
          <w:sz w:val="20"/>
          <w:szCs w:val="20"/>
        </w:rPr>
      </w:pPr>
      <w:r>
        <w:rPr>
          <w:rFonts w:ascii="Arial" w:eastAsia="Arial Unicode MS" w:hAnsi="Arial" w:cs="Arial"/>
          <w:color w:val="009999"/>
          <w:sz w:val="20"/>
          <w:szCs w:val="20"/>
        </w:rPr>
        <w:t>Ajuste para perdas demais créditos CP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3F75366E" w14:textId="5BD33589" w:rsidR="00CF4CC9" w:rsidRDefault="007D09F3" w:rsidP="007D09F3">
      <w:pPr>
        <w:spacing w:after="40"/>
        <w:rPr>
          <w:rFonts w:ascii="Arial" w:eastAsia="Arial Unicode MS" w:hAnsi="Arial" w:cs="Arial"/>
          <w:noProof/>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eu um</w:t>
      </w:r>
      <w:r w:rsidR="00DA343E">
        <w:rPr>
          <w:rFonts w:ascii="Arial" w:eastAsia="Arial Unicode MS" w:hAnsi="Arial" w:cs="Arial"/>
          <w:sz w:val="20"/>
          <w:szCs w:val="20"/>
        </w:rPr>
        <w:t xml:space="preserve">a redução </w:t>
      </w:r>
      <w:r w:rsidR="007D0BBE">
        <w:rPr>
          <w:rFonts w:ascii="Arial" w:eastAsia="Arial Unicode MS" w:hAnsi="Arial" w:cs="Arial"/>
          <w:sz w:val="20"/>
          <w:szCs w:val="20"/>
        </w:rPr>
        <w:t xml:space="preserve">de </w:t>
      </w:r>
      <w:r w:rsidR="006E2861">
        <w:rPr>
          <w:rFonts w:ascii="Arial" w:eastAsia="Arial Unicode MS" w:hAnsi="Arial" w:cs="Arial"/>
          <w:sz w:val="20"/>
          <w:szCs w:val="20"/>
        </w:rPr>
        <w:t>282</w:t>
      </w:r>
      <w:r w:rsidR="00F03096">
        <w:rPr>
          <w:rFonts w:ascii="Arial" w:eastAsia="Arial Unicode MS" w:hAnsi="Arial" w:cs="Arial"/>
          <w:sz w:val="20"/>
          <w:szCs w:val="20"/>
        </w:rPr>
        <w:t>%</w:t>
      </w:r>
      <w:r w:rsidR="007D0BBE">
        <w:rPr>
          <w:rFonts w:ascii="Arial" w:eastAsia="Arial Unicode MS" w:hAnsi="Arial" w:cs="Arial"/>
          <w:sz w:val="20"/>
          <w:szCs w:val="20"/>
        </w:rPr>
        <w:t xml:space="preserve"> em 20</w:t>
      </w:r>
      <w:r w:rsidR="00DA343E">
        <w:rPr>
          <w:rFonts w:ascii="Arial" w:eastAsia="Arial Unicode MS" w:hAnsi="Arial" w:cs="Arial"/>
          <w:sz w:val="20"/>
          <w:szCs w:val="20"/>
        </w:rPr>
        <w:t>2</w:t>
      </w:r>
      <w:r w:rsidR="006E2861">
        <w:rPr>
          <w:rFonts w:ascii="Arial" w:eastAsia="Arial Unicode MS" w:hAnsi="Arial" w:cs="Arial"/>
          <w:sz w:val="20"/>
          <w:szCs w:val="20"/>
        </w:rPr>
        <w:t>1</w:t>
      </w:r>
      <w:r w:rsidR="007D0BBE">
        <w:rPr>
          <w:rFonts w:ascii="Arial" w:eastAsia="Arial Unicode MS" w:hAnsi="Arial" w:cs="Arial"/>
          <w:sz w:val="20"/>
          <w:szCs w:val="20"/>
        </w:rPr>
        <w:t xml:space="preserve">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w:t>
      </w:r>
      <w:r w:rsidR="00DA343E">
        <w:rPr>
          <w:rFonts w:ascii="Arial" w:eastAsia="Arial Unicode MS" w:hAnsi="Arial" w:cs="Arial"/>
          <w:sz w:val="20"/>
          <w:szCs w:val="20"/>
        </w:rPr>
        <w:t xml:space="preserve">o registro de outros Créditos a Receber </w:t>
      </w:r>
      <w:r w:rsidR="00CF4CC9">
        <w:rPr>
          <w:rFonts w:ascii="Arial" w:eastAsia="Arial Unicode MS" w:hAnsi="Arial" w:cs="Arial"/>
          <w:sz w:val="20"/>
          <w:szCs w:val="20"/>
        </w:rPr>
        <w:t>decorrentes da conciliação de adiantamentos de décimo terceiro salário e férias pela baixa dos respectivos adiantamentos do exercício vigente, conforme orientação da Setorial Contábil do MEC.</w:t>
      </w:r>
      <w:r w:rsidR="00DA343E" w:rsidRPr="00DA343E">
        <w:rPr>
          <w:rFonts w:ascii="Arial" w:eastAsia="Arial Unicode MS" w:hAnsi="Arial" w:cs="Arial"/>
          <w:noProof/>
          <w:sz w:val="20"/>
          <w:szCs w:val="20"/>
        </w:rPr>
        <w:t xml:space="preserve"> </w:t>
      </w:r>
    </w:p>
    <w:p w14:paraId="50B9C1DA" w14:textId="2C183438" w:rsidR="0017616F" w:rsidRDefault="0017616F" w:rsidP="007D09F3">
      <w:pPr>
        <w:spacing w:after="40"/>
        <w:rPr>
          <w:rFonts w:ascii="Arial" w:eastAsia="Arial Unicode MS" w:hAnsi="Arial" w:cs="Arial"/>
          <w:noProof/>
          <w:sz w:val="20"/>
          <w:szCs w:val="20"/>
        </w:rPr>
      </w:pPr>
      <w:r w:rsidRPr="0017616F">
        <w:rPr>
          <w:rFonts w:ascii="Arial" w:eastAsia="Arial Unicode MS" w:hAnsi="Arial" w:cs="Arial"/>
          <w:noProof/>
          <w:sz w:val="20"/>
          <w:szCs w:val="20"/>
        </w:rPr>
        <w:drawing>
          <wp:inline distT="0" distB="0" distL="0" distR="0" wp14:anchorId="45CDB064" wp14:editId="0EC49485">
            <wp:extent cx="6479540" cy="1424305"/>
            <wp:effectExtent l="0" t="0" r="0" b="444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424305"/>
                    </a:xfrm>
                    <a:prstGeom prst="rect">
                      <a:avLst/>
                    </a:prstGeom>
                    <a:noFill/>
                    <a:ln>
                      <a:noFill/>
                    </a:ln>
                  </pic:spPr>
                </pic:pic>
              </a:graphicData>
            </a:graphic>
          </wp:inline>
        </w:drawing>
      </w:r>
    </w:p>
    <w:p w14:paraId="3FB3D622" w14:textId="078772F0"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4EBF96C1"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17616F">
        <w:rPr>
          <w:rFonts w:ascii="Arial" w:eastAsia="Arial Unicode MS" w:hAnsi="Arial" w:cs="Arial"/>
          <w:sz w:val="20"/>
          <w:szCs w:val="20"/>
        </w:rPr>
        <w:t>30/06</w:t>
      </w:r>
      <w:r w:rsidR="006E2861">
        <w:rPr>
          <w:rFonts w:ascii="Arial" w:eastAsia="Arial Unicode MS" w:hAnsi="Arial" w:cs="Arial"/>
          <w:sz w:val="20"/>
          <w:szCs w:val="20"/>
        </w:rPr>
        <w:t>/2021</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693B6739" w:rsidR="00AA7EC7"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17616F">
        <w:rPr>
          <w:rFonts w:ascii="Arial" w:eastAsia="Arial Unicode MS" w:hAnsi="Arial" w:cs="Arial"/>
          <w:sz w:val="20"/>
          <w:szCs w:val="20"/>
        </w:rPr>
        <w:t>2</w:t>
      </w:r>
      <w:r w:rsidR="0005486A" w:rsidRPr="00533035">
        <w:rPr>
          <w:rFonts w:ascii="Arial" w:eastAsia="Arial Unicode MS" w:hAnsi="Arial" w:cs="Arial"/>
          <w:sz w:val="20"/>
          <w:szCs w:val="20"/>
        </w:rPr>
        <w:t>º trimestre.</w:t>
      </w:r>
    </w:p>
    <w:p w14:paraId="26F3D671" w14:textId="7548F8BE" w:rsidR="00FD27AA" w:rsidRDefault="00FD27AA" w:rsidP="007D09F3">
      <w:pPr>
        <w:spacing w:after="40"/>
        <w:rPr>
          <w:rFonts w:ascii="Arial" w:eastAsia="Arial Unicode MS" w:hAnsi="Arial" w:cs="Arial"/>
          <w:sz w:val="20"/>
          <w:szCs w:val="20"/>
        </w:rPr>
      </w:pPr>
      <w:r w:rsidRPr="00FD27AA">
        <w:rPr>
          <w:rFonts w:ascii="Arial" w:eastAsia="Arial Unicode MS" w:hAnsi="Arial" w:cs="Arial"/>
          <w:noProof/>
          <w:sz w:val="20"/>
          <w:szCs w:val="20"/>
        </w:rPr>
        <w:lastRenderedPageBreak/>
        <w:drawing>
          <wp:inline distT="0" distB="0" distL="0" distR="0" wp14:anchorId="3F3259D0" wp14:editId="147C07EE">
            <wp:extent cx="5314950" cy="2295525"/>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14950" cy="2295525"/>
                    </a:xfrm>
                    <a:prstGeom prst="rect">
                      <a:avLst/>
                    </a:prstGeom>
                    <a:noFill/>
                    <a:ln>
                      <a:noFill/>
                    </a:ln>
                  </pic:spPr>
                </pic:pic>
              </a:graphicData>
            </a:graphic>
          </wp:inline>
        </w:drawing>
      </w:r>
    </w:p>
    <w:p w14:paraId="1CD988D5" w14:textId="018C794D" w:rsidR="0026165C" w:rsidRDefault="0026165C" w:rsidP="007D09F3">
      <w:pPr>
        <w:spacing w:after="40"/>
        <w:rPr>
          <w:rFonts w:ascii="Arial" w:eastAsia="Arial Unicode MS" w:hAnsi="Arial" w:cs="Arial"/>
          <w:sz w:val="20"/>
          <w:szCs w:val="20"/>
        </w:rPr>
      </w:pPr>
    </w:p>
    <w:p w14:paraId="618FB4BB" w14:textId="1A9FFFA5"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Conforme evidenciado na tabela acima, o</w:t>
      </w:r>
      <w:r w:rsidR="00406449">
        <w:rPr>
          <w:rFonts w:ascii="Arial" w:eastAsia="Arial Unicode MS" w:hAnsi="Arial" w:cs="Arial"/>
          <w:sz w:val="20"/>
          <w:szCs w:val="20"/>
        </w:rPr>
        <w:t xml:space="preserve"> pagamento antecipado </w:t>
      </w:r>
      <w:r w:rsidR="00D07188">
        <w:rPr>
          <w:rFonts w:ascii="Arial" w:eastAsia="Arial Unicode MS" w:hAnsi="Arial" w:cs="Arial"/>
          <w:sz w:val="20"/>
          <w:szCs w:val="20"/>
        </w:rPr>
        <w:t xml:space="preserve">Adiantamento de Férias e </w:t>
      </w:r>
      <w:r w:rsidR="00406449">
        <w:rPr>
          <w:rFonts w:ascii="Arial" w:eastAsia="Arial Unicode MS" w:hAnsi="Arial" w:cs="Arial"/>
          <w:sz w:val="20"/>
          <w:szCs w:val="20"/>
        </w:rPr>
        <w:t>de Salários e Ordenados</w:t>
      </w:r>
      <w:r w:rsidR="0026165C">
        <w:rPr>
          <w:rFonts w:ascii="Arial" w:eastAsia="Arial Unicode MS" w:hAnsi="Arial" w:cs="Arial"/>
          <w:sz w:val="20"/>
          <w:szCs w:val="20"/>
        </w:rPr>
        <w:t xml:space="preserve"> </w:t>
      </w:r>
      <w:r w:rsidRPr="00533035">
        <w:rPr>
          <w:rFonts w:ascii="Arial" w:eastAsia="Arial Unicode MS" w:hAnsi="Arial" w:cs="Arial"/>
          <w:sz w:val="20"/>
          <w:szCs w:val="20"/>
        </w:rPr>
        <w:t xml:space="preserve">representam </w:t>
      </w:r>
      <w:r w:rsidR="00FD27AA">
        <w:rPr>
          <w:rFonts w:ascii="Arial" w:eastAsia="Arial Unicode MS" w:hAnsi="Arial" w:cs="Arial"/>
          <w:sz w:val="20"/>
          <w:szCs w:val="20"/>
        </w:rPr>
        <w:t>72</w:t>
      </w:r>
      <w:r w:rsidRPr="00533035">
        <w:rPr>
          <w:rFonts w:ascii="Arial" w:eastAsia="Arial Unicode MS" w:hAnsi="Arial" w:cs="Arial"/>
          <w:sz w:val="20"/>
          <w:szCs w:val="20"/>
        </w:rPr>
        <w:t>%</w:t>
      </w:r>
      <w:r w:rsidR="00D07188">
        <w:rPr>
          <w:rFonts w:ascii="Arial" w:eastAsia="Arial Unicode MS" w:hAnsi="Arial" w:cs="Arial"/>
          <w:sz w:val="20"/>
          <w:szCs w:val="20"/>
        </w:rPr>
        <w:t xml:space="preserve"> e </w:t>
      </w:r>
      <w:r w:rsidR="00FD27AA">
        <w:rPr>
          <w:rFonts w:ascii="Arial" w:eastAsia="Arial Unicode MS" w:hAnsi="Arial" w:cs="Arial"/>
          <w:sz w:val="20"/>
          <w:szCs w:val="20"/>
        </w:rPr>
        <w:t>27</w:t>
      </w:r>
      <w:r w:rsidR="00D07188">
        <w:rPr>
          <w:rFonts w:ascii="Arial" w:eastAsia="Arial Unicode MS" w:hAnsi="Arial" w:cs="Arial"/>
          <w:sz w:val="20"/>
          <w:szCs w:val="20"/>
        </w:rPr>
        <w:t>%, respectivamente,</w:t>
      </w:r>
      <w:r w:rsidRPr="00533035">
        <w:rPr>
          <w:rFonts w:ascii="Arial" w:eastAsia="Arial Unicode MS" w:hAnsi="Arial" w:cs="Arial"/>
          <w:sz w:val="20"/>
          <w:szCs w:val="20"/>
        </w:rPr>
        <w:t xml:space="preserve"> dos adiantamentos concedidos em 20</w:t>
      </w:r>
      <w:r w:rsidR="00E22101">
        <w:rPr>
          <w:rFonts w:ascii="Arial" w:eastAsia="Arial Unicode MS" w:hAnsi="Arial" w:cs="Arial"/>
          <w:sz w:val="20"/>
          <w:szCs w:val="20"/>
        </w:rPr>
        <w:t>2</w:t>
      </w:r>
      <w:r w:rsidR="00D07188">
        <w:rPr>
          <w:rFonts w:ascii="Arial" w:eastAsia="Arial Unicode MS" w:hAnsi="Arial" w:cs="Arial"/>
          <w:sz w:val="20"/>
          <w:szCs w:val="20"/>
        </w:rPr>
        <w:t>1</w:t>
      </w:r>
      <w:r w:rsidRPr="00533035">
        <w:rPr>
          <w:rFonts w:ascii="Arial" w:eastAsia="Arial Unicode MS" w:hAnsi="Arial" w:cs="Arial"/>
          <w:sz w:val="20"/>
          <w:szCs w:val="20"/>
        </w:rPr>
        <w:t>.</w:t>
      </w:r>
    </w:p>
    <w:p w14:paraId="5E655584" w14:textId="77777777" w:rsidR="00FF0595" w:rsidRDefault="00FF0595"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5AFF29AD" w14:textId="1E32DE05" w:rsidR="00107E1E"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w:t>
      </w:r>
      <w:r w:rsidR="00874534">
        <w:rPr>
          <w:rFonts w:ascii="Arial" w:eastAsia="Arial Unicode MS" w:hAnsi="Arial" w:cs="Arial"/>
          <w:sz w:val="20"/>
          <w:szCs w:val="20"/>
        </w:rPr>
        <w:t xml:space="preserve">aumento de </w:t>
      </w:r>
      <w:r w:rsidR="00FD27AA">
        <w:rPr>
          <w:rFonts w:ascii="Arial" w:eastAsia="Arial Unicode MS" w:hAnsi="Arial" w:cs="Arial"/>
          <w:sz w:val="20"/>
          <w:szCs w:val="20"/>
        </w:rPr>
        <w:t>11</w:t>
      </w:r>
      <w:r>
        <w:rPr>
          <w:rFonts w:ascii="Arial" w:eastAsia="Arial Unicode MS" w:hAnsi="Arial" w:cs="Arial"/>
          <w:sz w:val="20"/>
          <w:szCs w:val="20"/>
        </w:rPr>
        <w:t>% em 20</w:t>
      </w:r>
      <w:r w:rsidR="003265F3">
        <w:rPr>
          <w:rFonts w:ascii="Arial" w:eastAsia="Arial Unicode MS" w:hAnsi="Arial" w:cs="Arial"/>
          <w:sz w:val="20"/>
          <w:szCs w:val="20"/>
        </w:rPr>
        <w:t>2</w:t>
      </w:r>
      <w:r w:rsidR="00D05119">
        <w:rPr>
          <w:rFonts w:ascii="Arial" w:eastAsia="Arial Unicode MS" w:hAnsi="Arial" w:cs="Arial"/>
          <w:sz w:val="20"/>
          <w:szCs w:val="20"/>
        </w:rPr>
        <w:t>1</w:t>
      </w:r>
    </w:p>
    <w:p w14:paraId="7944B599" w14:textId="243D33F6"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0F8F4825" w:rsidR="00EF6E15"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 xml:space="preserve">O IFRS armazena diversos materiais de consumo, gêneros alimentícios, medicamentos e materiais hospitalares, materiais de expediente e materiais em elaboração, em Almoxarifado, no total de </w:t>
      </w:r>
      <w:r w:rsidR="00874534">
        <w:rPr>
          <w:rFonts w:ascii="Arial" w:eastAsia="Arial Unicode MS" w:hAnsi="Arial" w:cs="Arial"/>
          <w:sz w:val="20"/>
          <w:szCs w:val="20"/>
        </w:rPr>
        <w:t>98</w:t>
      </w:r>
      <w:r w:rsidRPr="00E40488">
        <w:rPr>
          <w:rFonts w:ascii="Arial" w:eastAsia="Arial Unicode MS" w:hAnsi="Arial" w:cs="Arial"/>
          <w:sz w:val="20"/>
          <w:szCs w:val="20"/>
        </w:rPr>
        <w:t>% do total dos Estoques.</w:t>
      </w:r>
    </w:p>
    <w:p w14:paraId="5BBACD6A" w14:textId="1A1D7014" w:rsidR="00215F93" w:rsidRPr="00215F93" w:rsidRDefault="00215F93" w:rsidP="00215F93">
      <w:pPr>
        <w:pStyle w:val="PargrafodaLista"/>
        <w:numPr>
          <w:ilvl w:val="0"/>
          <w:numId w:val="9"/>
        </w:numPr>
        <w:spacing w:after="40"/>
        <w:rPr>
          <w:rFonts w:ascii="Arial" w:eastAsia="Arial Unicode MS" w:hAnsi="Arial" w:cs="Arial"/>
          <w:sz w:val="20"/>
          <w:szCs w:val="20"/>
        </w:rPr>
      </w:pPr>
      <w:r w:rsidRPr="00215F93">
        <w:rPr>
          <w:rFonts w:ascii="Arial" w:eastAsia="Arial Unicode MS" w:hAnsi="Arial" w:cs="Arial"/>
          <w:sz w:val="20"/>
          <w:szCs w:val="20"/>
        </w:rPr>
        <w:t>Mercadorias para doação</w:t>
      </w:r>
    </w:p>
    <w:p w14:paraId="28674B4D" w14:textId="071F22DA" w:rsidR="00215F93" w:rsidRDefault="00215F93" w:rsidP="00215F93">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r w:rsidR="00AD5BBD">
        <w:rPr>
          <w:rFonts w:ascii="Arial" w:eastAsia="Arial Unicode MS" w:hAnsi="Arial" w:cs="Arial"/>
          <w:sz w:val="20"/>
          <w:szCs w:val="20"/>
        </w:rPr>
        <w:t xml:space="preserve"> e correspondem a 2% do total.</w:t>
      </w:r>
    </w:p>
    <w:p w14:paraId="5088CABA" w14:textId="333905FB" w:rsidR="00FD27AA" w:rsidRDefault="009A6B30" w:rsidP="00215F93">
      <w:pPr>
        <w:spacing w:after="40"/>
        <w:rPr>
          <w:rFonts w:ascii="Arial" w:eastAsia="Arial Unicode MS" w:hAnsi="Arial" w:cs="Arial"/>
          <w:sz w:val="20"/>
          <w:szCs w:val="20"/>
        </w:rPr>
      </w:pPr>
      <w:r w:rsidRPr="009A6B30">
        <w:rPr>
          <w:rFonts w:ascii="Arial" w:eastAsia="Arial Unicode MS" w:hAnsi="Arial" w:cs="Arial"/>
          <w:noProof/>
          <w:sz w:val="20"/>
          <w:szCs w:val="20"/>
        </w:rPr>
        <w:drawing>
          <wp:inline distT="0" distB="0" distL="0" distR="0" wp14:anchorId="63ADD4E2" wp14:editId="77528158">
            <wp:extent cx="5314950" cy="2066925"/>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4950" cy="2066925"/>
                    </a:xfrm>
                    <a:prstGeom prst="rect">
                      <a:avLst/>
                    </a:prstGeom>
                    <a:noFill/>
                    <a:ln>
                      <a:noFill/>
                    </a:ln>
                  </pic:spPr>
                </pic:pic>
              </a:graphicData>
            </a:graphic>
          </wp:inline>
        </w:drawing>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72E986F7" w14:textId="33014326" w:rsidR="00291467"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assinaturas de jornais e anuidades de associações,</w:t>
      </w:r>
      <w:r w:rsidR="00B24948">
        <w:rPr>
          <w:rFonts w:ascii="Arial" w:eastAsia="Arial Unicode MS" w:hAnsi="Arial" w:cs="Arial"/>
          <w:sz w:val="20"/>
          <w:szCs w:val="20"/>
        </w:rPr>
        <w:t xml:space="preserve"> aluguéis pagos,</w:t>
      </w:r>
      <w:r w:rsidR="00B2735E">
        <w:rPr>
          <w:rFonts w:ascii="Arial" w:eastAsia="Arial Unicode MS" w:hAnsi="Arial" w:cs="Arial"/>
          <w:sz w:val="20"/>
          <w:szCs w:val="20"/>
        </w:rPr>
        <w:t xml:space="preserve">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E360B8">
        <w:rPr>
          <w:rFonts w:ascii="Arial" w:eastAsia="Arial Unicode MS" w:hAnsi="Arial" w:cs="Arial"/>
          <w:sz w:val="20"/>
          <w:szCs w:val="20"/>
        </w:rPr>
        <w:t xml:space="preserve">aluguéis </w:t>
      </w:r>
      <w:r>
        <w:rPr>
          <w:rFonts w:ascii="Arial" w:eastAsia="Arial Unicode MS" w:hAnsi="Arial" w:cs="Arial"/>
          <w:sz w:val="20"/>
          <w:szCs w:val="20"/>
        </w:rPr>
        <w:t xml:space="preserve">representou </w:t>
      </w:r>
      <w:r w:rsidR="00D147D7">
        <w:rPr>
          <w:rFonts w:ascii="Arial" w:eastAsia="Arial Unicode MS" w:hAnsi="Arial" w:cs="Arial"/>
          <w:sz w:val="20"/>
          <w:szCs w:val="20"/>
        </w:rPr>
        <w:t>8</w:t>
      </w:r>
      <w:r w:rsidR="00081305">
        <w:rPr>
          <w:rFonts w:ascii="Arial" w:eastAsia="Arial Unicode MS" w:hAnsi="Arial" w:cs="Arial"/>
          <w:sz w:val="20"/>
          <w:szCs w:val="20"/>
        </w:rPr>
        <w:t>4</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D147D7">
        <w:rPr>
          <w:rFonts w:ascii="Arial" w:eastAsia="Arial Unicode MS" w:hAnsi="Arial" w:cs="Arial"/>
          <w:sz w:val="20"/>
          <w:szCs w:val="20"/>
        </w:rPr>
        <w:t>3</w:t>
      </w:r>
      <w:r w:rsidR="00081305">
        <w:rPr>
          <w:rFonts w:ascii="Arial" w:eastAsia="Arial Unicode MS" w:hAnsi="Arial" w:cs="Arial"/>
          <w:sz w:val="20"/>
          <w:szCs w:val="20"/>
        </w:rPr>
        <w:t>4</w:t>
      </w:r>
      <w:r w:rsidR="00D147D7">
        <w:rPr>
          <w:rFonts w:ascii="Arial" w:eastAsia="Arial Unicode MS" w:hAnsi="Arial" w:cs="Arial"/>
          <w:sz w:val="20"/>
          <w:szCs w:val="20"/>
        </w:rPr>
        <w:t>3</w:t>
      </w:r>
      <w:r w:rsidR="004E66F7">
        <w:rPr>
          <w:rFonts w:ascii="Arial" w:eastAsia="Arial Unicode MS" w:hAnsi="Arial" w:cs="Arial"/>
          <w:sz w:val="20"/>
          <w:szCs w:val="20"/>
        </w:rPr>
        <w:t xml:space="preserve"> mil</w:t>
      </w:r>
      <w:r w:rsidR="00323367">
        <w:rPr>
          <w:rFonts w:ascii="Arial" w:eastAsia="Arial Unicode MS" w:hAnsi="Arial" w:cs="Arial"/>
          <w:sz w:val="20"/>
          <w:szCs w:val="20"/>
        </w:rPr>
        <w:t xml:space="preserve"> e </w:t>
      </w:r>
      <w:r w:rsidR="00337D88">
        <w:rPr>
          <w:rFonts w:ascii="Arial" w:eastAsia="Arial Unicode MS" w:hAnsi="Arial" w:cs="Arial"/>
          <w:sz w:val="20"/>
          <w:szCs w:val="20"/>
        </w:rPr>
        <w:t xml:space="preserve">corresponde, principalmente, </w:t>
      </w:r>
      <w:r w:rsidR="00323367">
        <w:rPr>
          <w:rFonts w:ascii="Arial" w:eastAsia="Arial Unicode MS" w:hAnsi="Arial" w:cs="Arial"/>
          <w:sz w:val="20"/>
          <w:szCs w:val="20"/>
        </w:rPr>
        <w:t>a disponibilização da plataforma digital “minha biblioteca” para o IFRS.</w:t>
      </w:r>
    </w:p>
    <w:p w14:paraId="5279E411" w14:textId="292F4328" w:rsidR="000969AB" w:rsidRDefault="000969AB" w:rsidP="0034064D">
      <w:pPr>
        <w:spacing w:after="40"/>
        <w:rPr>
          <w:rFonts w:ascii="Arial" w:eastAsia="Arial Unicode MS" w:hAnsi="Arial" w:cs="Arial"/>
          <w:sz w:val="20"/>
          <w:szCs w:val="20"/>
        </w:rPr>
      </w:pPr>
    </w:p>
    <w:p w14:paraId="15302D5A" w14:textId="744884AC" w:rsidR="000969AB" w:rsidRDefault="000969AB" w:rsidP="0034064D">
      <w:pPr>
        <w:spacing w:after="40"/>
        <w:rPr>
          <w:rFonts w:ascii="Arial" w:eastAsia="Arial Unicode MS" w:hAnsi="Arial" w:cs="Arial"/>
          <w:sz w:val="20"/>
          <w:szCs w:val="20"/>
        </w:rPr>
      </w:pPr>
    </w:p>
    <w:p w14:paraId="1D16B66B" w14:textId="0B60EB22" w:rsidR="000969AB" w:rsidRDefault="000969AB" w:rsidP="0034064D">
      <w:pPr>
        <w:spacing w:after="40"/>
        <w:rPr>
          <w:rFonts w:ascii="Arial" w:eastAsia="Arial Unicode MS" w:hAnsi="Arial" w:cs="Arial"/>
          <w:sz w:val="20"/>
          <w:szCs w:val="20"/>
        </w:rPr>
      </w:pPr>
    </w:p>
    <w:p w14:paraId="20293D0A" w14:textId="77777777" w:rsidR="000969AB" w:rsidRDefault="000969AB" w:rsidP="0034064D">
      <w:pPr>
        <w:spacing w:after="40"/>
        <w:rPr>
          <w:rFonts w:ascii="Arial" w:eastAsia="Arial Unicode MS" w:hAnsi="Arial" w:cs="Arial"/>
          <w:sz w:val="20"/>
          <w:szCs w:val="20"/>
        </w:rPr>
      </w:pPr>
    </w:p>
    <w:p w14:paraId="023A96DB" w14:textId="3D875E7D" w:rsidR="00161CA4" w:rsidRDefault="00161CA4" w:rsidP="0034064D">
      <w:pPr>
        <w:spacing w:after="40"/>
        <w:rPr>
          <w:rFonts w:ascii="Arial" w:eastAsia="Arial Unicode MS" w:hAnsi="Arial" w:cs="Arial"/>
          <w:sz w:val="20"/>
          <w:szCs w:val="20"/>
        </w:rPr>
      </w:pPr>
    </w:p>
    <w:p w14:paraId="69113278" w14:textId="3AE5AADD" w:rsid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lastRenderedPageBreak/>
        <w:t>Variações Patrimoniais Diminutivas Paga</w:t>
      </w:r>
      <w:r w:rsidR="006E0B81">
        <w:rPr>
          <w:rFonts w:ascii="Arial" w:eastAsia="Arial Unicode MS" w:hAnsi="Arial" w:cs="Arial"/>
          <w:b/>
          <w:sz w:val="20"/>
          <w:szCs w:val="20"/>
        </w:rPr>
        <w:t xml:space="preserve">s Antecipadamente - composição </w:t>
      </w:r>
      <w:r w:rsidR="00081305">
        <w:rPr>
          <w:rFonts w:ascii="Arial" w:eastAsia="Arial Unicode MS" w:hAnsi="Arial" w:cs="Arial"/>
          <w:b/>
          <w:sz w:val="20"/>
          <w:szCs w:val="20"/>
        </w:rPr>
        <w:t>2</w:t>
      </w:r>
      <w:r w:rsidRPr="00AB6E1C">
        <w:rPr>
          <w:rFonts w:ascii="Arial" w:eastAsia="Arial Unicode MS" w:hAnsi="Arial" w:cs="Arial"/>
          <w:b/>
          <w:sz w:val="20"/>
          <w:szCs w:val="20"/>
        </w:rPr>
        <w:t>º trimestre</w:t>
      </w:r>
    </w:p>
    <w:p w14:paraId="4D7F97D4" w14:textId="32F06BB2" w:rsidR="00081305" w:rsidRDefault="00081305" w:rsidP="0034064D">
      <w:pPr>
        <w:spacing w:after="40"/>
        <w:rPr>
          <w:rFonts w:ascii="Arial" w:eastAsia="Arial Unicode MS" w:hAnsi="Arial" w:cs="Arial"/>
          <w:b/>
          <w:sz w:val="20"/>
          <w:szCs w:val="20"/>
        </w:rPr>
      </w:pPr>
    </w:p>
    <w:p w14:paraId="4C6050AC" w14:textId="13D1888E" w:rsidR="00081305" w:rsidRDefault="00081305" w:rsidP="0034064D">
      <w:pPr>
        <w:spacing w:after="40"/>
        <w:rPr>
          <w:rFonts w:ascii="Arial" w:eastAsia="Arial Unicode MS" w:hAnsi="Arial" w:cs="Arial"/>
          <w:b/>
          <w:sz w:val="20"/>
          <w:szCs w:val="20"/>
        </w:rPr>
      </w:pPr>
      <w:r w:rsidRPr="00081305">
        <w:rPr>
          <w:rFonts w:ascii="Arial" w:eastAsia="Arial Unicode MS" w:hAnsi="Arial" w:cs="Arial"/>
          <w:b/>
          <w:noProof/>
          <w:sz w:val="20"/>
          <w:szCs w:val="20"/>
        </w:rPr>
        <w:drawing>
          <wp:inline distT="0" distB="0" distL="0" distR="0" wp14:anchorId="19D43396" wp14:editId="7A226033">
            <wp:extent cx="4267200" cy="196215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67200" cy="1962150"/>
                    </a:xfrm>
                    <a:prstGeom prst="rect">
                      <a:avLst/>
                    </a:prstGeom>
                    <a:noFill/>
                    <a:ln>
                      <a:noFill/>
                    </a:ln>
                  </pic:spPr>
                </pic:pic>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4F6579BD"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w:t>
      </w:r>
      <w:r w:rsidR="00A4089F">
        <w:rPr>
          <w:rFonts w:ascii="Arial" w:eastAsia="Arial Unicode MS" w:hAnsi="Arial" w:cs="Arial"/>
          <w:sz w:val="20"/>
          <w:szCs w:val="20"/>
        </w:rPr>
        <w:t xml:space="preserve"> e Depósitos Judiciais Efetuados</w:t>
      </w:r>
      <w:r w:rsidRPr="0034064D">
        <w:rPr>
          <w:rFonts w:ascii="Arial" w:eastAsia="Arial Unicode MS" w:hAnsi="Arial" w:cs="Arial"/>
          <w:sz w:val="20"/>
          <w:szCs w:val="20"/>
        </w:rPr>
        <w:t>, conforme segue:</w:t>
      </w:r>
    </w:p>
    <w:p w14:paraId="0DF57025" w14:textId="793F419F" w:rsidR="00832B59" w:rsidRDefault="00832B59" w:rsidP="0034064D">
      <w:pPr>
        <w:spacing w:after="40"/>
        <w:rPr>
          <w:rFonts w:ascii="Arial" w:eastAsia="Arial Unicode MS" w:hAnsi="Arial" w:cs="Arial"/>
          <w:b/>
          <w:sz w:val="20"/>
          <w:szCs w:val="20"/>
        </w:rPr>
      </w:pPr>
      <w:r w:rsidRPr="003750CE">
        <w:rPr>
          <w:rFonts w:ascii="Arial" w:eastAsia="Arial Unicode MS" w:hAnsi="Arial" w:cs="Arial"/>
          <w:b/>
          <w:sz w:val="20"/>
          <w:szCs w:val="20"/>
        </w:rPr>
        <w:t>Dívida Ati</w:t>
      </w:r>
      <w:r w:rsidR="006E0B81">
        <w:rPr>
          <w:rFonts w:ascii="Arial" w:eastAsia="Arial Unicode MS" w:hAnsi="Arial" w:cs="Arial"/>
          <w:b/>
          <w:sz w:val="20"/>
          <w:szCs w:val="20"/>
        </w:rPr>
        <w:t>va Não Tributária - composi</w:t>
      </w:r>
      <w:r w:rsidR="00A4089F">
        <w:rPr>
          <w:rFonts w:ascii="Arial" w:eastAsia="Arial Unicode MS" w:hAnsi="Arial" w:cs="Arial"/>
          <w:b/>
          <w:sz w:val="20"/>
          <w:szCs w:val="20"/>
        </w:rPr>
        <w:t xml:space="preserve">ção </w:t>
      </w:r>
      <w:r w:rsidR="00435C2D">
        <w:rPr>
          <w:rFonts w:ascii="Arial" w:eastAsia="Arial Unicode MS" w:hAnsi="Arial" w:cs="Arial"/>
          <w:b/>
          <w:sz w:val="20"/>
          <w:szCs w:val="20"/>
        </w:rPr>
        <w:t>2</w:t>
      </w:r>
      <w:r w:rsidRPr="003750CE">
        <w:rPr>
          <w:rFonts w:ascii="Arial" w:eastAsia="Arial Unicode MS" w:hAnsi="Arial" w:cs="Arial"/>
          <w:b/>
          <w:sz w:val="20"/>
          <w:szCs w:val="20"/>
        </w:rPr>
        <w:t>º trimestre</w:t>
      </w:r>
    </w:p>
    <w:p w14:paraId="0AC57BFB" w14:textId="4A13F66F" w:rsidR="00435C2D" w:rsidRDefault="00435C2D" w:rsidP="0034064D">
      <w:pPr>
        <w:spacing w:after="40"/>
        <w:rPr>
          <w:rFonts w:ascii="Arial" w:eastAsia="Arial Unicode MS" w:hAnsi="Arial" w:cs="Arial"/>
          <w:b/>
          <w:sz w:val="20"/>
          <w:szCs w:val="20"/>
        </w:rPr>
      </w:pPr>
      <w:r w:rsidRPr="00435C2D">
        <w:rPr>
          <w:rFonts w:ascii="Arial" w:eastAsia="Arial Unicode MS" w:hAnsi="Arial" w:cs="Arial"/>
          <w:b/>
          <w:noProof/>
          <w:sz w:val="20"/>
          <w:szCs w:val="20"/>
        </w:rPr>
        <w:drawing>
          <wp:inline distT="0" distB="0" distL="0" distR="0" wp14:anchorId="553406C6" wp14:editId="4766B3FE">
            <wp:extent cx="4572000" cy="274320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689D810" w14:textId="5532128A" w:rsidR="00A4089F" w:rsidRDefault="00A4089F" w:rsidP="00A4089F">
      <w:pPr>
        <w:spacing w:before="240"/>
        <w:rPr>
          <w:rFonts w:ascii="Arial" w:eastAsia="Arial Unicode MS" w:hAnsi="Arial" w:cs="Arial"/>
          <w:b/>
          <w:sz w:val="20"/>
          <w:szCs w:val="20"/>
        </w:rPr>
      </w:pPr>
      <w:r>
        <w:rPr>
          <w:rFonts w:ascii="Arial" w:eastAsia="Arial Unicode MS" w:hAnsi="Arial" w:cs="Arial"/>
          <w:b/>
          <w:sz w:val="20"/>
          <w:szCs w:val="20"/>
        </w:rPr>
        <w:t>Depósitos Judiciais Efetuados</w:t>
      </w:r>
    </w:p>
    <w:p w14:paraId="5C16FC64" w14:textId="3084289E" w:rsidR="00E40488" w:rsidRDefault="00A4089F" w:rsidP="0034064D">
      <w:pPr>
        <w:spacing w:after="40"/>
        <w:rPr>
          <w:rFonts w:ascii="Arial" w:eastAsia="Arial Unicode MS" w:hAnsi="Arial" w:cs="Arial"/>
          <w:sz w:val="20"/>
          <w:szCs w:val="20"/>
        </w:rPr>
      </w:pPr>
      <w:r>
        <w:rPr>
          <w:rFonts w:ascii="Arial" w:eastAsia="Arial Unicode MS" w:hAnsi="Arial" w:cs="Arial"/>
          <w:sz w:val="20"/>
          <w:szCs w:val="20"/>
        </w:rPr>
        <w:t>Pagamento de Requisição de Pequeno Valor – RPV de ação acidentária em 1º de outubro de 2018, transitado em julgado, processo número 23419.000950/2018-65, no valor de R$ 38.112,38.</w:t>
      </w: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56C3D1E" w14:textId="4935653C" w:rsidR="002B7F78"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3E43FF">
        <w:rPr>
          <w:rFonts w:ascii="Arial" w:eastAsia="Arial Unicode MS" w:hAnsi="Arial" w:cs="Arial"/>
          <w:sz w:val="20"/>
          <w:szCs w:val="20"/>
        </w:rPr>
        <w:t>30/06</w:t>
      </w:r>
      <w:r w:rsidR="001E6457">
        <w:rPr>
          <w:rFonts w:ascii="Arial" w:eastAsia="Arial Unicode MS" w:hAnsi="Arial" w:cs="Arial"/>
          <w:sz w:val="20"/>
          <w:szCs w:val="20"/>
        </w:rPr>
        <w:t>/202</w:t>
      </w:r>
      <w:r w:rsidR="00DF41B3">
        <w:rPr>
          <w:rFonts w:ascii="Arial" w:eastAsia="Arial Unicode MS" w:hAnsi="Arial" w:cs="Arial"/>
          <w:sz w:val="20"/>
          <w:szCs w:val="20"/>
        </w:rPr>
        <w:t>1</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E43FF">
        <w:rPr>
          <w:rFonts w:ascii="Arial" w:eastAsia="Arial Unicode MS" w:hAnsi="Arial" w:cs="Arial"/>
          <w:sz w:val="20"/>
          <w:szCs w:val="20"/>
        </w:rPr>
        <w:t>119,2</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 xml:space="preserve">detalhado na tabela a seguir, sendo de maior representatividade o investimento em Equipamentos de tecnologia da informação e comunicação/TIC, no valor de R$ </w:t>
      </w:r>
      <w:r w:rsidR="00DF41B3">
        <w:rPr>
          <w:rFonts w:ascii="Arial" w:eastAsia="Arial Unicode MS" w:hAnsi="Arial" w:cs="Arial"/>
          <w:sz w:val="20"/>
          <w:szCs w:val="20"/>
        </w:rPr>
        <w:t>30</w:t>
      </w:r>
      <w:r w:rsidR="00D96ECC" w:rsidRPr="003750CE">
        <w:rPr>
          <w:rFonts w:ascii="Arial" w:eastAsia="Arial Unicode MS" w:hAnsi="Arial" w:cs="Arial"/>
          <w:sz w:val="20"/>
          <w:szCs w:val="20"/>
        </w:rPr>
        <w:t xml:space="preserve"> milhões (2</w:t>
      </w:r>
      <w:r w:rsidR="002E6953">
        <w:rPr>
          <w:rFonts w:ascii="Arial" w:eastAsia="Arial Unicode MS" w:hAnsi="Arial" w:cs="Arial"/>
          <w:sz w:val="20"/>
          <w:szCs w:val="20"/>
        </w:rPr>
        <w:t>6</w:t>
      </w:r>
      <w:r w:rsidR="00D96ECC" w:rsidRPr="003750CE">
        <w:rPr>
          <w:rFonts w:ascii="Arial" w:eastAsia="Arial Unicode MS" w:hAnsi="Arial" w:cs="Arial"/>
          <w:sz w:val="20"/>
          <w:szCs w:val="20"/>
        </w:rPr>
        <w:t>% do total</w:t>
      </w:r>
      <w:r w:rsidR="00AF597A">
        <w:rPr>
          <w:rFonts w:ascii="Arial" w:eastAsia="Arial Unicode MS" w:hAnsi="Arial" w:cs="Arial"/>
          <w:sz w:val="20"/>
          <w:szCs w:val="20"/>
        </w:rPr>
        <w:t>), sendo este, também, o grupo que</w:t>
      </w:r>
      <w:r w:rsidR="00D96ECC" w:rsidRPr="003750CE">
        <w:rPr>
          <w:rFonts w:ascii="Arial" w:eastAsia="Arial Unicode MS" w:hAnsi="Arial" w:cs="Arial"/>
          <w:sz w:val="20"/>
          <w:szCs w:val="20"/>
        </w:rPr>
        <w:t xml:space="preserve"> recebeu mais recursos no último </w:t>
      </w:r>
      <w:r w:rsidR="00CD3275">
        <w:rPr>
          <w:rFonts w:ascii="Arial" w:eastAsia="Arial Unicode MS" w:hAnsi="Arial" w:cs="Arial"/>
          <w:sz w:val="20"/>
          <w:szCs w:val="20"/>
        </w:rPr>
        <w:t>exercício</w:t>
      </w:r>
      <w:r w:rsidR="00D96ECC" w:rsidRPr="003750CE">
        <w:rPr>
          <w:rFonts w:ascii="Arial" w:eastAsia="Arial Unicode MS" w:hAnsi="Arial" w:cs="Arial"/>
          <w:sz w:val="20"/>
          <w:szCs w:val="20"/>
        </w:rPr>
        <w:t xml:space="preserve"> (R$ </w:t>
      </w:r>
      <w:r w:rsidR="00DF41B3">
        <w:rPr>
          <w:rFonts w:ascii="Arial" w:eastAsia="Arial Unicode MS" w:hAnsi="Arial" w:cs="Arial"/>
          <w:sz w:val="20"/>
          <w:szCs w:val="20"/>
        </w:rPr>
        <w:t>1,</w:t>
      </w:r>
      <w:r w:rsidR="002E6953">
        <w:rPr>
          <w:rFonts w:ascii="Arial" w:eastAsia="Arial Unicode MS" w:hAnsi="Arial" w:cs="Arial"/>
          <w:sz w:val="20"/>
          <w:szCs w:val="20"/>
        </w:rPr>
        <w:t>4</w:t>
      </w:r>
      <w:r w:rsidR="007A6170">
        <w:rPr>
          <w:rFonts w:ascii="Arial" w:eastAsia="Arial Unicode MS" w:hAnsi="Arial" w:cs="Arial"/>
          <w:sz w:val="20"/>
          <w:szCs w:val="20"/>
        </w:rPr>
        <w:t xml:space="preserve"> milhões</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1E6457">
        <w:rPr>
          <w:rFonts w:ascii="Arial" w:eastAsia="Arial Unicode MS" w:hAnsi="Arial" w:cs="Arial"/>
          <w:sz w:val="20"/>
          <w:szCs w:val="20"/>
        </w:rPr>
        <w:t>Mobiliário em Geral</w:t>
      </w:r>
      <w:r w:rsidR="00D41400">
        <w:rPr>
          <w:rFonts w:ascii="Arial" w:eastAsia="Arial Unicode MS" w:hAnsi="Arial" w:cs="Arial"/>
          <w:sz w:val="20"/>
          <w:szCs w:val="20"/>
        </w:rPr>
        <w:t>, no valor de R$ 19</w:t>
      </w:r>
      <w:r w:rsidR="00CD3275">
        <w:rPr>
          <w:rFonts w:ascii="Arial" w:eastAsia="Arial Unicode MS" w:hAnsi="Arial" w:cs="Arial"/>
          <w:sz w:val="20"/>
          <w:szCs w:val="20"/>
        </w:rPr>
        <w:t>,</w:t>
      </w:r>
      <w:r w:rsidR="002E6953">
        <w:rPr>
          <w:rFonts w:ascii="Arial" w:eastAsia="Arial Unicode MS" w:hAnsi="Arial" w:cs="Arial"/>
          <w:sz w:val="20"/>
          <w:szCs w:val="20"/>
        </w:rPr>
        <w:t>6</w:t>
      </w:r>
      <w:r w:rsidR="00D41400">
        <w:rPr>
          <w:rFonts w:ascii="Arial" w:eastAsia="Arial Unicode MS" w:hAnsi="Arial" w:cs="Arial"/>
          <w:sz w:val="20"/>
          <w:szCs w:val="20"/>
        </w:rPr>
        <w:t xml:space="preserve"> milhões (1</w:t>
      </w:r>
      <w:r w:rsidR="002E6953">
        <w:rPr>
          <w:rFonts w:ascii="Arial" w:eastAsia="Arial Unicode MS" w:hAnsi="Arial" w:cs="Arial"/>
          <w:sz w:val="20"/>
          <w:szCs w:val="20"/>
        </w:rPr>
        <w:t>6</w:t>
      </w:r>
      <w:r w:rsidR="00D41400">
        <w:rPr>
          <w:rFonts w:ascii="Arial" w:eastAsia="Arial Unicode MS" w:hAnsi="Arial" w:cs="Arial"/>
          <w:sz w:val="20"/>
          <w:szCs w:val="20"/>
        </w:rPr>
        <w:t xml:space="preserve">% do total) e que incorporou valor em patrimônio no período </w:t>
      </w:r>
      <w:r w:rsidR="00CD3275">
        <w:rPr>
          <w:rFonts w:ascii="Arial" w:eastAsia="Arial Unicode MS" w:hAnsi="Arial" w:cs="Arial"/>
          <w:sz w:val="20"/>
          <w:szCs w:val="20"/>
        </w:rPr>
        <w:t xml:space="preserve">no montante de </w:t>
      </w:r>
      <w:r w:rsidR="009152D8" w:rsidRPr="003750CE">
        <w:rPr>
          <w:rFonts w:ascii="Arial" w:eastAsia="Arial Unicode MS" w:hAnsi="Arial" w:cs="Arial"/>
          <w:sz w:val="20"/>
          <w:szCs w:val="20"/>
        </w:rPr>
        <w:t xml:space="preserve">R$ </w:t>
      </w:r>
      <w:r w:rsidR="002E6953">
        <w:rPr>
          <w:rFonts w:ascii="Arial" w:eastAsia="Arial Unicode MS" w:hAnsi="Arial" w:cs="Arial"/>
          <w:sz w:val="20"/>
          <w:szCs w:val="20"/>
        </w:rPr>
        <w:t>361</w:t>
      </w:r>
      <w:r w:rsidR="009152D8" w:rsidRPr="003750CE">
        <w:rPr>
          <w:rFonts w:ascii="Arial" w:eastAsia="Arial Unicode MS" w:hAnsi="Arial" w:cs="Arial"/>
          <w:sz w:val="20"/>
          <w:szCs w:val="20"/>
        </w:rPr>
        <w:t xml:space="preserve"> mil</w:t>
      </w:r>
      <w:r w:rsidR="00D4497E">
        <w:rPr>
          <w:rFonts w:ascii="Arial" w:eastAsia="Arial Unicode MS" w:hAnsi="Arial" w:cs="Arial"/>
          <w:sz w:val="20"/>
          <w:szCs w:val="20"/>
        </w:rPr>
        <w:t>.</w:t>
      </w:r>
    </w:p>
    <w:p w14:paraId="6F52AE05" w14:textId="51EAF545" w:rsidR="003E43FF" w:rsidRDefault="003E43FF" w:rsidP="0034064D">
      <w:pPr>
        <w:spacing w:after="40"/>
        <w:rPr>
          <w:rFonts w:ascii="Arial" w:eastAsia="Arial Unicode MS" w:hAnsi="Arial" w:cs="Arial"/>
          <w:sz w:val="20"/>
          <w:szCs w:val="20"/>
        </w:rPr>
      </w:pPr>
    </w:p>
    <w:p w14:paraId="3DD030DB" w14:textId="4F1CF825" w:rsidR="003E43FF" w:rsidRDefault="003E43FF" w:rsidP="0034064D">
      <w:pPr>
        <w:spacing w:after="40"/>
        <w:rPr>
          <w:rFonts w:ascii="Arial" w:eastAsia="Arial Unicode MS" w:hAnsi="Arial" w:cs="Arial"/>
          <w:sz w:val="20"/>
          <w:szCs w:val="20"/>
        </w:rPr>
      </w:pPr>
      <w:r w:rsidRPr="003E43FF">
        <w:rPr>
          <w:rFonts w:ascii="Arial" w:eastAsia="Arial Unicode MS" w:hAnsi="Arial" w:cs="Arial"/>
          <w:noProof/>
          <w:sz w:val="20"/>
          <w:szCs w:val="20"/>
        </w:rPr>
        <w:lastRenderedPageBreak/>
        <w:drawing>
          <wp:inline distT="0" distB="0" distL="0" distR="0" wp14:anchorId="481F49FC" wp14:editId="0EC81BB8">
            <wp:extent cx="6479540" cy="7009130"/>
            <wp:effectExtent l="0" t="0" r="0" b="127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9540" cy="7009130"/>
                    </a:xfrm>
                    <a:prstGeom prst="rect">
                      <a:avLst/>
                    </a:prstGeom>
                    <a:noFill/>
                    <a:ln>
                      <a:noFill/>
                    </a:ln>
                  </pic:spPr>
                </pic:pic>
              </a:graphicData>
            </a:graphic>
          </wp:inline>
        </w:drawing>
      </w:r>
    </w:p>
    <w:p w14:paraId="1498E169" w14:textId="0EB66A7E" w:rsidR="00336E24" w:rsidRDefault="00336E24" w:rsidP="0034064D">
      <w:pPr>
        <w:spacing w:after="40"/>
        <w:rPr>
          <w:rFonts w:ascii="Arial" w:eastAsia="Arial Unicode MS" w:hAnsi="Arial" w:cs="Arial"/>
          <w:sz w:val="20"/>
          <w:szCs w:val="20"/>
        </w:rPr>
      </w:pPr>
    </w:p>
    <w:p w14:paraId="4F5A9801" w14:textId="77777777" w:rsidR="001B7CE3" w:rsidRPr="001B7CE3" w:rsidRDefault="001B7CE3" w:rsidP="001B7CE3">
      <w:pPr>
        <w:spacing w:after="0" w:line="240" w:lineRule="auto"/>
        <w:contextualSpacing/>
        <w:jc w:val="both"/>
        <w:rPr>
          <w:rFonts w:ascii="Arial" w:hAnsi="Arial" w:cs="Arial"/>
          <w:b/>
          <w:sz w:val="20"/>
          <w:szCs w:val="20"/>
        </w:rPr>
      </w:pPr>
      <w:r w:rsidRPr="001B7CE3">
        <w:rPr>
          <w:rFonts w:ascii="Arial" w:hAnsi="Arial" w:cs="Arial"/>
          <w:b/>
          <w:sz w:val="20"/>
          <w:szCs w:val="20"/>
        </w:rPr>
        <w:t xml:space="preserve">Depreciação </w:t>
      </w:r>
      <w:r>
        <w:rPr>
          <w:rFonts w:ascii="Arial" w:hAnsi="Arial" w:cs="Arial"/>
          <w:b/>
          <w:sz w:val="20"/>
          <w:szCs w:val="20"/>
        </w:rPr>
        <w:t>Acumulada de B</w:t>
      </w:r>
      <w:r w:rsidRPr="001B7CE3">
        <w:rPr>
          <w:rFonts w:ascii="Arial" w:hAnsi="Arial" w:cs="Arial"/>
          <w:b/>
          <w:sz w:val="20"/>
          <w:szCs w:val="20"/>
        </w:rPr>
        <w:t xml:space="preserve">ens </w:t>
      </w:r>
      <w:r>
        <w:rPr>
          <w:rFonts w:ascii="Arial" w:hAnsi="Arial" w:cs="Arial"/>
          <w:b/>
          <w:sz w:val="20"/>
          <w:szCs w:val="20"/>
        </w:rPr>
        <w:t>M</w:t>
      </w:r>
      <w:r w:rsidRPr="001B7CE3">
        <w:rPr>
          <w:rFonts w:ascii="Arial" w:hAnsi="Arial" w:cs="Arial"/>
          <w:b/>
          <w:sz w:val="20"/>
          <w:szCs w:val="20"/>
        </w:rPr>
        <w:t>óveis</w:t>
      </w:r>
    </w:p>
    <w:p w14:paraId="61863CEC" w14:textId="77777777" w:rsidR="001B7CE3" w:rsidRPr="001B7CE3" w:rsidRDefault="001B7CE3" w:rsidP="001B7CE3">
      <w:pPr>
        <w:ind w:left="1440"/>
        <w:contextualSpacing/>
        <w:rPr>
          <w:rFonts w:ascii="Arial" w:hAnsi="Arial" w:cs="Arial"/>
          <w:sz w:val="20"/>
          <w:szCs w:val="20"/>
          <w:highlight w:val="yellow"/>
        </w:rPr>
      </w:pPr>
      <w:r w:rsidRPr="001B7CE3">
        <w:rPr>
          <w:rFonts w:ascii="Arial" w:hAnsi="Arial" w:cs="Arial"/>
          <w:b/>
          <w:sz w:val="20"/>
          <w:szCs w:val="20"/>
        </w:rPr>
        <w:t xml:space="preserve"> </w:t>
      </w:r>
    </w:p>
    <w:p w14:paraId="2C58B164" w14:textId="746308EF" w:rsidR="001B7CE3" w:rsidRDefault="00FC36DA" w:rsidP="001B7CE3">
      <w:pPr>
        <w:rPr>
          <w:rFonts w:ascii="Arial" w:hAnsi="Arial" w:cs="Arial"/>
          <w:sz w:val="20"/>
          <w:szCs w:val="20"/>
        </w:rPr>
      </w:pPr>
      <w:r>
        <w:rPr>
          <w:rFonts w:ascii="Arial" w:eastAsia="Arial Unicode MS" w:hAnsi="Arial" w:cs="Arial"/>
          <w:sz w:val="20"/>
          <w:szCs w:val="20"/>
        </w:rPr>
        <w:t xml:space="preserve">Até o </w:t>
      </w:r>
      <w:r w:rsidR="002E6953">
        <w:rPr>
          <w:rFonts w:ascii="Arial" w:eastAsia="Arial Unicode MS" w:hAnsi="Arial" w:cs="Arial"/>
          <w:sz w:val="20"/>
          <w:szCs w:val="20"/>
        </w:rPr>
        <w:t>segundo</w:t>
      </w:r>
      <w:r w:rsidR="001B7CE3" w:rsidRPr="008B58CC">
        <w:rPr>
          <w:rFonts w:ascii="Arial" w:eastAsia="Arial Unicode MS" w:hAnsi="Arial" w:cs="Arial"/>
          <w:sz w:val="20"/>
          <w:szCs w:val="20"/>
        </w:rPr>
        <w:t xml:space="preserve"> trimestre de 20</w:t>
      </w:r>
      <w:r w:rsidR="001E6457">
        <w:rPr>
          <w:rFonts w:ascii="Arial" w:eastAsia="Arial Unicode MS" w:hAnsi="Arial" w:cs="Arial"/>
          <w:sz w:val="20"/>
          <w:szCs w:val="20"/>
        </w:rPr>
        <w:t>2</w:t>
      </w:r>
      <w:r w:rsidR="00616680">
        <w:rPr>
          <w:rFonts w:ascii="Arial" w:eastAsia="Arial Unicode MS" w:hAnsi="Arial" w:cs="Arial"/>
          <w:sz w:val="20"/>
          <w:szCs w:val="20"/>
        </w:rPr>
        <w:t>1</w:t>
      </w:r>
      <w:r w:rsidR="001B7CE3" w:rsidRPr="008B58CC">
        <w:rPr>
          <w:rFonts w:ascii="Arial" w:eastAsia="Arial Unicode MS" w:hAnsi="Arial" w:cs="Arial"/>
          <w:sz w:val="20"/>
          <w:szCs w:val="20"/>
        </w:rPr>
        <w:t xml:space="preserve"> os valores de depreciação mensal </w:t>
      </w:r>
      <w:r w:rsidR="00004FBA">
        <w:rPr>
          <w:rFonts w:ascii="Arial" w:eastAsia="Arial Unicode MS" w:hAnsi="Arial" w:cs="Arial"/>
          <w:sz w:val="20"/>
          <w:szCs w:val="20"/>
        </w:rPr>
        <w:t xml:space="preserve">relativas </w:t>
      </w:r>
      <w:proofErr w:type="gramStart"/>
      <w:r w:rsidR="00004FBA">
        <w:rPr>
          <w:rFonts w:ascii="Arial" w:eastAsia="Arial Unicode MS" w:hAnsi="Arial" w:cs="Arial"/>
          <w:sz w:val="20"/>
          <w:szCs w:val="20"/>
        </w:rPr>
        <w:t xml:space="preserve">a </w:t>
      </w:r>
      <w:r w:rsidR="001B7CE3" w:rsidRPr="008B58CC">
        <w:rPr>
          <w:rFonts w:ascii="Arial" w:eastAsia="Arial Unicode MS" w:hAnsi="Arial" w:cs="Arial"/>
          <w:sz w:val="20"/>
          <w:szCs w:val="20"/>
        </w:rPr>
        <w:t xml:space="preserve"> </w:t>
      </w:r>
      <w:r w:rsidR="00004FBA">
        <w:rPr>
          <w:rFonts w:ascii="Arial" w:eastAsia="Arial Unicode MS" w:hAnsi="Arial" w:cs="Arial"/>
          <w:sz w:val="20"/>
          <w:szCs w:val="20"/>
        </w:rPr>
        <w:t>fevereiro</w:t>
      </w:r>
      <w:proofErr w:type="gramEnd"/>
      <w:r w:rsidR="001B7CE3" w:rsidRPr="008B58CC">
        <w:rPr>
          <w:rFonts w:ascii="Arial" w:eastAsia="Arial Unicode MS" w:hAnsi="Arial" w:cs="Arial"/>
          <w:sz w:val="20"/>
          <w:szCs w:val="20"/>
        </w:rPr>
        <w:t xml:space="preserve">/2018 de todas as contas no Relatório de Bens Móveis aparece com os valores duplicados. Além disso, em </w:t>
      </w:r>
      <w:r w:rsidR="00E73ACF" w:rsidRPr="008B58CC">
        <w:rPr>
          <w:rFonts w:ascii="Arial" w:eastAsia="Arial Unicode MS" w:hAnsi="Arial" w:cs="Arial"/>
          <w:sz w:val="20"/>
          <w:szCs w:val="20"/>
        </w:rPr>
        <w:t>algumas contas</w:t>
      </w:r>
      <w:r w:rsidR="001B7CE3" w:rsidRPr="008B58CC">
        <w:rPr>
          <w:rFonts w:ascii="Arial" w:eastAsia="Arial Unicode MS" w:hAnsi="Arial" w:cs="Arial"/>
          <w:sz w:val="20"/>
          <w:szCs w:val="20"/>
        </w:rPr>
        <w:t xml:space="preserve"> contábeis aparece</w:t>
      </w:r>
      <w:r w:rsidR="00AA6CFC" w:rsidRPr="008B58CC">
        <w:rPr>
          <w:rFonts w:ascii="Arial" w:eastAsia="Arial Unicode MS" w:hAnsi="Arial" w:cs="Arial"/>
          <w:sz w:val="20"/>
          <w:szCs w:val="20"/>
        </w:rPr>
        <w:t>m</w:t>
      </w:r>
      <w:r w:rsidR="001B7CE3" w:rsidRPr="008B58CC">
        <w:rPr>
          <w:rFonts w:ascii="Arial" w:eastAsia="Arial Unicode MS" w:hAnsi="Arial" w:cs="Arial"/>
          <w:sz w:val="20"/>
          <w:szCs w:val="20"/>
        </w:rPr>
        <w:t xml:space="preserve"> outras diferenças que até o encerramento do </w:t>
      </w:r>
      <w:r w:rsidR="00616680">
        <w:rPr>
          <w:rFonts w:ascii="Arial" w:eastAsia="Arial Unicode MS" w:hAnsi="Arial" w:cs="Arial"/>
          <w:sz w:val="20"/>
          <w:szCs w:val="20"/>
        </w:rPr>
        <w:t>trimestre</w:t>
      </w:r>
      <w:r w:rsidR="001B7CE3" w:rsidRPr="008B58CC">
        <w:rPr>
          <w:rFonts w:ascii="Arial" w:eastAsia="Arial Unicode MS" w:hAnsi="Arial" w:cs="Arial"/>
          <w:sz w:val="20"/>
          <w:szCs w:val="20"/>
        </w:rPr>
        <w:t xml:space="preserve"> não foram </w:t>
      </w:r>
      <w:r w:rsidR="00AA6CFC" w:rsidRPr="008B58CC">
        <w:rPr>
          <w:rFonts w:ascii="Arial" w:eastAsia="Arial Unicode MS" w:hAnsi="Arial" w:cs="Arial"/>
          <w:sz w:val="20"/>
          <w:szCs w:val="20"/>
        </w:rPr>
        <w:t>sanadas</w:t>
      </w:r>
      <w:r w:rsidR="001B7CE3" w:rsidRPr="008B58CC">
        <w:rPr>
          <w:rFonts w:ascii="Arial" w:eastAsia="Arial Unicode MS" w:hAnsi="Arial" w:cs="Arial"/>
          <w:sz w:val="20"/>
          <w:szCs w:val="20"/>
        </w:rPr>
        <w:t xml:space="preserve">. Foram abertos chamados para o setor de TI da Reitoria para resolver estas </w:t>
      </w:r>
      <w:r w:rsidR="00AA6CFC" w:rsidRPr="008B58CC">
        <w:rPr>
          <w:rFonts w:ascii="Arial" w:eastAsia="Arial Unicode MS" w:hAnsi="Arial" w:cs="Arial"/>
          <w:sz w:val="20"/>
          <w:szCs w:val="20"/>
        </w:rPr>
        <w:t>inconsistências</w:t>
      </w:r>
      <w:r w:rsidR="001B7CE3" w:rsidRPr="008B58CC">
        <w:rPr>
          <w:rFonts w:ascii="Arial" w:eastAsia="Arial Unicode MS" w:hAnsi="Arial" w:cs="Arial"/>
          <w:sz w:val="20"/>
          <w:szCs w:val="20"/>
        </w:rPr>
        <w:t>, porém até o encerramento desse trimestre continuam pendentes. Em decorrência</w:t>
      </w:r>
      <w:r w:rsidR="00AA6CFC" w:rsidRPr="008B58CC">
        <w:rPr>
          <w:rFonts w:ascii="Arial" w:eastAsia="Arial Unicode MS" w:hAnsi="Arial" w:cs="Arial"/>
          <w:sz w:val="20"/>
          <w:szCs w:val="20"/>
        </w:rPr>
        <w:t>,</w:t>
      </w:r>
      <w:r w:rsidR="001B7CE3" w:rsidRPr="008B58CC">
        <w:rPr>
          <w:rFonts w:ascii="Arial" w:eastAsia="Arial Unicode MS" w:hAnsi="Arial" w:cs="Arial"/>
          <w:sz w:val="20"/>
          <w:szCs w:val="20"/>
        </w:rPr>
        <w:t xml:space="preserve"> os saldos contábeis em </w:t>
      </w:r>
      <w:r w:rsidR="002E6953">
        <w:rPr>
          <w:rFonts w:ascii="Arial" w:eastAsia="Arial Unicode MS" w:hAnsi="Arial" w:cs="Arial"/>
          <w:sz w:val="20"/>
          <w:szCs w:val="20"/>
        </w:rPr>
        <w:t>30/06</w:t>
      </w:r>
      <w:r w:rsidR="001E6457">
        <w:rPr>
          <w:rFonts w:ascii="Arial" w:eastAsia="Arial Unicode MS" w:hAnsi="Arial" w:cs="Arial"/>
          <w:sz w:val="20"/>
          <w:szCs w:val="20"/>
        </w:rPr>
        <w:t>/202</w:t>
      </w:r>
      <w:r w:rsidR="00616680">
        <w:rPr>
          <w:rFonts w:ascii="Arial" w:eastAsia="Arial Unicode MS" w:hAnsi="Arial" w:cs="Arial"/>
          <w:sz w:val="20"/>
          <w:szCs w:val="20"/>
        </w:rPr>
        <w:t>1</w:t>
      </w:r>
      <w:r w:rsidR="001B7CE3" w:rsidRPr="008B58CC">
        <w:rPr>
          <w:rFonts w:ascii="Arial" w:eastAsia="Arial Unicode MS" w:hAnsi="Arial" w:cs="Arial"/>
          <w:sz w:val="20"/>
          <w:szCs w:val="20"/>
        </w:rPr>
        <w:t xml:space="preserve"> das contas de depreciação dos bens</w:t>
      </w:r>
      <w:r w:rsidR="001B7CE3" w:rsidRPr="001B7CE3">
        <w:rPr>
          <w:rFonts w:ascii="Arial" w:hAnsi="Arial" w:cs="Arial"/>
          <w:sz w:val="20"/>
          <w:szCs w:val="20"/>
        </w:rPr>
        <w:t xml:space="preserve"> móveis não </w:t>
      </w:r>
      <w:r w:rsidR="00E73ACF">
        <w:rPr>
          <w:rFonts w:ascii="Arial" w:hAnsi="Arial" w:cs="Arial"/>
          <w:sz w:val="20"/>
          <w:szCs w:val="20"/>
        </w:rPr>
        <w:t>refletem adequadamente a real situação</w:t>
      </w:r>
      <w:r w:rsidR="00AA6CFC">
        <w:rPr>
          <w:rFonts w:ascii="Arial" w:hAnsi="Arial" w:cs="Arial"/>
          <w:sz w:val="20"/>
          <w:szCs w:val="20"/>
        </w:rPr>
        <w:t xml:space="preserve"> patrimonial</w:t>
      </w:r>
      <w:r w:rsidR="002E6953">
        <w:rPr>
          <w:rFonts w:ascii="Arial" w:hAnsi="Arial" w:cs="Arial"/>
          <w:sz w:val="20"/>
          <w:szCs w:val="20"/>
        </w:rPr>
        <w:t>.</w:t>
      </w:r>
    </w:p>
    <w:p w14:paraId="59489156" w14:textId="6972B08E"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t>Bens Imóveis</w:t>
      </w:r>
    </w:p>
    <w:p w14:paraId="4FFC8102" w14:textId="44BFF78D" w:rsidR="0034064D" w:rsidRDefault="0034064D" w:rsidP="0034064D">
      <w:pPr>
        <w:spacing w:after="40"/>
        <w:rPr>
          <w:rFonts w:ascii="Arial" w:eastAsia="Arial Unicode MS" w:hAnsi="Arial" w:cs="Arial"/>
          <w:sz w:val="20"/>
          <w:szCs w:val="20"/>
        </w:rPr>
      </w:pPr>
      <w:r w:rsidRPr="008F7CB1">
        <w:rPr>
          <w:rFonts w:ascii="Arial" w:eastAsia="Arial Unicode MS" w:hAnsi="Arial" w:cs="Arial"/>
          <w:sz w:val="20"/>
          <w:szCs w:val="20"/>
        </w:rPr>
        <w:t>Os Bens Imóveis</w:t>
      </w:r>
      <w:r w:rsidRPr="0034064D">
        <w:rPr>
          <w:rFonts w:ascii="Arial" w:eastAsia="Arial Unicode MS" w:hAnsi="Arial" w:cs="Arial"/>
          <w:sz w:val="20"/>
          <w:szCs w:val="20"/>
        </w:rPr>
        <w:t xml:space="preserve"> do IFRS, em </w:t>
      </w:r>
      <w:r w:rsidR="00301C12">
        <w:rPr>
          <w:rFonts w:ascii="Arial" w:eastAsia="Arial Unicode MS" w:hAnsi="Arial" w:cs="Arial"/>
          <w:sz w:val="20"/>
          <w:szCs w:val="20"/>
        </w:rPr>
        <w:t>30/06</w:t>
      </w:r>
      <w:r w:rsidR="00002769">
        <w:rPr>
          <w:rFonts w:ascii="Arial" w:eastAsia="Arial Unicode MS" w:hAnsi="Arial" w:cs="Arial"/>
          <w:sz w:val="20"/>
          <w:szCs w:val="20"/>
        </w:rPr>
        <w:t>/202</w:t>
      </w:r>
      <w:r w:rsidR="00E54BEF">
        <w:rPr>
          <w:rFonts w:ascii="Arial" w:eastAsia="Arial Unicode MS" w:hAnsi="Arial" w:cs="Arial"/>
          <w:sz w:val="20"/>
          <w:szCs w:val="20"/>
        </w:rPr>
        <w:t>1</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301C12">
        <w:rPr>
          <w:rFonts w:ascii="Arial" w:eastAsia="Arial Unicode MS" w:hAnsi="Arial" w:cs="Arial"/>
          <w:sz w:val="20"/>
          <w:szCs w:val="20"/>
        </w:rPr>
        <w:t>242,5</w:t>
      </w:r>
      <w:r w:rsidRPr="0034064D">
        <w:rPr>
          <w:rFonts w:ascii="Arial" w:eastAsia="Arial Unicode MS" w:hAnsi="Arial" w:cs="Arial"/>
          <w:sz w:val="20"/>
          <w:szCs w:val="20"/>
        </w:rPr>
        <w:t xml:space="preserve"> milhões e estão distribuídos conforme demonstrado na tabela a seguir.</w:t>
      </w:r>
    </w:p>
    <w:p w14:paraId="13B905EF" w14:textId="1A8C5508" w:rsidR="00BB7732" w:rsidRDefault="00BB7732" w:rsidP="0034064D">
      <w:pPr>
        <w:spacing w:after="40"/>
        <w:rPr>
          <w:rFonts w:ascii="Arial" w:eastAsia="Arial Unicode MS" w:hAnsi="Arial" w:cs="Arial"/>
          <w:sz w:val="20"/>
          <w:szCs w:val="20"/>
        </w:rPr>
      </w:pPr>
      <w:r w:rsidRPr="00BB7732">
        <w:rPr>
          <w:rFonts w:ascii="Arial" w:eastAsia="Arial Unicode MS" w:hAnsi="Arial" w:cs="Arial"/>
          <w:noProof/>
          <w:sz w:val="20"/>
          <w:szCs w:val="20"/>
        </w:rPr>
        <w:lastRenderedPageBreak/>
        <w:drawing>
          <wp:inline distT="0" distB="0" distL="0" distR="0" wp14:anchorId="1B7D2270" wp14:editId="2B8789BF">
            <wp:extent cx="5238750" cy="17716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0" cy="1771650"/>
                    </a:xfrm>
                    <a:prstGeom prst="rect">
                      <a:avLst/>
                    </a:prstGeom>
                    <a:noFill/>
                    <a:ln>
                      <a:noFill/>
                    </a:ln>
                  </pic:spPr>
                </pic:pic>
              </a:graphicData>
            </a:graphic>
          </wp:inline>
        </w:drawing>
      </w:r>
    </w:p>
    <w:p w14:paraId="14A6E475" w14:textId="77777777" w:rsidR="000969AB" w:rsidRDefault="000969AB" w:rsidP="0034064D">
      <w:pPr>
        <w:spacing w:after="40"/>
        <w:rPr>
          <w:rFonts w:ascii="Arial" w:eastAsia="Arial Unicode MS" w:hAnsi="Arial" w:cs="Arial"/>
          <w:sz w:val="20"/>
          <w:szCs w:val="20"/>
        </w:rPr>
      </w:pPr>
    </w:p>
    <w:p w14:paraId="11BF3335" w14:textId="02905CAE" w:rsidR="00C30501" w:rsidRDefault="004111FC" w:rsidP="0034064D">
      <w:pPr>
        <w:spacing w:after="40"/>
        <w:rPr>
          <w:rFonts w:ascii="Arial" w:eastAsia="Arial Unicode MS" w:hAnsi="Arial" w:cs="Arial"/>
          <w:sz w:val="20"/>
          <w:szCs w:val="20"/>
        </w:rPr>
      </w:pPr>
      <w:r>
        <w:rPr>
          <w:rFonts w:ascii="Arial" w:eastAsia="Arial Unicode MS" w:hAnsi="Arial" w:cs="Arial"/>
          <w:sz w:val="20"/>
          <w:szCs w:val="20"/>
        </w:rPr>
        <w:t>Até o</w:t>
      </w:r>
      <w:r w:rsidR="00057B49">
        <w:rPr>
          <w:rFonts w:ascii="Arial" w:eastAsia="Arial Unicode MS" w:hAnsi="Arial" w:cs="Arial"/>
          <w:sz w:val="20"/>
          <w:szCs w:val="20"/>
        </w:rPr>
        <w:t xml:space="preserve"> trimestre</w:t>
      </w:r>
      <w:r w:rsidR="00C30501">
        <w:rPr>
          <w:rFonts w:ascii="Arial" w:eastAsia="Arial Unicode MS" w:hAnsi="Arial" w:cs="Arial"/>
          <w:sz w:val="20"/>
          <w:szCs w:val="20"/>
        </w:rPr>
        <w:t xml:space="preserve">, </w:t>
      </w:r>
      <w:r w:rsidR="005229A3">
        <w:rPr>
          <w:rFonts w:ascii="Arial" w:eastAsia="Arial Unicode MS" w:hAnsi="Arial" w:cs="Arial"/>
          <w:sz w:val="20"/>
          <w:szCs w:val="20"/>
        </w:rPr>
        <w:t>a</w:t>
      </w:r>
      <w:r w:rsidR="00873988">
        <w:rPr>
          <w:rFonts w:ascii="Arial" w:eastAsia="Arial Unicode MS" w:hAnsi="Arial" w:cs="Arial"/>
          <w:sz w:val="20"/>
          <w:szCs w:val="20"/>
        </w:rPr>
        <w:t xml:space="preserve"> conta </w:t>
      </w:r>
      <w:r w:rsidR="00D84C8A">
        <w:rPr>
          <w:rFonts w:ascii="Arial" w:eastAsia="Arial Unicode MS" w:hAnsi="Arial" w:cs="Arial"/>
          <w:sz w:val="20"/>
          <w:szCs w:val="20"/>
        </w:rPr>
        <w:t xml:space="preserve">Imóveis de uso Educacional valorizou em 3%, </w:t>
      </w:r>
      <w:r w:rsidR="005229A3">
        <w:rPr>
          <w:rFonts w:ascii="Arial" w:eastAsia="Arial Unicode MS" w:hAnsi="Arial" w:cs="Arial"/>
          <w:sz w:val="20"/>
          <w:szCs w:val="20"/>
        </w:rPr>
        <w:t xml:space="preserve">pela </w:t>
      </w:r>
      <w:r w:rsidR="00D84C8A">
        <w:rPr>
          <w:rFonts w:ascii="Arial" w:eastAsia="Arial Unicode MS" w:hAnsi="Arial" w:cs="Arial"/>
          <w:sz w:val="20"/>
          <w:szCs w:val="20"/>
        </w:rPr>
        <w:t>reavaliação do prédio sede do Campus Canoas, em vista das melhorias efetuadas ao longo do exercício</w:t>
      </w:r>
      <w:r w:rsidR="000648C0">
        <w:rPr>
          <w:rFonts w:ascii="Arial" w:eastAsia="Arial Unicode MS" w:hAnsi="Arial" w:cs="Arial"/>
          <w:sz w:val="20"/>
          <w:szCs w:val="20"/>
        </w:rPr>
        <w:t>.</w:t>
      </w:r>
      <w:r w:rsidR="00C30501">
        <w:rPr>
          <w:rFonts w:ascii="Arial" w:eastAsia="Arial Unicode MS" w:hAnsi="Arial" w:cs="Arial"/>
          <w:sz w:val="20"/>
          <w:szCs w:val="20"/>
        </w:rPr>
        <w:t xml:space="preserve"> </w:t>
      </w:r>
      <w:r w:rsidR="00D84C8A">
        <w:rPr>
          <w:rFonts w:ascii="Arial" w:eastAsia="Arial Unicode MS" w:hAnsi="Arial" w:cs="Arial"/>
          <w:sz w:val="20"/>
          <w:szCs w:val="20"/>
        </w:rPr>
        <w:t>3,</w:t>
      </w:r>
      <w:r w:rsidR="0070244E">
        <w:rPr>
          <w:rFonts w:ascii="Arial" w:eastAsia="Arial Unicode MS" w:hAnsi="Arial" w:cs="Arial"/>
          <w:sz w:val="20"/>
          <w:szCs w:val="20"/>
        </w:rPr>
        <w:t>90</w:t>
      </w:r>
      <w:r w:rsidR="00C30501">
        <w:rPr>
          <w:rFonts w:ascii="Arial" w:eastAsia="Arial Unicode MS" w:hAnsi="Arial" w:cs="Arial"/>
          <w:sz w:val="20"/>
          <w:szCs w:val="20"/>
        </w:rPr>
        <w:t xml:space="preserve">% do total de bens imóveis correspondem </w:t>
      </w:r>
      <w:proofErr w:type="gramStart"/>
      <w:r w:rsidR="00C30501">
        <w:rPr>
          <w:rFonts w:ascii="Arial" w:eastAsia="Arial Unicode MS" w:hAnsi="Arial" w:cs="Arial"/>
          <w:sz w:val="20"/>
          <w:szCs w:val="20"/>
        </w:rPr>
        <w:t>à</w:t>
      </w:r>
      <w:proofErr w:type="gramEnd"/>
      <w:r w:rsidR="00C30501">
        <w:rPr>
          <w:rFonts w:ascii="Arial" w:eastAsia="Arial Unicode MS" w:hAnsi="Arial" w:cs="Arial"/>
          <w:sz w:val="20"/>
          <w:szCs w:val="20"/>
        </w:rPr>
        <w:t xml:space="preserve"> obras que permanecem em andamento no </w:t>
      </w:r>
      <w:r w:rsidR="0070244E">
        <w:rPr>
          <w:rFonts w:ascii="Arial" w:eastAsia="Arial Unicode MS" w:hAnsi="Arial" w:cs="Arial"/>
          <w:sz w:val="20"/>
          <w:szCs w:val="20"/>
        </w:rPr>
        <w:t>segundo</w:t>
      </w:r>
      <w:r w:rsidR="000648C0">
        <w:rPr>
          <w:rFonts w:ascii="Arial" w:eastAsia="Arial Unicode MS" w:hAnsi="Arial" w:cs="Arial"/>
          <w:sz w:val="20"/>
          <w:szCs w:val="20"/>
        </w:rPr>
        <w:t xml:space="preserve"> </w:t>
      </w:r>
      <w:r w:rsidR="00C30501">
        <w:rPr>
          <w:rFonts w:ascii="Arial" w:eastAsia="Arial Unicode MS" w:hAnsi="Arial" w:cs="Arial"/>
          <w:sz w:val="20"/>
          <w:szCs w:val="20"/>
        </w:rPr>
        <w:t>trimestre de 20</w:t>
      </w:r>
      <w:r w:rsidR="005110D6">
        <w:rPr>
          <w:rFonts w:ascii="Arial" w:eastAsia="Arial Unicode MS" w:hAnsi="Arial" w:cs="Arial"/>
          <w:sz w:val="20"/>
          <w:szCs w:val="20"/>
        </w:rPr>
        <w:t>2</w:t>
      </w:r>
      <w:r w:rsidR="00D84C8A">
        <w:rPr>
          <w:rFonts w:ascii="Arial" w:eastAsia="Arial Unicode MS" w:hAnsi="Arial" w:cs="Arial"/>
          <w:sz w:val="20"/>
          <w:szCs w:val="20"/>
        </w:rPr>
        <w:t>1</w:t>
      </w:r>
      <w:r w:rsidR="00C30501">
        <w:rPr>
          <w:rFonts w:ascii="Arial" w:eastAsia="Arial Unicode MS" w:hAnsi="Arial" w:cs="Arial"/>
          <w:sz w:val="20"/>
          <w:szCs w:val="20"/>
        </w:rPr>
        <w:t>.</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641ED344"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w:t>
      </w:r>
      <w:r w:rsidR="003F6A4F">
        <w:rPr>
          <w:rFonts w:ascii="Arial" w:eastAsia="Arial Unicode MS" w:hAnsi="Arial" w:cs="Arial"/>
          <w:sz w:val="20"/>
          <w:szCs w:val="20"/>
        </w:rPr>
        <w:t>8</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 xml:space="preserve">avaliado em </w:t>
      </w:r>
      <w:r w:rsidR="00837C80" w:rsidRPr="003F1674">
        <w:rPr>
          <w:rFonts w:ascii="Arial" w:eastAsia="Arial Unicode MS" w:hAnsi="Arial" w:cs="Arial"/>
          <w:color w:val="000000" w:themeColor="text1"/>
          <w:sz w:val="20"/>
          <w:szCs w:val="20"/>
        </w:rPr>
        <w:t xml:space="preserve">R$ </w:t>
      </w:r>
      <w:r w:rsidR="00284AEB" w:rsidRPr="003F1674">
        <w:rPr>
          <w:rFonts w:ascii="Arial" w:eastAsia="Arial Unicode MS" w:hAnsi="Arial" w:cs="Arial"/>
          <w:color w:val="000000" w:themeColor="text1"/>
          <w:sz w:val="20"/>
          <w:szCs w:val="20"/>
        </w:rPr>
        <w:t>38,5</w:t>
      </w:r>
      <w:r w:rsidR="00837C80" w:rsidRPr="003F1674">
        <w:rPr>
          <w:rFonts w:ascii="Arial" w:eastAsia="Arial Unicode MS" w:hAnsi="Arial" w:cs="Arial"/>
          <w:color w:val="000000" w:themeColor="text1"/>
          <w:sz w:val="20"/>
          <w:szCs w:val="20"/>
        </w:rPr>
        <w:t xml:space="preserve"> milhões</w:t>
      </w:r>
      <w:r w:rsidRPr="0034064D">
        <w:rPr>
          <w:rFonts w:ascii="Arial" w:eastAsia="Arial Unicode MS" w:hAnsi="Arial" w:cs="Arial"/>
          <w:sz w:val="20"/>
          <w:szCs w:val="20"/>
        </w:rPr>
        <w:t>.</w:t>
      </w:r>
      <w:r w:rsidR="00284AEB">
        <w:rPr>
          <w:rFonts w:ascii="Arial" w:eastAsia="Arial Unicode MS" w:hAnsi="Arial" w:cs="Arial"/>
          <w:sz w:val="20"/>
          <w:szCs w:val="20"/>
        </w:rPr>
        <w:t xml:space="preserve"> </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76AB872D"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w:t>
      </w:r>
      <w:r w:rsidR="0070244E">
        <w:rPr>
          <w:rFonts w:ascii="Arial" w:eastAsia="Arial Unicode MS" w:hAnsi="Arial" w:cs="Arial"/>
          <w:sz w:val="20"/>
          <w:szCs w:val="20"/>
        </w:rPr>
        <w:t>4</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806359">
        <w:rPr>
          <w:rFonts w:ascii="Arial" w:eastAsia="Arial Unicode MS" w:hAnsi="Arial" w:cs="Arial"/>
          <w:sz w:val="20"/>
          <w:szCs w:val="20"/>
        </w:rPr>
        <w:t>8</w:t>
      </w:r>
      <w:r w:rsidRPr="0034064D">
        <w:rPr>
          <w:rFonts w:ascii="Arial" w:eastAsia="Arial Unicode MS" w:hAnsi="Arial" w:cs="Arial"/>
          <w:sz w:val="20"/>
          <w:szCs w:val="20"/>
        </w:rPr>
        <w:t xml:space="preserve">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7D991134" w14:textId="30E16092" w:rsidR="001B7CE3" w:rsidRDefault="001B7CE3" w:rsidP="0034064D">
      <w:pPr>
        <w:spacing w:after="40"/>
        <w:rPr>
          <w:rFonts w:ascii="Arial" w:eastAsia="Arial Unicode MS" w:hAnsi="Arial" w:cs="Arial"/>
          <w:sz w:val="20"/>
          <w:szCs w:val="20"/>
        </w:rPr>
      </w:pPr>
    </w:p>
    <w:p w14:paraId="146131D0" w14:textId="780FEC39"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47809C39" w:rsidR="0034064D" w:rsidRDefault="0034064D" w:rsidP="0034064D">
      <w:pPr>
        <w:spacing w:after="40"/>
        <w:rPr>
          <w:rFonts w:ascii="Arial" w:eastAsia="Arial Unicode MS" w:hAnsi="Arial" w:cs="Arial"/>
          <w:sz w:val="20"/>
          <w:szCs w:val="20"/>
        </w:rPr>
      </w:pPr>
      <w:r w:rsidRPr="007B7427">
        <w:rPr>
          <w:rFonts w:ascii="Arial" w:eastAsia="Arial Unicode MS" w:hAnsi="Arial" w:cs="Arial"/>
          <w:sz w:val="20"/>
          <w:szCs w:val="20"/>
        </w:rPr>
        <w:t>O Ativo Intangível</w:t>
      </w:r>
      <w:r w:rsidRPr="0034064D">
        <w:rPr>
          <w:rFonts w:ascii="Arial" w:eastAsia="Arial Unicode MS" w:hAnsi="Arial" w:cs="Arial"/>
          <w:sz w:val="20"/>
          <w:szCs w:val="20"/>
        </w:rPr>
        <w:t xml:space="preserve"> do IFRS, em </w:t>
      </w:r>
      <w:r w:rsidR="00313005">
        <w:rPr>
          <w:rFonts w:ascii="Arial" w:eastAsia="Arial Unicode MS" w:hAnsi="Arial" w:cs="Arial"/>
          <w:sz w:val="20"/>
          <w:szCs w:val="20"/>
        </w:rPr>
        <w:t>30/06</w:t>
      </w:r>
      <w:r w:rsidR="001905D5">
        <w:rPr>
          <w:rFonts w:ascii="Arial" w:eastAsia="Arial Unicode MS" w:hAnsi="Arial" w:cs="Arial"/>
          <w:sz w:val="20"/>
          <w:szCs w:val="20"/>
        </w:rPr>
        <w:t>/</w:t>
      </w:r>
      <w:r w:rsidR="00AC0CC4">
        <w:rPr>
          <w:rFonts w:ascii="Arial" w:eastAsia="Arial Unicode MS" w:hAnsi="Arial" w:cs="Arial"/>
          <w:sz w:val="20"/>
          <w:szCs w:val="20"/>
        </w:rPr>
        <w:t>202</w:t>
      </w:r>
      <w:r w:rsidR="00A807E5">
        <w:rPr>
          <w:rFonts w:ascii="Arial" w:eastAsia="Arial Unicode MS" w:hAnsi="Arial" w:cs="Arial"/>
          <w:sz w:val="20"/>
          <w:szCs w:val="20"/>
        </w:rPr>
        <w:t>1</w:t>
      </w:r>
      <w:r w:rsidRPr="0034064D">
        <w:rPr>
          <w:rFonts w:ascii="Arial" w:eastAsia="Arial Unicode MS" w:hAnsi="Arial" w:cs="Arial"/>
          <w:sz w:val="20"/>
          <w:szCs w:val="20"/>
        </w:rPr>
        <w:t xml:space="preserve">, totalizou R$ </w:t>
      </w:r>
      <w:r w:rsidR="00313005">
        <w:rPr>
          <w:rFonts w:ascii="Arial" w:eastAsia="Arial Unicode MS" w:hAnsi="Arial" w:cs="Arial"/>
          <w:sz w:val="20"/>
          <w:szCs w:val="20"/>
        </w:rPr>
        <w:t>1,41</w:t>
      </w:r>
      <w:r w:rsidR="004B6577">
        <w:rPr>
          <w:rFonts w:ascii="Arial" w:eastAsia="Arial Unicode MS" w:hAnsi="Arial" w:cs="Arial"/>
          <w:sz w:val="20"/>
          <w:szCs w:val="20"/>
        </w:rPr>
        <w:t xml:space="preserve"> milhões</w:t>
      </w:r>
      <w:r w:rsidRPr="0034064D">
        <w:rPr>
          <w:rFonts w:ascii="Arial" w:eastAsia="Arial Unicode MS" w:hAnsi="Arial" w:cs="Arial"/>
          <w:sz w:val="20"/>
          <w:szCs w:val="20"/>
        </w:rPr>
        <w:t>, conforme detalhado na tabela a seguir.</w:t>
      </w:r>
    </w:p>
    <w:p w14:paraId="1CA06C71" w14:textId="4565BDCD" w:rsidR="00313005" w:rsidRDefault="00313005" w:rsidP="0034064D">
      <w:pPr>
        <w:spacing w:after="40"/>
        <w:rPr>
          <w:rFonts w:ascii="Arial" w:eastAsia="Arial Unicode MS" w:hAnsi="Arial" w:cs="Arial"/>
          <w:sz w:val="20"/>
          <w:szCs w:val="20"/>
        </w:rPr>
      </w:pPr>
      <w:r w:rsidRPr="00313005">
        <w:rPr>
          <w:rFonts w:ascii="Arial" w:eastAsia="Arial Unicode MS" w:hAnsi="Arial" w:cs="Arial"/>
          <w:noProof/>
          <w:sz w:val="20"/>
          <w:szCs w:val="20"/>
        </w:rPr>
        <w:lastRenderedPageBreak/>
        <w:drawing>
          <wp:inline distT="0" distB="0" distL="0" distR="0" wp14:anchorId="7A0BDEF6" wp14:editId="0C8E2D1F">
            <wp:extent cx="6429375" cy="36671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29375" cy="3667125"/>
                    </a:xfrm>
                    <a:prstGeom prst="rect">
                      <a:avLst/>
                    </a:prstGeom>
                    <a:noFill/>
                    <a:ln>
                      <a:noFill/>
                    </a:ln>
                  </pic:spPr>
                </pic:pic>
              </a:graphicData>
            </a:graphic>
          </wp:inline>
        </w:drawing>
      </w:r>
    </w:p>
    <w:p w14:paraId="699B1595" w14:textId="1D8BA620" w:rsidR="00080DE8" w:rsidRPr="0034064D" w:rsidRDefault="00080DE8" w:rsidP="0034064D">
      <w:pPr>
        <w:spacing w:after="40"/>
        <w:rPr>
          <w:rFonts w:ascii="Arial" w:eastAsia="Arial Unicode MS" w:hAnsi="Arial" w:cs="Arial"/>
          <w:sz w:val="20"/>
          <w:szCs w:val="20"/>
        </w:rPr>
      </w:pPr>
    </w:p>
    <w:p w14:paraId="6A94880E" w14:textId="56295375"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Entre os softwares com valores mais representativos no âmbito do IFRS, R$ 298 mil (2</w:t>
      </w:r>
      <w:r w:rsidR="00313005">
        <w:rPr>
          <w:rFonts w:ascii="Arial" w:eastAsia="Arial Unicode MS" w:hAnsi="Arial" w:cs="Arial"/>
          <w:sz w:val="20"/>
          <w:szCs w:val="20"/>
        </w:rPr>
        <w:t>1</w:t>
      </w:r>
      <w:r w:rsidRPr="003750CE">
        <w:rPr>
          <w:rFonts w:ascii="Arial" w:eastAsia="Arial Unicode MS" w:hAnsi="Arial" w:cs="Arial"/>
          <w:sz w:val="20"/>
          <w:szCs w:val="20"/>
        </w:rPr>
        <w:t>%) referem-se ao software de integração e simulação flexível de manufatura, adquirido pelo campus Restinga e, R$ 110 mil (</w:t>
      </w:r>
      <w:r w:rsidR="004134BA">
        <w:rPr>
          <w:rFonts w:ascii="Arial" w:eastAsia="Arial Unicode MS" w:hAnsi="Arial" w:cs="Arial"/>
          <w:sz w:val="20"/>
          <w:szCs w:val="20"/>
        </w:rPr>
        <w:t>8</w:t>
      </w:r>
      <w:r w:rsidRPr="003750CE">
        <w:rPr>
          <w:rFonts w:ascii="Arial" w:eastAsia="Arial Unicode MS" w:hAnsi="Arial" w:cs="Arial"/>
          <w:sz w:val="20"/>
          <w:szCs w:val="20"/>
        </w:rPr>
        <w:t>%)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0D94CF11" w14:textId="4A48CFA3" w:rsidR="00A807E5"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w:t>
      </w:r>
      <w:r w:rsidR="001905D5">
        <w:rPr>
          <w:rFonts w:ascii="Arial" w:eastAsia="Arial Unicode MS" w:hAnsi="Arial" w:cs="Arial"/>
          <w:sz w:val="20"/>
          <w:szCs w:val="20"/>
        </w:rPr>
        <w:t xml:space="preserve">até o </w:t>
      </w:r>
      <w:r w:rsidR="00313005">
        <w:rPr>
          <w:rFonts w:ascii="Arial" w:eastAsia="Arial Unicode MS" w:hAnsi="Arial" w:cs="Arial"/>
          <w:sz w:val="20"/>
          <w:szCs w:val="20"/>
        </w:rPr>
        <w:t>segundo</w:t>
      </w:r>
      <w:r w:rsidR="00C46E2A">
        <w:rPr>
          <w:rFonts w:ascii="Arial" w:eastAsia="Arial Unicode MS" w:hAnsi="Arial" w:cs="Arial"/>
          <w:sz w:val="20"/>
          <w:szCs w:val="20"/>
        </w:rPr>
        <w:t xml:space="preserve"> trimestre de 20</w:t>
      </w:r>
      <w:r w:rsidR="00AC0CC4">
        <w:rPr>
          <w:rFonts w:ascii="Arial" w:eastAsia="Arial Unicode MS" w:hAnsi="Arial" w:cs="Arial"/>
          <w:sz w:val="20"/>
          <w:szCs w:val="20"/>
        </w:rPr>
        <w:t>2</w:t>
      </w:r>
      <w:r w:rsidR="00A807E5">
        <w:rPr>
          <w:rFonts w:ascii="Arial" w:eastAsia="Arial Unicode MS" w:hAnsi="Arial" w:cs="Arial"/>
          <w:sz w:val="20"/>
          <w:szCs w:val="20"/>
        </w:rPr>
        <w:t>1</w:t>
      </w:r>
      <w:r w:rsidR="00C46E2A">
        <w:rPr>
          <w:rFonts w:ascii="Arial" w:eastAsia="Arial Unicode MS" w:hAnsi="Arial" w:cs="Arial"/>
          <w:sz w:val="20"/>
          <w:szCs w:val="20"/>
        </w:rPr>
        <w:t xml:space="preserve">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w:t>
      </w:r>
      <w:r w:rsidR="00296376">
        <w:rPr>
          <w:rFonts w:ascii="Arial" w:eastAsia="Arial Unicode MS" w:hAnsi="Arial" w:cs="Arial"/>
          <w:sz w:val="20"/>
          <w:szCs w:val="20"/>
        </w:rPr>
        <w:t xml:space="preserve">de </w:t>
      </w:r>
      <w:proofErr w:type="gramStart"/>
      <w:r w:rsidR="00296376">
        <w:rPr>
          <w:rFonts w:ascii="Arial" w:eastAsia="Arial Unicode MS" w:hAnsi="Arial" w:cs="Arial"/>
          <w:sz w:val="20"/>
          <w:szCs w:val="20"/>
        </w:rPr>
        <w:t xml:space="preserve">aproximadamente </w:t>
      </w:r>
      <w:r w:rsidR="00C46E2A">
        <w:rPr>
          <w:rFonts w:ascii="Arial" w:eastAsia="Arial Unicode MS" w:hAnsi="Arial" w:cs="Arial"/>
          <w:sz w:val="20"/>
          <w:szCs w:val="20"/>
        </w:rPr>
        <w:t xml:space="preserve"> </w:t>
      </w:r>
      <w:r w:rsidR="00313005">
        <w:rPr>
          <w:rFonts w:ascii="Arial" w:eastAsia="Arial Unicode MS" w:hAnsi="Arial" w:cs="Arial"/>
          <w:sz w:val="20"/>
          <w:szCs w:val="20"/>
        </w:rPr>
        <w:t>6</w:t>
      </w:r>
      <w:proofErr w:type="gramEnd"/>
      <w:r w:rsidR="00313005">
        <w:rPr>
          <w:rFonts w:ascii="Arial" w:eastAsia="Arial Unicode MS" w:hAnsi="Arial" w:cs="Arial"/>
          <w:sz w:val="20"/>
          <w:szCs w:val="20"/>
        </w:rPr>
        <w:t>,35</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w:t>
      </w:r>
    </w:p>
    <w:p w14:paraId="2AA2031E" w14:textId="77777777" w:rsidR="00A807E5" w:rsidRDefault="00A807E5" w:rsidP="0034064D">
      <w:pPr>
        <w:spacing w:after="40"/>
        <w:rPr>
          <w:rFonts w:ascii="Arial" w:eastAsia="Arial Unicode MS" w:hAnsi="Arial" w:cs="Arial"/>
          <w:sz w:val="20"/>
          <w:szCs w:val="20"/>
        </w:rPr>
      </w:pPr>
    </w:p>
    <w:p w14:paraId="5BC508AD" w14:textId="0D58DD31" w:rsidR="004B6577" w:rsidRDefault="004F52C5" w:rsidP="0034064D">
      <w:pPr>
        <w:spacing w:after="40"/>
        <w:rPr>
          <w:rFonts w:ascii="Arial" w:eastAsia="Arial Unicode MS" w:hAnsi="Arial" w:cs="Arial"/>
          <w:sz w:val="20"/>
          <w:szCs w:val="20"/>
        </w:rPr>
      </w:pPr>
      <w:r>
        <w:rPr>
          <w:rFonts w:ascii="Arial" w:eastAsia="Arial Unicode MS" w:hAnsi="Arial" w:cs="Arial"/>
          <w:sz w:val="20"/>
          <w:szCs w:val="20"/>
        </w:rPr>
        <w:t>Na tabela a seguir, a evolução da amortização acumulada.</w:t>
      </w:r>
    </w:p>
    <w:p w14:paraId="252A63CA" w14:textId="46AC393B" w:rsidR="007935A1" w:rsidRDefault="007935A1" w:rsidP="0034064D">
      <w:pPr>
        <w:spacing w:after="40"/>
        <w:rPr>
          <w:rFonts w:ascii="Arial" w:eastAsia="Arial Unicode MS" w:hAnsi="Arial" w:cs="Arial"/>
          <w:sz w:val="20"/>
          <w:szCs w:val="20"/>
        </w:rPr>
      </w:pPr>
      <w:r w:rsidRPr="007935A1">
        <w:rPr>
          <w:rFonts w:ascii="Arial" w:eastAsia="Arial Unicode MS" w:hAnsi="Arial" w:cs="Arial"/>
          <w:noProof/>
          <w:sz w:val="20"/>
          <w:szCs w:val="20"/>
        </w:rPr>
        <w:drawing>
          <wp:inline distT="0" distB="0" distL="0" distR="0" wp14:anchorId="3039D30C" wp14:editId="17DAF9C2">
            <wp:extent cx="5791200" cy="9144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1200" cy="914400"/>
                    </a:xfrm>
                    <a:prstGeom prst="rect">
                      <a:avLst/>
                    </a:prstGeom>
                    <a:noFill/>
                    <a:ln>
                      <a:noFill/>
                    </a:ln>
                  </pic:spPr>
                </pic:pic>
              </a:graphicData>
            </a:graphic>
          </wp:inline>
        </w:drawing>
      </w:r>
    </w:p>
    <w:p w14:paraId="6C7E5F45" w14:textId="6EAB0923" w:rsidR="00DC3C24" w:rsidRDefault="00DC3C24" w:rsidP="0034064D">
      <w:pPr>
        <w:spacing w:after="40"/>
        <w:rPr>
          <w:rFonts w:ascii="Arial" w:eastAsia="Arial Unicode MS" w:hAnsi="Arial" w:cs="Arial"/>
          <w:sz w:val="20"/>
          <w:szCs w:val="20"/>
        </w:rPr>
      </w:pP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312BE3C5" w14:textId="364A85A0" w:rsidR="00D13B9B"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63F50F3C" w14:textId="29C3155E" w:rsidR="00AF7628" w:rsidRDefault="00AF7628" w:rsidP="00BA2679">
      <w:pPr>
        <w:spacing w:after="40"/>
        <w:rPr>
          <w:rFonts w:ascii="Arial" w:eastAsia="Arial Unicode MS" w:hAnsi="Arial" w:cs="Arial"/>
          <w:sz w:val="20"/>
          <w:szCs w:val="20"/>
        </w:rPr>
      </w:pPr>
      <w:r w:rsidRPr="00AF7628">
        <w:rPr>
          <w:rFonts w:ascii="Arial" w:eastAsia="Arial Unicode MS" w:hAnsi="Arial" w:cs="Arial"/>
          <w:noProof/>
          <w:sz w:val="20"/>
          <w:szCs w:val="20"/>
        </w:rPr>
        <w:drawing>
          <wp:inline distT="0" distB="0" distL="0" distR="0" wp14:anchorId="1D82E458" wp14:editId="3AA3676A">
            <wp:extent cx="4429125" cy="1447800"/>
            <wp:effectExtent l="0" t="0" r="952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9125" cy="1447800"/>
                    </a:xfrm>
                    <a:prstGeom prst="rect">
                      <a:avLst/>
                    </a:prstGeom>
                    <a:noFill/>
                    <a:ln>
                      <a:noFill/>
                    </a:ln>
                  </pic:spPr>
                </pic:pic>
              </a:graphicData>
            </a:graphic>
          </wp:inline>
        </w:drawing>
      </w:r>
    </w:p>
    <w:p w14:paraId="373A3CEA" w14:textId="77777777" w:rsidR="002568A3" w:rsidRDefault="002568A3" w:rsidP="00BA2679">
      <w:pPr>
        <w:spacing w:after="40"/>
        <w:rPr>
          <w:rFonts w:ascii="Arial" w:eastAsia="Arial Unicode MS" w:hAnsi="Arial" w:cs="Arial"/>
          <w:sz w:val="20"/>
          <w:szCs w:val="20"/>
        </w:rPr>
      </w:pPr>
    </w:p>
    <w:p w14:paraId="300F121D" w14:textId="3835CF32"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Em sua maior parte, as obrigações trabalhistas, previdenciárias e assistenciais, em </w:t>
      </w:r>
      <w:r w:rsidR="00AF7628">
        <w:rPr>
          <w:rFonts w:ascii="Arial" w:eastAsia="Arial Unicode MS" w:hAnsi="Arial" w:cs="Arial"/>
          <w:sz w:val="20"/>
          <w:szCs w:val="20"/>
        </w:rPr>
        <w:t>30/06</w:t>
      </w:r>
      <w:r w:rsidR="0034086C">
        <w:rPr>
          <w:rFonts w:ascii="Arial" w:eastAsia="Arial Unicode MS" w:hAnsi="Arial" w:cs="Arial"/>
          <w:sz w:val="20"/>
          <w:szCs w:val="20"/>
        </w:rPr>
        <w:t>/</w:t>
      </w:r>
      <w:r w:rsidR="00102F17">
        <w:rPr>
          <w:rFonts w:ascii="Arial" w:eastAsia="Arial Unicode MS" w:hAnsi="Arial" w:cs="Arial"/>
          <w:sz w:val="20"/>
          <w:szCs w:val="20"/>
        </w:rPr>
        <w:t>202</w:t>
      </w:r>
      <w:r w:rsidR="007F2BB7">
        <w:rPr>
          <w:rFonts w:ascii="Arial" w:eastAsia="Arial Unicode MS" w:hAnsi="Arial" w:cs="Arial"/>
          <w:sz w:val="20"/>
          <w:szCs w:val="20"/>
        </w:rPr>
        <w:t>1</w:t>
      </w:r>
      <w:r w:rsidRPr="0034064D">
        <w:rPr>
          <w:rFonts w:ascii="Arial" w:eastAsia="Arial Unicode MS" w:hAnsi="Arial" w:cs="Arial"/>
          <w:sz w:val="20"/>
          <w:szCs w:val="20"/>
        </w:rPr>
        <w:t xml:space="preserve">, correspondem a folha de pagamento do mês de </w:t>
      </w:r>
      <w:r w:rsidR="00AF7628">
        <w:rPr>
          <w:rFonts w:ascii="Arial" w:eastAsia="Arial Unicode MS" w:hAnsi="Arial" w:cs="Arial"/>
          <w:sz w:val="20"/>
          <w:szCs w:val="20"/>
        </w:rPr>
        <w:t>junho</w:t>
      </w:r>
      <w:r w:rsidRPr="0034064D">
        <w:rPr>
          <w:rFonts w:ascii="Arial" w:eastAsia="Arial Unicode MS" w:hAnsi="Arial" w:cs="Arial"/>
          <w:sz w:val="20"/>
          <w:szCs w:val="20"/>
        </w:rPr>
        <w:t xml:space="preserve">, cujo pagamento ocorreu no mês </w:t>
      </w:r>
      <w:r w:rsidR="007B7427">
        <w:rPr>
          <w:rFonts w:ascii="Arial" w:eastAsia="Arial Unicode MS" w:hAnsi="Arial" w:cs="Arial"/>
          <w:sz w:val="20"/>
          <w:szCs w:val="20"/>
        </w:rPr>
        <w:t>subsequente</w:t>
      </w:r>
      <w:r>
        <w:rPr>
          <w:rFonts w:ascii="Arial" w:eastAsia="Arial Unicode MS" w:hAnsi="Arial" w:cs="Arial"/>
          <w:sz w:val="20"/>
          <w:szCs w:val="20"/>
        </w:rPr>
        <w:t>.</w:t>
      </w:r>
    </w:p>
    <w:p w14:paraId="4D36B136" w14:textId="77777777" w:rsidR="00BA2679" w:rsidRPr="0034064D" w:rsidRDefault="00BA2679" w:rsidP="00BA2679">
      <w:pPr>
        <w:spacing w:after="40"/>
        <w:rPr>
          <w:rFonts w:ascii="Arial" w:eastAsia="Arial Unicode MS" w:hAnsi="Arial" w:cs="Arial"/>
          <w:sz w:val="20"/>
          <w:szCs w:val="20"/>
        </w:rPr>
      </w:pPr>
    </w:p>
    <w:p w14:paraId="587DB37A" w14:textId="77777777" w:rsidR="00764E00" w:rsidRDefault="00764E00" w:rsidP="00BA2679">
      <w:pPr>
        <w:spacing w:after="240"/>
        <w:ind w:firstLine="284"/>
        <w:rPr>
          <w:rFonts w:ascii="Arial" w:eastAsia="Arial Unicode MS" w:hAnsi="Arial" w:cs="Arial"/>
          <w:b/>
          <w:color w:val="C45911" w:themeColor="accent2" w:themeShade="BF"/>
          <w:sz w:val="24"/>
          <w:szCs w:val="24"/>
        </w:rPr>
      </w:pPr>
    </w:p>
    <w:p w14:paraId="463933D1" w14:textId="47851B86"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lastRenderedPageBreak/>
        <w:t>Nota 9 – Obrigações a Curto e Longo Prazo</w:t>
      </w:r>
    </w:p>
    <w:p w14:paraId="1B85B28B" w14:textId="12855688"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632559">
        <w:rPr>
          <w:rFonts w:ascii="Arial" w:eastAsia="Arial Unicode MS" w:hAnsi="Arial" w:cs="Arial"/>
          <w:sz w:val="20"/>
          <w:szCs w:val="20"/>
        </w:rPr>
        <w:t>31/</w:t>
      </w:r>
      <w:r w:rsidR="00203F5C">
        <w:rPr>
          <w:rFonts w:ascii="Arial" w:eastAsia="Arial Unicode MS" w:hAnsi="Arial" w:cs="Arial"/>
          <w:sz w:val="20"/>
          <w:szCs w:val="20"/>
        </w:rPr>
        <w:t>03</w:t>
      </w:r>
      <w:r w:rsidR="00170F6E">
        <w:rPr>
          <w:rFonts w:ascii="Arial" w:eastAsia="Arial Unicode MS" w:hAnsi="Arial" w:cs="Arial"/>
          <w:sz w:val="20"/>
          <w:szCs w:val="20"/>
        </w:rPr>
        <w:t>/202</w:t>
      </w:r>
      <w:r w:rsidR="00203F5C">
        <w:rPr>
          <w:rFonts w:ascii="Arial" w:eastAsia="Arial Unicode MS" w:hAnsi="Arial" w:cs="Arial"/>
          <w:sz w:val="20"/>
          <w:szCs w:val="20"/>
        </w:rPr>
        <w:t>1</w:t>
      </w:r>
      <w:r w:rsidRPr="00C544CF">
        <w:rPr>
          <w:rFonts w:ascii="Arial" w:eastAsia="Arial Unicode MS" w:hAnsi="Arial" w:cs="Arial"/>
          <w:sz w:val="20"/>
          <w:szCs w:val="20"/>
        </w:rPr>
        <w:t xml:space="preserve">, o IFRS apresentou um saldo de R$ </w:t>
      </w:r>
      <w:r w:rsidR="00203F5C">
        <w:rPr>
          <w:rFonts w:ascii="Arial" w:eastAsia="Arial Unicode MS" w:hAnsi="Arial" w:cs="Arial"/>
          <w:sz w:val="20"/>
          <w:szCs w:val="20"/>
        </w:rPr>
        <w:t>5</w:t>
      </w:r>
      <w:r w:rsidR="004A30FB">
        <w:rPr>
          <w:rFonts w:ascii="Arial" w:eastAsia="Arial Unicode MS" w:hAnsi="Arial" w:cs="Arial"/>
          <w:sz w:val="20"/>
          <w:szCs w:val="20"/>
        </w:rPr>
        <w:t>1,5</w:t>
      </w:r>
      <w:r w:rsidRPr="00C544CF">
        <w:rPr>
          <w:rFonts w:ascii="Arial" w:eastAsia="Arial Unicode MS" w:hAnsi="Arial" w:cs="Arial"/>
          <w:sz w:val="20"/>
          <w:szCs w:val="20"/>
        </w:rPr>
        <w:t xml:space="preserve"> milhões de obrigações a curto e longo prazo, sendo </w:t>
      </w:r>
      <w:r w:rsidR="0099310A">
        <w:rPr>
          <w:rFonts w:ascii="Arial" w:eastAsia="Arial Unicode MS" w:hAnsi="Arial" w:cs="Arial"/>
          <w:sz w:val="20"/>
          <w:szCs w:val="20"/>
        </w:rPr>
        <w:t xml:space="preserve">em sua maior </w:t>
      </w:r>
      <w:proofErr w:type="gramStart"/>
      <w:r w:rsidR="0099310A">
        <w:rPr>
          <w:rFonts w:ascii="Arial" w:eastAsia="Arial Unicode MS" w:hAnsi="Arial" w:cs="Arial"/>
          <w:sz w:val="20"/>
          <w:szCs w:val="20"/>
        </w:rPr>
        <w:t xml:space="preserve">parte </w:t>
      </w:r>
      <w:r w:rsidRPr="00C544CF">
        <w:rPr>
          <w:rFonts w:ascii="Arial" w:eastAsia="Arial Unicode MS" w:hAnsi="Arial" w:cs="Arial"/>
          <w:sz w:val="20"/>
          <w:szCs w:val="20"/>
        </w:rPr>
        <w:t xml:space="preserve"> de</w:t>
      </w:r>
      <w:proofErr w:type="gramEnd"/>
      <w:r w:rsidRPr="00C544CF">
        <w:rPr>
          <w:rFonts w:ascii="Arial" w:eastAsia="Arial Unicode MS" w:hAnsi="Arial" w:cs="Arial"/>
          <w:sz w:val="20"/>
          <w:szCs w:val="20"/>
        </w:rPr>
        <w:t xml:space="preserve"> obrigações a curto prazo, ou seja, que deverão ser pagos dentro de um prazo de doze meses seguintes, conforme tabela a seguir.</w:t>
      </w:r>
    </w:p>
    <w:p w14:paraId="7C0A735C" w14:textId="0470037F" w:rsidR="004A30FB" w:rsidRDefault="004A30FB" w:rsidP="00BA2679">
      <w:pPr>
        <w:spacing w:after="40"/>
        <w:rPr>
          <w:rFonts w:ascii="Arial" w:eastAsia="Arial Unicode MS" w:hAnsi="Arial" w:cs="Arial"/>
          <w:sz w:val="20"/>
          <w:szCs w:val="20"/>
        </w:rPr>
      </w:pPr>
      <w:r w:rsidRPr="004A30FB">
        <w:rPr>
          <w:rFonts w:ascii="Arial" w:eastAsia="Arial Unicode MS" w:hAnsi="Arial" w:cs="Arial"/>
          <w:noProof/>
          <w:sz w:val="20"/>
          <w:szCs w:val="20"/>
        </w:rPr>
        <w:drawing>
          <wp:inline distT="0" distB="0" distL="0" distR="0" wp14:anchorId="2FCF4D86" wp14:editId="524D8EE7">
            <wp:extent cx="5724525" cy="1781175"/>
            <wp:effectExtent l="0" t="0" r="9525" b="952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1781175"/>
                    </a:xfrm>
                    <a:prstGeom prst="rect">
                      <a:avLst/>
                    </a:prstGeom>
                    <a:noFill/>
                    <a:ln>
                      <a:noFill/>
                    </a:ln>
                  </pic:spPr>
                </pic:pic>
              </a:graphicData>
            </a:graphic>
          </wp:inline>
        </w:drawing>
      </w:r>
    </w:p>
    <w:p w14:paraId="1C8F7D3E" w14:textId="77777777" w:rsidR="00522A33" w:rsidRDefault="00522A33" w:rsidP="00BA2679">
      <w:pPr>
        <w:spacing w:after="40"/>
        <w:rPr>
          <w:rFonts w:ascii="Arial" w:eastAsia="Arial Unicode MS" w:hAnsi="Arial" w:cs="Arial"/>
          <w:sz w:val="20"/>
          <w:szCs w:val="20"/>
        </w:rPr>
      </w:pPr>
    </w:p>
    <w:p w14:paraId="5119E8F8" w14:textId="00DA2122"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A maior parte do passivo do IFRS com obrigações se refere a demais obrigações a curto prazo, que representam </w:t>
      </w:r>
      <w:r w:rsidR="004A30FB">
        <w:rPr>
          <w:rFonts w:ascii="Arial" w:eastAsia="Arial Unicode MS" w:hAnsi="Arial" w:cs="Arial"/>
          <w:sz w:val="20"/>
          <w:szCs w:val="20"/>
        </w:rPr>
        <w:t>97</w:t>
      </w:r>
      <w:r w:rsidRPr="00C544CF">
        <w:rPr>
          <w:rFonts w:ascii="Arial" w:eastAsia="Arial Unicode MS" w:hAnsi="Arial" w:cs="Arial"/>
          <w:sz w:val="20"/>
          <w:szCs w:val="20"/>
        </w:rPr>
        <w:t>% do total.</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57952B9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sidR="00A71CB0">
        <w:rPr>
          <w:rFonts w:ascii="Arial" w:eastAsia="Arial Unicode MS" w:hAnsi="Arial" w:cs="Arial"/>
          <w:sz w:val="20"/>
          <w:szCs w:val="20"/>
        </w:rPr>
        <w:t>30/06</w:t>
      </w:r>
      <w:r w:rsidR="00BC7972">
        <w:rPr>
          <w:rFonts w:ascii="Arial" w:eastAsia="Arial Unicode MS" w:hAnsi="Arial" w:cs="Arial"/>
          <w:sz w:val="20"/>
          <w:szCs w:val="20"/>
        </w:rPr>
        <w:t>/202</w:t>
      </w:r>
      <w:r w:rsidR="005B58A0">
        <w:rPr>
          <w:rFonts w:ascii="Arial" w:eastAsia="Arial Unicode MS" w:hAnsi="Arial" w:cs="Arial"/>
          <w:sz w:val="20"/>
          <w:szCs w:val="20"/>
        </w:rPr>
        <w:t>1</w:t>
      </w:r>
      <w:r w:rsidRPr="00C544CF">
        <w:rPr>
          <w:rFonts w:ascii="Arial" w:eastAsia="Arial Unicode MS" w:hAnsi="Arial" w:cs="Arial"/>
          <w:sz w:val="20"/>
          <w:szCs w:val="20"/>
        </w:rPr>
        <w:t xml:space="preserve">. </w:t>
      </w:r>
      <w:r w:rsidR="00A71CB0">
        <w:rPr>
          <w:rFonts w:ascii="Arial" w:eastAsia="Arial Unicode MS" w:hAnsi="Arial" w:cs="Arial"/>
          <w:sz w:val="20"/>
          <w:szCs w:val="20"/>
        </w:rPr>
        <w:t>O Campus Porto Alegre, Rio Grande e Reitoria</w:t>
      </w:r>
      <w:r w:rsidR="00F16ECF">
        <w:rPr>
          <w:rFonts w:ascii="Arial" w:eastAsia="Arial Unicode MS" w:hAnsi="Arial" w:cs="Arial"/>
          <w:sz w:val="20"/>
          <w:szCs w:val="20"/>
        </w:rPr>
        <w:t xml:space="preserve"> </w:t>
      </w:r>
      <w:r w:rsidRPr="00C544CF">
        <w:rPr>
          <w:rFonts w:ascii="Arial" w:eastAsia="Arial Unicode MS" w:hAnsi="Arial" w:cs="Arial"/>
          <w:sz w:val="20"/>
          <w:szCs w:val="20"/>
        </w:rPr>
        <w:t>destacam-se entre as Unidades com os maiores saldos a pagar</w:t>
      </w:r>
      <w:r w:rsidR="00EF15EF">
        <w:rPr>
          <w:rFonts w:ascii="Arial" w:eastAsia="Arial Unicode MS" w:hAnsi="Arial" w:cs="Arial"/>
          <w:sz w:val="20"/>
          <w:szCs w:val="20"/>
        </w:rPr>
        <w:t xml:space="preserve">, representando </w:t>
      </w:r>
      <w:r w:rsidR="00A71CB0">
        <w:rPr>
          <w:rFonts w:ascii="Arial" w:eastAsia="Arial Unicode MS" w:hAnsi="Arial" w:cs="Arial"/>
          <w:sz w:val="20"/>
          <w:szCs w:val="20"/>
        </w:rPr>
        <w:t>38%</w:t>
      </w:r>
      <w:r w:rsidR="00EF15EF">
        <w:rPr>
          <w:rFonts w:ascii="Arial" w:eastAsia="Arial Unicode MS" w:hAnsi="Arial" w:cs="Arial"/>
          <w:sz w:val="20"/>
          <w:szCs w:val="20"/>
        </w:rPr>
        <w:t xml:space="preserve"> do montante.</w:t>
      </w:r>
    </w:p>
    <w:p w14:paraId="5024FB74" w14:textId="258128C4"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sidR="00A71CB0">
        <w:rPr>
          <w:rFonts w:ascii="Arial" w:eastAsia="Arial Unicode MS" w:hAnsi="Arial" w:cs="Arial"/>
          <w:sz w:val="20"/>
          <w:szCs w:val="20"/>
        </w:rPr>
        <w:t>30/06</w:t>
      </w:r>
      <w:r w:rsidR="005B58A0">
        <w:rPr>
          <w:rFonts w:ascii="Arial" w:eastAsia="Arial Unicode MS" w:hAnsi="Arial" w:cs="Arial"/>
          <w:sz w:val="20"/>
          <w:szCs w:val="20"/>
        </w:rPr>
        <w:t>/2021</w:t>
      </w:r>
      <w:r w:rsidRPr="00C544CF">
        <w:rPr>
          <w:rFonts w:ascii="Arial" w:eastAsia="Arial Unicode MS" w:hAnsi="Arial" w:cs="Arial"/>
          <w:sz w:val="20"/>
          <w:szCs w:val="20"/>
        </w:rPr>
        <w:t xml:space="preserve"> </w:t>
      </w:r>
      <w:r w:rsidR="005B58A0">
        <w:rPr>
          <w:rFonts w:ascii="Arial" w:eastAsia="Arial Unicode MS" w:hAnsi="Arial" w:cs="Arial"/>
          <w:sz w:val="20"/>
          <w:szCs w:val="20"/>
        </w:rPr>
        <w:t>aumentou</w:t>
      </w:r>
      <w:r w:rsidR="00BC7972">
        <w:rPr>
          <w:rFonts w:ascii="Arial" w:eastAsia="Arial Unicode MS" w:hAnsi="Arial" w:cs="Arial"/>
          <w:sz w:val="20"/>
          <w:szCs w:val="20"/>
        </w:rPr>
        <w:t xml:space="preserve"> </w:t>
      </w:r>
      <w:r w:rsidRPr="00C544CF">
        <w:rPr>
          <w:rFonts w:ascii="Arial" w:eastAsia="Arial Unicode MS" w:hAnsi="Arial" w:cs="Arial"/>
          <w:sz w:val="20"/>
          <w:szCs w:val="20"/>
        </w:rPr>
        <w:t xml:space="preserve">em aproximadamente em </w:t>
      </w:r>
      <w:r w:rsidR="00A71CB0">
        <w:rPr>
          <w:rFonts w:ascii="Arial" w:eastAsia="Arial Unicode MS" w:hAnsi="Arial" w:cs="Arial"/>
          <w:sz w:val="20"/>
          <w:szCs w:val="20"/>
        </w:rPr>
        <w:t>165</w:t>
      </w:r>
      <w:r w:rsidR="00BC7972">
        <w:rPr>
          <w:rFonts w:ascii="Arial" w:eastAsia="Arial Unicode MS" w:hAnsi="Arial" w:cs="Arial"/>
          <w:sz w:val="20"/>
          <w:szCs w:val="20"/>
        </w:rPr>
        <w:t xml:space="preserve">% em </w:t>
      </w:r>
      <w:r w:rsidRPr="00C544CF">
        <w:rPr>
          <w:rFonts w:ascii="Arial" w:eastAsia="Arial Unicode MS" w:hAnsi="Arial" w:cs="Arial"/>
          <w:sz w:val="20"/>
          <w:szCs w:val="20"/>
        </w:rPr>
        <w:t xml:space="preserve">comparação a </w:t>
      </w:r>
      <w:r w:rsidR="009919A0">
        <w:rPr>
          <w:rFonts w:ascii="Arial" w:eastAsia="Arial Unicode MS" w:hAnsi="Arial" w:cs="Arial"/>
          <w:sz w:val="20"/>
          <w:szCs w:val="20"/>
        </w:rPr>
        <w:t>31/12</w:t>
      </w:r>
      <w:r w:rsidRPr="00C544CF">
        <w:rPr>
          <w:rFonts w:ascii="Arial" w:eastAsia="Arial Unicode MS" w:hAnsi="Arial" w:cs="Arial"/>
          <w:sz w:val="20"/>
          <w:szCs w:val="20"/>
        </w:rPr>
        <w:t>/20</w:t>
      </w:r>
      <w:r w:rsidR="005B58A0">
        <w:rPr>
          <w:rFonts w:ascii="Arial" w:eastAsia="Arial Unicode MS" w:hAnsi="Arial" w:cs="Arial"/>
          <w:sz w:val="20"/>
          <w:szCs w:val="20"/>
        </w:rPr>
        <w:t>20</w:t>
      </w:r>
      <w:r w:rsidRPr="00C544CF">
        <w:rPr>
          <w:rFonts w:ascii="Arial" w:eastAsia="Arial Unicode MS" w:hAnsi="Arial" w:cs="Arial"/>
          <w:sz w:val="20"/>
          <w:szCs w:val="20"/>
        </w:rPr>
        <w:t xml:space="preserve">. </w:t>
      </w:r>
      <w:r w:rsidR="00A71CB0">
        <w:rPr>
          <w:rFonts w:ascii="Arial" w:eastAsia="Arial Unicode MS" w:hAnsi="Arial" w:cs="Arial"/>
          <w:sz w:val="20"/>
          <w:szCs w:val="20"/>
        </w:rPr>
        <w:t>O Campus Porto Alegre</w:t>
      </w:r>
      <w:r w:rsidR="00F16ECF">
        <w:rPr>
          <w:rFonts w:ascii="Arial" w:eastAsia="Arial Unicode MS" w:hAnsi="Arial" w:cs="Arial"/>
          <w:sz w:val="20"/>
          <w:szCs w:val="20"/>
        </w:rPr>
        <w:t xml:space="preserve"> </w:t>
      </w:r>
      <w:r w:rsidRPr="00C544CF">
        <w:rPr>
          <w:rFonts w:ascii="Arial" w:eastAsia="Arial Unicode MS" w:hAnsi="Arial" w:cs="Arial"/>
          <w:sz w:val="20"/>
          <w:szCs w:val="20"/>
        </w:rPr>
        <w:t xml:space="preserve">que nesta data tem o maior saldo a pagar na ordem de R$ </w:t>
      </w:r>
      <w:r w:rsidR="00837901">
        <w:rPr>
          <w:rFonts w:ascii="Arial" w:eastAsia="Arial Unicode MS" w:hAnsi="Arial" w:cs="Arial"/>
          <w:sz w:val="20"/>
          <w:szCs w:val="20"/>
        </w:rPr>
        <w:t>247 mil</w:t>
      </w:r>
      <w:r>
        <w:rPr>
          <w:rFonts w:ascii="Arial" w:eastAsia="Arial Unicode MS" w:hAnsi="Arial" w:cs="Arial"/>
          <w:sz w:val="20"/>
          <w:szCs w:val="20"/>
        </w:rPr>
        <w:t xml:space="preserve">, </w:t>
      </w:r>
      <w:r w:rsidR="00AF3E0C">
        <w:rPr>
          <w:rFonts w:ascii="Arial" w:eastAsia="Arial Unicode MS" w:hAnsi="Arial" w:cs="Arial"/>
          <w:sz w:val="20"/>
          <w:szCs w:val="20"/>
        </w:rPr>
        <w:t xml:space="preserve">elevou </w:t>
      </w:r>
      <w:r w:rsidR="009F0309">
        <w:rPr>
          <w:rFonts w:ascii="Arial" w:eastAsia="Arial Unicode MS" w:hAnsi="Arial" w:cs="Arial"/>
          <w:sz w:val="20"/>
          <w:szCs w:val="20"/>
        </w:rPr>
        <w:t xml:space="preserve">seu saldo em R$ </w:t>
      </w:r>
      <w:r w:rsidR="00837901">
        <w:rPr>
          <w:rFonts w:ascii="Arial" w:eastAsia="Arial Unicode MS" w:hAnsi="Arial" w:cs="Arial"/>
          <w:sz w:val="20"/>
          <w:szCs w:val="20"/>
        </w:rPr>
        <w:t>122 mil</w:t>
      </w:r>
      <w:r w:rsidR="00E44FFA">
        <w:rPr>
          <w:rFonts w:ascii="Arial" w:eastAsia="Arial Unicode MS" w:hAnsi="Arial" w:cs="Arial"/>
          <w:sz w:val="20"/>
          <w:szCs w:val="20"/>
        </w:rPr>
        <w:t xml:space="preserve"> em comparação ao </w:t>
      </w:r>
      <w:r w:rsidR="00F16ECF">
        <w:rPr>
          <w:rFonts w:ascii="Arial" w:eastAsia="Arial Unicode MS" w:hAnsi="Arial" w:cs="Arial"/>
          <w:sz w:val="20"/>
          <w:szCs w:val="20"/>
        </w:rPr>
        <w:t>exercício</w:t>
      </w:r>
      <w:r w:rsidR="00E44FFA">
        <w:rPr>
          <w:rFonts w:ascii="Arial" w:eastAsia="Arial Unicode MS" w:hAnsi="Arial" w:cs="Arial"/>
          <w:sz w:val="20"/>
          <w:szCs w:val="20"/>
        </w:rPr>
        <w:t xml:space="preserve"> anterior</w:t>
      </w:r>
      <w:r w:rsidRPr="00C544CF">
        <w:rPr>
          <w:rFonts w:ascii="Arial" w:eastAsia="Arial Unicode MS" w:hAnsi="Arial" w:cs="Arial"/>
          <w:sz w:val="20"/>
          <w:szCs w:val="20"/>
        </w:rPr>
        <w:t xml:space="preserve">. </w:t>
      </w:r>
      <w:r w:rsidR="005B58A0">
        <w:rPr>
          <w:rFonts w:ascii="Arial" w:eastAsia="Arial Unicode MS" w:hAnsi="Arial" w:cs="Arial"/>
          <w:sz w:val="20"/>
          <w:szCs w:val="20"/>
        </w:rPr>
        <w:t xml:space="preserve">Já os Campi </w:t>
      </w:r>
      <w:r w:rsidR="00837901">
        <w:rPr>
          <w:rFonts w:ascii="Arial" w:eastAsia="Arial Unicode MS" w:hAnsi="Arial" w:cs="Arial"/>
          <w:sz w:val="20"/>
          <w:szCs w:val="20"/>
        </w:rPr>
        <w:t>Bento, Sertão e Ibirubá</w:t>
      </w:r>
      <w:r w:rsidR="005B58A0">
        <w:rPr>
          <w:rFonts w:ascii="Arial" w:eastAsia="Arial Unicode MS" w:hAnsi="Arial" w:cs="Arial"/>
          <w:sz w:val="20"/>
          <w:szCs w:val="20"/>
        </w:rPr>
        <w:t xml:space="preserve"> apresentavam saldo zero no exercício anterior e assumiram compromissos no montante de R$ </w:t>
      </w:r>
      <w:r w:rsidR="00837901">
        <w:rPr>
          <w:rFonts w:ascii="Arial" w:eastAsia="Arial Unicode MS" w:hAnsi="Arial" w:cs="Arial"/>
          <w:sz w:val="20"/>
          <w:szCs w:val="20"/>
        </w:rPr>
        <w:t>146, R$ 125</w:t>
      </w:r>
      <w:r w:rsidR="005B58A0">
        <w:rPr>
          <w:rFonts w:ascii="Arial" w:eastAsia="Arial Unicode MS" w:hAnsi="Arial" w:cs="Arial"/>
          <w:sz w:val="20"/>
          <w:szCs w:val="20"/>
        </w:rPr>
        <w:t xml:space="preserve"> e R$ </w:t>
      </w:r>
      <w:r w:rsidR="00837901">
        <w:rPr>
          <w:rFonts w:ascii="Arial" w:eastAsia="Arial Unicode MS" w:hAnsi="Arial" w:cs="Arial"/>
          <w:sz w:val="20"/>
          <w:szCs w:val="20"/>
        </w:rPr>
        <w:t>117</w:t>
      </w:r>
      <w:r w:rsidR="005B58A0">
        <w:rPr>
          <w:rFonts w:ascii="Arial" w:eastAsia="Arial Unicode MS" w:hAnsi="Arial" w:cs="Arial"/>
          <w:sz w:val="20"/>
          <w:szCs w:val="20"/>
        </w:rPr>
        <w:t xml:space="preserve"> mil, respectivamente</w:t>
      </w:r>
      <w:r w:rsidR="00837901">
        <w:rPr>
          <w:rFonts w:ascii="Arial" w:eastAsia="Arial Unicode MS" w:hAnsi="Arial" w:cs="Arial"/>
          <w:sz w:val="20"/>
          <w:szCs w:val="20"/>
        </w:rPr>
        <w:t>,</w:t>
      </w:r>
      <w:r w:rsidR="005B58A0">
        <w:rPr>
          <w:rFonts w:ascii="Arial" w:eastAsia="Arial Unicode MS" w:hAnsi="Arial" w:cs="Arial"/>
          <w:sz w:val="20"/>
          <w:szCs w:val="20"/>
        </w:rPr>
        <w:t xml:space="preserve"> </w:t>
      </w:r>
      <w:r w:rsidR="009F0309">
        <w:rPr>
          <w:rFonts w:ascii="Arial" w:eastAsia="Arial Unicode MS" w:hAnsi="Arial" w:cs="Arial"/>
          <w:sz w:val="20"/>
          <w:szCs w:val="20"/>
        </w:rPr>
        <w:t xml:space="preserve">o que </w:t>
      </w:r>
      <w:r w:rsidR="00A51483">
        <w:rPr>
          <w:rFonts w:ascii="Arial" w:eastAsia="Arial Unicode MS" w:hAnsi="Arial" w:cs="Arial"/>
          <w:sz w:val="20"/>
          <w:szCs w:val="20"/>
        </w:rPr>
        <w:t xml:space="preserve">contribuiu significativamente para </w:t>
      </w:r>
      <w:r w:rsidR="005B58A0">
        <w:rPr>
          <w:rFonts w:ascii="Arial" w:eastAsia="Arial Unicode MS" w:hAnsi="Arial" w:cs="Arial"/>
          <w:sz w:val="20"/>
          <w:szCs w:val="20"/>
        </w:rPr>
        <w:t xml:space="preserve">o acréscimo </w:t>
      </w:r>
      <w:r w:rsidR="009F0309">
        <w:rPr>
          <w:rFonts w:ascii="Arial" w:eastAsia="Arial Unicode MS" w:hAnsi="Arial" w:cs="Arial"/>
          <w:sz w:val="20"/>
          <w:szCs w:val="20"/>
        </w:rPr>
        <w:t xml:space="preserve">de mais de R$ </w:t>
      </w:r>
      <w:r w:rsidR="00837901">
        <w:rPr>
          <w:rFonts w:ascii="Arial" w:eastAsia="Arial Unicode MS" w:hAnsi="Arial" w:cs="Arial"/>
          <w:sz w:val="20"/>
          <w:szCs w:val="20"/>
        </w:rPr>
        <w:t>1,1</w:t>
      </w:r>
      <w:r w:rsidR="00A51483">
        <w:rPr>
          <w:rFonts w:ascii="Arial" w:eastAsia="Arial Unicode MS" w:hAnsi="Arial" w:cs="Arial"/>
          <w:sz w:val="20"/>
          <w:szCs w:val="20"/>
        </w:rPr>
        <w:t xml:space="preserve"> milhões </w:t>
      </w:r>
      <w:r w:rsidR="00985BFF">
        <w:rPr>
          <w:rFonts w:ascii="Arial" w:eastAsia="Arial Unicode MS" w:hAnsi="Arial" w:cs="Arial"/>
          <w:sz w:val="20"/>
          <w:szCs w:val="20"/>
        </w:rPr>
        <w:t xml:space="preserve">sobre o montante </w:t>
      </w:r>
      <w:r w:rsidR="00A51483">
        <w:rPr>
          <w:rFonts w:ascii="Arial" w:eastAsia="Arial Unicode MS" w:hAnsi="Arial" w:cs="Arial"/>
          <w:sz w:val="20"/>
          <w:szCs w:val="20"/>
        </w:rPr>
        <w:t xml:space="preserve">total </w:t>
      </w:r>
      <w:r w:rsidR="00985BFF">
        <w:rPr>
          <w:rFonts w:ascii="Arial" w:eastAsia="Arial Unicode MS" w:hAnsi="Arial" w:cs="Arial"/>
          <w:sz w:val="20"/>
          <w:szCs w:val="20"/>
        </w:rPr>
        <w:t xml:space="preserve">a pagar </w:t>
      </w:r>
      <w:r w:rsidR="00A51483">
        <w:rPr>
          <w:rFonts w:ascii="Arial" w:eastAsia="Arial Unicode MS" w:hAnsi="Arial" w:cs="Arial"/>
          <w:sz w:val="20"/>
          <w:szCs w:val="20"/>
        </w:rPr>
        <w:t>até o final d</w:t>
      </w:r>
      <w:r w:rsidR="00985BFF">
        <w:rPr>
          <w:rFonts w:ascii="Arial" w:eastAsia="Arial Unicode MS" w:hAnsi="Arial" w:cs="Arial"/>
          <w:sz w:val="20"/>
          <w:szCs w:val="20"/>
        </w:rPr>
        <w:t xml:space="preserve">o trimestre </w:t>
      </w:r>
      <w:r w:rsidR="00A51483">
        <w:rPr>
          <w:rFonts w:ascii="Arial" w:eastAsia="Arial Unicode MS" w:hAnsi="Arial" w:cs="Arial"/>
          <w:sz w:val="20"/>
          <w:szCs w:val="20"/>
        </w:rPr>
        <w:t xml:space="preserve">na ordem de </w:t>
      </w:r>
      <w:r w:rsidR="009F0309">
        <w:rPr>
          <w:rFonts w:ascii="Arial" w:eastAsia="Arial Unicode MS" w:hAnsi="Arial" w:cs="Arial"/>
          <w:sz w:val="20"/>
          <w:szCs w:val="20"/>
        </w:rPr>
        <w:t xml:space="preserve">R$ </w:t>
      </w:r>
      <w:r w:rsidR="00837901">
        <w:rPr>
          <w:rFonts w:ascii="Arial" w:eastAsia="Arial Unicode MS" w:hAnsi="Arial" w:cs="Arial"/>
          <w:sz w:val="20"/>
          <w:szCs w:val="20"/>
        </w:rPr>
        <w:t>1,77</w:t>
      </w:r>
      <w:r w:rsidR="005B58A0">
        <w:rPr>
          <w:rFonts w:ascii="Arial" w:eastAsia="Arial Unicode MS" w:hAnsi="Arial" w:cs="Arial"/>
          <w:sz w:val="20"/>
          <w:szCs w:val="20"/>
        </w:rPr>
        <w:t xml:space="preserve"> milhões</w:t>
      </w:r>
      <w:r w:rsidR="009F0309">
        <w:rPr>
          <w:rFonts w:ascii="Arial" w:eastAsia="Arial Unicode MS" w:hAnsi="Arial" w:cs="Arial"/>
          <w:sz w:val="20"/>
          <w:szCs w:val="20"/>
        </w:rPr>
        <w:t>.</w:t>
      </w:r>
    </w:p>
    <w:p w14:paraId="78B526DE" w14:textId="0CAF27B8" w:rsidR="00A71CB0" w:rsidRDefault="00A71CB0" w:rsidP="00BA2679">
      <w:pPr>
        <w:spacing w:after="40"/>
        <w:rPr>
          <w:rFonts w:ascii="Arial" w:eastAsia="Arial Unicode MS" w:hAnsi="Arial" w:cs="Arial"/>
          <w:sz w:val="20"/>
          <w:szCs w:val="20"/>
        </w:rPr>
      </w:pPr>
      <w:r w:rsidRPr="00A71CB0">
        <w:rPr>
          <w:rFonts w:ascii="Arial" w:eastAsia="Arial Unicode MS" w:hAnsi="Arial" w:cs="Arial"/>
          <w:noProof/>
          <w:sz w:val="20"/>
          <w:szCs w:val="20"/>
        </w:rPr>
        <w:drawing>
          <wp:inline distT="0" distB="0" distL="0" distR="0" wp14:anchorId="185C2FCC" wp14:editId="78DFF56F">
            <wp:extent cx="6479540" cy="394335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3943350"/>
                    </a:xfrm>
                    <a:prstGeom prst="rect">
                      <a:avLst/>
                    </a:prstGeom>
                    <a:noFill/>
                    <a:ln>
                      <a:noFill/>
                    </a:ln>
                  </pic:spPr>
                </pic:pic>
              </a:graphicData>
            </a:graphic>
          </wp:inline>
        </w:drawing>
      </w:r>
    </w:p>
    <w:p w14:paraId="4A9150A8" w14:textId="43D00929" w:rsidR="00D4497E" w:rsidRDefault="00D4497E" w:rsidP="00BA2679">
      <w:pPr>
        <w:spacing w:after="40"/>
        <w:rPr>
          <w:rFonts w:ascii="Arial" w:eastAsia="Arial Unicode MS" w:hAnsi="Arial" w:cs="Arial"/>
          <w:sz w:val="20"/>
          <w:szCs w:val="20"/>
        </w:rPr>
      </w:pPr>
    </w:p>
    <w:p w14:paraId="1EFC325A" w14:textId="6BD91DF3" w:rsidR="00D4497E" w:rsidRDefault="00D4497E" w:rsidP="00BA2679">
      <w:pPr>
        <w:spacing w:after="40"/>
        <w:rPr>
          <w:rFonts w:ascii="Arial" w:eastAsia="Arial Unicode MS" w:hAnsi="Arial" w:cs="Arial"/>
          <w:sz w:val="20"/>
          <w:szCs w:val="20"/>
        </w:rPr>
      </w:pPr>
    </w:p>
    <w:p w14:paraId="7C9442C5" w14:textId="77777777" w:rsidR="00EF15EF" w:rsidRDefault="00EF15EF" w:rsidP="00BA2679">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lastRenderedPageBreak/>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2E453314" w14:textId="6422AE24"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450155">
        <w:rPr>
          <w:rFonts w:ascii="Arial" w:eastAsia="Arial Unicode MS" w:hAnsi="Arial" w:cs="Arial"/>
          <w:sz w:val="20"/>
          <w:szCs w:val="20"/>
        </w:rPr>
        <w:t>30/06</w:t>
      </w:r>
      <w:r w:rsidR="00567B75">
        <w:rPr>
          <w:rFonts w:ascii="Arial" w:eastAsia="Arial Unicode MS" w:hAnsi="Arial" w:cs="Arial"/>
          <w:sz w:val="20"/>
          <w:szCs w:val="20"/>
        </w:rPr>
        <w:t>/202</w:t>
      </w:r>
      <w:r w:rsidR="00386A9E">
        <w:rPr>
          <w:rFonts w:ascii="Arial" w:eastAsia="Arial Unicode MS" w:hAnsi="Arial" w:cs="Arial"/>
          <w:sz w:val="20"/>
          <w:szCs w:val="20"/>
        </w:rPr>
        <w:t>1</w:t>
      </w:r>
      <w:r w:rsidRPr="00C544CF">
        <w:rPr>
          <w:rFonts w:ascii="Arial" w:eastAsia="Arial Unicode MS" w:hAnsi="Arial" w:cs="Arial"/>
          <w:sz w:val="20"/>
          <w:szCs w:val="20"/>
        </w:rPr>
        <w:t xml:space="preserve">, </w:t>
      </w:r>
      <w:r w:rsidR="00450155">
        <w:rPr>
          <w:rFonts w:ascii="Arial" w:eastAsia="Arial Unicode MS" w:hAnsi="Arial" w:cs="Arial"/>
          <w:sz w:val="20"/>
          <w:szCs w:val="20"/>
        </w:rPr>
        <w:t>130</w:t>
      </w:r>
      <w:r w:rsidRPr="00C544CF">
        <w:rPr>
          <w:rFonts w:ascii="Arial" w:eastAsia="Arial Unicode MS" w:hAnsi="Arial" w:cs="Arial"/>
          <w:sz w:val="20"/>
          <w:szCs w:val="20"/>
        </w:rPr>
        <w:t xml:space="preserve"> fornecedores possuíam créditos com o IFRS. Desse total, </w:t>
      </w:r>
      <w:r w:rsidR="007A0FB0">
        <w:rPr>
          <w:rFonts w:ascii="Arial" w:eastAsia="Arial Unicode MS" w:hAnsi="Arial" w:cs="Arial"/>
          <w:sz w:val="20"/>
          <w:szCs w:val="20"/>
        </w:rPr>
        <w:t>14</w:t>
      </w:r>
      <w:r w:rsidRPr="00C544CF">
        <w:rPr>
          <w:rFonts w:ascii="Arial" w:eastAsia="Arial Unicode MS" w:hAnsi="Arial" w:cs="Arial"/>
          <w:sz w:val="20"/>
          <w:szCs w:val="20"/>
        </w:rPr>
        <w:t xml:space="preserve"> fornecedores (</w:t>
      </w:r>
      <w:r w:rsidR="00450155">
        <w:rPr>
          <w:rFonts w:ascii="Arial" w:eastAsia="Arial Unicode MS" w:hAnsi="Arial" w:cs="Arial"/>
          <w:sz w:val="20"/>
          <w:szCs w:val="20"/>
        </w:rPr>
        <w:t>10</w:t>
      </w:r>
      <w:r w:rsidRPr="00C544CF">
        <w:rPr>
          <w:rFonts w:ascii="Arial" w:eastAsia="Arial Unicode MS" w:hAnsi="Arial" w:cs="Arial"/>
          <w:sz w:val="20"/>
          <w:szCs w:val="20"/>
        </w:rPr>
        <w:t xml:space="preserve">%) representaram </w:t>
      </w:r>
      <w:r w:rsidR="00450155">
        <w:rPr>
          <w:rFonts w:ascii="Arial" w:eastAsia="Arial Unicode MS" w:hAnsi="Arial" w:cs="Arial"/>
          <w:sz w:val="20"/>
          <w:szCs w:val="20"/>
        </w:rPr>
        <w:t>58</w:t>
      </w:r>
      <w:r w:rsidRPr="00C544CF">
        <w:rPr>
          <w:rFonts w:ascii="Arial" w:eastAsia="Arial Unicode MS" w:hAnsi="Arial" w:cs="Arial"/>
          <w:sz w:val="20"/>
          <w:szCs w:val="20"/>
        </w:rPr>
        <w:t xml:space="preserve">% do saldo </w:t>
      </w:r>
      <w:r w:rsidR="007A0FB0">
        <w:rPr>
          <w:rFonts w:ascii="Arial" w:eastAsia="Arial Unicode MS" w:hAnsi="Arial" w:cs="Arial"/>
          <w:sz w:val="20"/>
          <w:szCs w:val="20"/>
        </w:rPr>
        <w:t>total a pagar</w:t>
      </w:r>
      <w:r w:rsidRPr="00C544CF">
        <w:rPr>
          <w:rFonts w:ascii="Arial" w:eastAsia="Arial Unicode MS" w:hAnsi="Arial" w:cs="Arial"/>
          <w:sz w:val="20"/>
          <w:szCs w:val="20"/>
        </w:rPr>
        <w:t xml:space="preserve">, apresentados na </w:t>
      </w:r>
      <w:r w:rsidR="00441F98">
        <w:rPr>
          <w:rFonts w:ascii="Arial" w:eastAsia="Arial Unicode MS" w:hAnsi="Arial" w:cs="Arial"/>
          <w:sz w:val="20"/>
          <w:szCs w:val="20"/>
        </w:rPr>
        <w:t xml:space="preserve">tabela adiante, totalizando R$ </w:t>
      </w:r>
      <w:r w:rsidR="00450155">
        <w:rPr>
          <w:rFonts w:ascii="Arial" w:eastAsia="Arial Unicode MS" w:hAnsi="Arial" w:cs="Arial"/>
          <w:sz w:val="20"/>
          <w:szCs w:val="20"/>
        </w:rPr>
        <w:t>1,77</w:t>
      </w:r>
      <w:r w:rsidR="00AE7A35">
        <w:rPr>
          <w:rFonts w:ascii="Arial" w:eastAsia="Arial Unicode MS" w:hAnsi="Arial" w:cs="Arial"/>
          <w:sz w:val="20"/>
          <w:szCs w:val="20"/>
        </w:rPr>
        <w:t xml:space="preserve"> mil</w:t>
      </w:r>
      <w:r w:rsidR="00386A9E">
        <w:rPr>
          <w:rFonts w:ascii="Arial" w:eastAsia="Arial Unicode MS" w:hAnsi="Arial" w:cs="Arial"/>
          <w:sz w:val="20"/>
          <w:szCs w:val="20"/>
        </w:rPr>
        <w:t>hões</w:t>
      </w:r>
      <w:r w:rsidRPr="00C544CF">
        <w:rPr>
          <w:rFonts w:ascii="Arial" w:eastAsia="Arial Unicode MS" w:hAnsi="Arial" w:cs="Arial"/>
          <w:sz w:val="20"/>
          <w:szCs w:val="20"/>
        </w:rPr>
        <w:t>.</w:t>
      </w:r>
    </w:p>
    <w:p w14:paraId="32F152B5" w14:textId="58889B10" w:rsidR="00450155" w:rsidRDefault="00450155" w:rsidP="00BA2679">
      <w:pPr>
        <w:spacing w:after="40"/>
        <w:rPr>
          <w:rFonts w:ascii="Arial" w:eastAsia="Arial Unicode MS" w:hAnsi="Arial" w:cs="Arial"/>
          <w:sz w:val="20"/>
          <w:szCs w:val="20"/>
        </w:rPr>
      </w:pPr>
      <w:r w:rsidRPr="00450155">
        <w:rPr>
          <w:rFonts w:ascii="Arial" w:eastAsia="Arial Unicode MS" w:hAnsi="Arial" w:cs="Arial"/>
          <w:noProof/>
          <w:sz w:val="20"/>
          <w:szCs w:val="20"/>
        </w:rPr>
        <w:drawing>
          <wp:inline distT="0" distB="0" distL="0" distR="0" wp14:anchorId="63B8364E" wp14:editId="362F8831">
            <wp:extent cx="4953000" cy="339090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0" cy="3390900"/>
                    </a:xfrm>
                    <a:prstGeom prst="rect">
                      <a:avLst/>
                    </a:prstGeom>
                    <a:noFill/>
                    <a:ln>
                      <a:noFill/>
                    </a:ln>
                  </pic:spPr>
                </pic:pic>
              </a:graphicData>
            </a:graphic>
          </wp:inline>
        </w:drawing>
      </w:r>
    </w:p>
    <w:p w14:paraId="70C248CA" w14:textId="77777777" w:rsidR="00D4497E" w:rsidRDefault="00D4497E" w:rsidP="00DD7DE7">
      <w:pPr>
        <w:spacing w:after="40"/>
        <w:rPr>
          <w:rFonts w:ascii="Arial" w:eastAsia="Arial Unicode MS" w:hAnsi="Arial" w:cs="Arial"/>
          <w:sz w:val="20"/>
          <w:szCs w:val="20"/>
        </w:rPr>
      </w:pPr>
    </w:p>
    <w:p w14:paraId="2036EF71" w14:textId="6E1B213C" w:rsidR="00DD7DE7" w:rsidRDefault="00DD7DE7" w:rsidP="00DD7DE7">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a</w:t>
      </w:r>
      <w:r w:rsidRPr="00C544CF">
        <w:rPr>
          <w:rFonts w:ascii="Arial" w:eastAsia="Arial Unicode MS" w:hAnsi="Arial" w:cs="Arial"/>
          <w:sz w:val="20"/>
          <w:szCs w:val="20"/>
        </w:rPr>
        <w:t>)</w:t>
      </w:r>
      <w:r w:rsidRPr="00C544CF">
        <w:rPr>
          <w:rFonts w:ascii="Arial" w:eastAsia="Arial Unicode MS" w:hAnsi="Arial" w:cs="Arial"/>
          <w:sz w:val="20"/>
          <w:szCs w:val="20"/>
        </w:rPr>
        <w:tab/>
      </w:r>
      <w:r w:rsidR="00CC7667">
        <w:rPr>
          <w:rFonts w:ascii="Arial" w:eastAsia="Arial Unicode MS" w:hAnsi="Arial" w:cs="Arial"/>
          <w:sz w:val="20"/>
          <w:szCs w:val="20"/>
        </w:rPr>
        <w:t>LIDER NOTEBOOKS COMERCIO E SERVIÇOS LTDA</w:t>
      </w:r>
      <w:r w:rsidRPr="00C544CF">
        <w:rPr>
          <w:rFonts w:ascii="Arial" w:eastAsia="Arial Unicode MS" w:hAnsi="Arial" w:cs="Arial"/>
          <w:sz w:val="20"/>
          <w:szCs w:val="20"/>
        </w:rPr>
        <w:t xml:space="preserve">: </w:t>
      </w:r>
      <w:r w:rsidR="00F3653C">
        <w:rPr>
          <w:rFonts w:ascii="Arial" w:eastAsia="Arial Unicode MS" w:hAnsi="Arial" w:cs="Arial"/>
          <w:sz w:val="20"/>
          <w:szCs w:val="20"/>
        </w:rPr>
        <w:t>P</w:t>
      </w:r>
      <w:r>
        <w:rPr>
          <w:rFonts w:ascii="Arial" w:eastAsia="Arial Unicode MS" w:hAnsi="Arial" w:cs="Arial"/>
          <w:sz w:val="20"/>
          <w:szCs w:val="20"/>
        </w:rPr>
        <w:t>ela</w:t>
      </w:r>
      <w:r w:rsidR="00F3653C">
        <w:rPr>
          <w:rFonts w:ascii="Arial" w:eastAsia="Arial Unicode MS" w:hAnsi="Arial" w:cs="Arial"/>
          <w:sz w:val="20"/>
          <w:szCs w:val="20"/>
        </w:rPr>
        <w:t xml:space="preserve"> </w:t>
      </w:r>
      <w:r w:rsidR="00CC7667">
        <w:rPr>
          <w:rFonts w:ascii="Arial" w:eastAsia="Arial Unicode MS" w:hAnsi="Arial" w:cs="Arial"/>
          <w:sz w:val="20"/>
          <w:szCs w:val="20"/>
        </w:rPr>
        <w:t xml:space="preserve">aquisição de computadores para estruturação dos laboratórios IF MAKER no IFRS – com recursos do TED 9961; </w:t>
      </w:r>
      <w:r w:rsidR="00397D04">
        <w:rPr>
          <w:rFonts w:ascii="Arial" w:eastAsia="Arial Unicode MS" w:hAnsi="Arial" w:cs="Arial"/>
          <w:sz w:val="20"/>
          <w:szCs w:val="20"/>
        </w:rPr>
        <w:t xml:space="preserve"> </w:t>
      </w:r>
    </w:p>
    <w:p w14:paraId="1DD6C2D3" w14:textId="06A06AF3" w:rsidR="00F403FD" w:rsidRDefault="00F403FD" w:rsidP="00BA2679">
      <w:pPr>
        <w:spacing w:after="40"/>
        <w:rPr>
          <w:rFonts w:ascii="Arial" w:eastAsia="Arial Unicode MS" w:hAnsi="Arial" w:cs="Arial"/>
          <w:sz w:val="20"/>
          <w:szCs w:val="20"/>
        </w:rPr>
      </w:pPr>
      <w:r>
        <w:rPr>
          <w:rFonts w:ascii="Arial" w:eastAsia="Arial Unicode MS" w:hAnsi="Arial" w:cs="Arial"/>
          <w:sz w:val="20"/>
          <w:szCs w:val="20"/>
        </w:rPr>
        <w:t>(</w:t>
      </w:r>
      <w:proofErr w:type="gramStart"/>
      <w:r w:rsidR="00FA43AC">
        <w:rPr>
          <w:rFonts w:ascii="Arial" w:eastAsia="Arial Unicode MS" w:hAnsi="Arial" w:cs="Arial"/>
          <w:sz w:val="20"/>
          <w:szCs w:val="20"/>
        </w:rPr>
        <w:t>b</w:t>
      </w:r>
      <w:r>
        <w:rPr>
          <w:rFonts w:ascii="Arial" w:eastAsia="Arial Unicode MS" w:hAnsi="Arial" w:cs="Arial"/>
          <w:sz w:val="20"/>
          <w:szCs w:val="20"/>
        </w:rPr>
        <w:t xml:space="preserve"> )</w:t>
      </w:r>
      <w:proofErr w:type="gramEnd"/>
      <w:r>
        <w:rPr>
          <w:rFonts w:ascii="Arial" w:eastAsia="Arial Unicode MS" w:hAnsi="Arial" w:cs="Arial"/>
          <w:sz w:val="20"/>
          <w:szCs w:val="20"/>
        </w:rPr>
        <w:t xml:space="preserve"> </w:t>
      </w:r>
      <w:r>
        <w:rPr>
          <w:rFonts w:ascii="Arial" w:eastAsia="Arial Unicode MS" w:hAnsi="Arial" w:cs="Arial"/>
          <w:sz w:val="20"/>
          <w:szCs w:val="20"/>
        </w:rPr>
        <w:tab/>
      </w:r>
      <w:r w:rsidR="00CC7667">
        <w:rPr>
          <w:rFonts w:ascii="Arial" w:eastAsia="Arial Unicode MS" w:hAnsi="Arial" w:cs="Arial"/>
          <w:sz w:val="20"/>
          <w:szCs w:val="20"/>
        </w:rPr>
        <w:t>CONSTRUTEC SERVIÇOS E MANUTENÇÕES PREDIAIS LTDA</w:t>
      </w:r>
      <w:r>
        <w:rPr>
          <w:rFonts w:ascii="Arial" w:eastAsia="Arial Unicode MS" w:hAnsi="Arial" w:cs="Arial"/>
          <w:sz w:val="20"/>
          <w:szCs w:val="20"/>
        </w:rPr>
        <w:t>: Pela</w:t>
      </w:r>
      <w:r w:rsidR="00CC7667">
        <w:rPr>
          <w:rFonts w:ascii="Arial" w:eastAsia="Arial Unicode MS" w:hAnsi="Arial" w:cs="Arial"/>
          <w:sz w:val="20"/>
          <w:szCs w:val="20"/>
        </w:rPr>
        <w:t xml:space="preserve"> contratação de serviços de manutenção predial no Campus Rio Grande;</w:t>
      </w:r>
      <w:r w:rsidR="007B07E0">
        <w:rPr>
          <w:rFonts w:ascii="Arial" w:eastAsia="Arial Unicode MS" w:hAnsi="Arial" w:cs="Arial"/>
          <w:sz w:val="20"/>
          <w:szCs w:val="20"/>
        </w:rPr>
        <w:t xml:space="preserve"> </w:t>
      </w:r>
    </w:p>
    <w:p w14:paraId="2353B46F" w14:textId="2178AF32" w:rsidR="00FA43AC" w:rsidRDefault="00FA43AC" w:rsidP="00FA43AC">
      <w:pPr>
        <w:spacing w:after="40"/>
        <w:rPr>
          <w:rFonts w:ascii="Arial" w:eastAsia="Arial Unicode MS" w:hAnsi="Arial" w:cs="Arial"/>
          <w:sz w:val="20"/>
          <w:szCs w:val="20"/>
        </w:rPr>
      </w:pPr>
      <w:r w:rsidRPr="00C544CF">
        <w:rPr>
          <w:rFonts w:ascii="Arial" w:eastAsia="Arial Unicode MS" w:hAnsi="Arial" w:cs="Arial"/>
          <w:sz w:val="20"/>
          <w:szCs w:val="20"/>
        </w:rPr>
        <w:t>(</w:t>
      </w:r>
      <w:r w:rsidR="00C26B9C">
        <w:rPr>
          <w:rFonts w:ascii="Arial" w:eastAsia="Arial Unicode MS" w:hAnsi="Arial" w:cs="Arial"/>
          <w:sz w:val="20"/>
          <w:szCs w:val="20"/>
        </w:rPr>
        <w:t>c</w:t>
      </w:r>
      <w:r w:rsidRPr="00C544CF">
        <w:rPr>
          <w:rFonts w:ascii="Arial" w:eastAsia="Arial Unicode MS" w:hAnsi="Arial" w:cs="Arial"/>
          <w:sz w:val="20"/>
          <w:szCs w:val="20"/>
        </w:rPr>
        <w:t>)</w:t>
      </w:r>
      <w:r w:rsidRPr="00C544CF">
        <w:rPr>
          <w:rFonts w:ascii="Arial" w:eastAsia="Arial Unicode MS" w:hAnsi="Arial" w:cs="Arial"/>
          <w:sz w:val="20"/>
          <w:szCs w:val="20"/>
        </w:rPr>
        <w:tab/>
      </w:r>
      <w:r w:rsidR="00CC7667">
        <w:rPr>
          <w:rFonts w:ascii="Arial" w:eastAsia="Arial Unicode MS" w:hAnsi="Arial" w:cs="Arial"/>
          <w:sz w:val="20"/>
          <w:szCs w:val="20"/>
        </w:rPr>
        <w:t>CSF COMÉRCIO E SERVIÇOS EMPRESARIAIS EIRELI</w:t>
      </w:r>
      <w:r w:rsidRPr="00C544CF">
        <w:rPr>
          <w:rFonts w:ascii="Arial" w:eastAsia="Arial Unicode MS" w:hAnsi="Arial" w:cs="Arial"/>
          <w:sz w:val="20"/>
          <w:szCs w:val="20"/>
        </w:rPr>
        <w:t xml:space="preserve">: </w:t>
      </w:r>
      <w:r w:rsidR="00B64BF8">
        <w:rPr>
          <w:rFonts w:ascii="Arial" w:eastAsia="Arial Unicode MS" w:hAnsi="Arial" w:cs="Arial"/>
          <w:sz w:val="20"/>
          <w:szCs w:val="20"/>
        </w:rPr>
        <w:t>P</w:t>
      </w:r>
      <w:r>
        <w:rPr>
          <w:rFonts w:ascii="Arial" w:eastAsia="Arial Unicode MS" w:hAnsi="Arial" w:cs="Arial"/>
          <w:sz w:val="20"/>
          <w:szCs w:val="20"/>
        </w:rPr>
        <w:t xml:space="preserve">ela </w:t>
      </w:r>
      <w:r w:rsidR="00B64BF8">
        <w:rPr>
          <w:rFonts w:ascii="Arial" w:eastAsia="Arial Unicode MS" w:hAnsi="Arial" w:cs="Arial"/>
          <w:sz w:val="20"/>
          <w:szCs w:val="20"/>
        </w:rPr>
        <w:t xml:space="preserve">contratação de serviços de </w:t>
      </w:r>
      <w:r w:rsidR="00CC7667">
        <w:rPr>
          <w:rFonts w:ascii="Arial" w:eastAsia="Arial Unicode MS" w:hAnsi="Arial" w:cs="Arial"/>
          <w:sz w:val="20"/>
          <w:szCs w:val="20"/>
        </w:rPr>
        <w:t>limpeza e conservação nos Campus Porto Alegre e Sertão;</w:t>
      </w:r>
    </w:p>
    <w:p w14:paraId="5D3DC470" w14:textId="757760C7" w:rsidR="00FA43AC" w:rsidRDefault="00FA43AC" w:rsidP="00FA43AC">
      <w:pPr>
        <w:spacing w:after="40"/>
        <w:rPr>
          <w:rFonts w:ascii="Arial" w:eastAsia="Arial Unicode MS" w:hAnsi="Arial" w:cs="Arial"/>
          <w:sz w:val="20"/>
          <w:szCs w:val="20"/>
        </w:rPr>
      </w:pPr>
      <w:r>
        <w:rPr>
          <w:rFonts w:ascii="Arial" w:eastAsia="Arial Unicode MS" w:hAnsi="Arial" w:cs="Arial"/>
          <w:sz w:val="20"/>
          <w:szCs w:val="20"/>
        </w:rPr>
        <w:t>(</w:t>
      </w:r>
      <w:r w:rsidR="00C26B9C">
        <w:rPr>
          <w:rFonts w:ascii="Arial" w:eastAsia="Arial Unicode MS" w:hAnsi="Arial" w:cs="Arial"/>
          <w:sz w:val="20"/>
          <w:szCs w:val="20"/>
        </w:rPr>
        <w:t>d</w:t>
      </w:r>
      <w:r>
        <w:rPr>
          <w:rFonts w:ascii="Arial" w:eastAsia="Arial Unicode MS" w:hAnsi="Arial" w:cs="Arial"/>
          <w:sz w:val="20"/>
          <w:szCs w:val="20"/>
        </w:rPr>
        <w:t xml:space="preserve">) </w:t>
      </w:r>
      <w:r>
        <w:rPr>
          <w:rFonts w:ascii="Arial" w:eastAsia="Arial Unicode MS" w:hAnsi="Arial" w:cs="Arial"/>
          <w:sz w:val="20"/>
          <w:szCs w:val="20"/>
        </w:rPr>
        <w:tab/>
      </w:r>
      <w:r w:rsidR="00903DE5">
        <w:rPr>
          <w:rFonts w:ascii="Arial" w:eastAsia="Arial Unicode MS" w:hAnsi="Arial" w:cs="Arial"/>
          <w:sz w:val="20"/>
          <w:szCs w:val="20"/>
        </w:rPr>
        <w:t>PEDRO REGINALDO DE ALBERNAZ FARIA E FAGUNDES LTDA</w:t>
      </w:r>
      <w:r>
        <w:rPr>
          <w:rFonts w:ascii="Arial" w:eastAsia="Arial Unicode MS" w:hAnsi="Arial" w:cs="Arial"/>
          <w:sz w:val="20"/>
          <w:szCs w:val="20"/>
        </w:rPr>
        <w:t xml:space="preserve">: Pela </w:t>
      </w:r>
      <w:r w:rsidR="00903DE5">
        <w:rPr>
          <w:rFonts w:ascii="Arial" w:eastAsia="Arial Unicode MS" w:hAnsi="Arial" w:cs="Arial"/>
          <w:sz w:val="20"/>
          <w:szCs w:val="20"/>
        </w:rPr>
        <w:t>contratação de serviços de trabalhador agropecuário e interprete de libras nos Campus Rio Grande, Sertão, Farroupilha, Osório, Alvorada.</w:t>
      </w:r>
      <w:r>
        <w:rPr>
          <w:rFonts w:ascii="Arial" w:eastAsia="Arial Unicode MS" w:hAnsi="Arial" w:cs="Arial"/>
          <w:sz w:val="20"/>
          <w:szCs w:val="20"/>
        </w:rPr>
        <w:t xml:space="preserve"> </w:t>
      </w:r>
    </w:p>
    <w:p w14:paraId="2459C7D3" w14:textId="77777777" w:rsidR="00FA43AC" w:rsidRDefault="00FA43AC" w:rsidP="00BA2679">
      <w:pPr>
        <w:spacing w:after="40"/>
        <w:rPr>
          <w:rFonts w:ascii="Arial" w:eastAsia="Arial Unicode MS" w:hAnsi="Arial" w:cs="Arial"/>
          <w:sz w:val="20"/>
          <w:szCs w:val="20"/>
        </w:rPr>
      </w:pPr>
    </w:p>
    <w:p w14:paraId="309569DE" w14:textId="77777777" w:rsidR="00247FD1" w:rsidRPr="00C544CF" w:rsidRDefault="00247FD1" w:rsidP="00BA2679">
      <w:pPr>
        <w:spacing w:after="40"/>
        <w:rPr>
          <w:rFonts w:ascii="Arial" w:eastAsia="Arial Unicode MS" w:hAnsi="Arial" w:cs="Arial"/>
          <w:sz w:val="20"/>
          <w:szCs w:val="20"/>
        </w:rPr>
      </w:pP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75EAD8EB" w14:textId="5045AEC5"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comparação ao </w:t>
      </w:r>
      <w:r w:rsidR="00B933DF">
        <w:rPr>
          <w:rFonts w:ascii="Arial" w:eastAsia="Arial Unicode MS" w:hAnsi="Arial" w:cs="Arial"/>
          <w:sz w:val="20"/>
          <w:szCs w:val="20"/>
        </w:rPr>
        <w:t>exercício</w:t>
      </w:r>
      <w:r w:rsidRPr="00C544CF">
        <w:rPr>
          <w:rFonts w:ascii="Arial" w:eastAsia="Arial Unicode MS" w:hAnsi="Arial" w:cs="Arial"/>
          <w:sz w:val="20"/>
          <w:szCs w:val="20"/>
        </w:rPr>
        <w:t xml:space="preserve"> anterior, o IFRS registrou </w:t>
      </w:r>
      <w:r w:rsidR="0056349A">
        <w:rPr>
          <w:rFonts w:ascii="Arial" w:eastAsia="Arial Unicode MS" w:hAnsi="Arial" w:cs="Arial"/>
          <w:sz w:val="20"/>
          <w:szCs w:val="20"/>
        </w:rPr>
        <w:t>acréscimo</w:t>
      </w:r>
      <w:r w:rsidRPr="00C544CF">
        <w:rPr>
          <w:rFonts w:ascii="Arial" w:eastAsia="Arial Unicode MS" w:hAnsi="Arial" w:cs="Arial"/>
          <w:sz w:val="20"/>
          <w:szCs w:val="20"/>
        </w:rPr>
        <w:t xml:space="preserve"> de R$ </w:t>
      </w:r>
      <w:r w:rsidR="00B634F2">
        <w:rPr>
          <w:rFonts w:ascii="Arial" w:eastAsia="Arial Unicode MS" w:hAnsi="Arial" w:cs="Arial"/>
          <w:sz w:val="20"/>
          <w:szCs w:val="20"/>
        </w:rPr>
        <w:t>2,</w:t>
      </w:r>
      <w:r w:rsidR="00741036">
        <w:rPr>
          <w:rFonts w:ascii="Arial" w:eastAsia="Arial Unicode MS" w:hAnsi="Arial" w:cs="Arial"/>
          <w:sz w:val="20"/>
          <w:szCs w:val="20"/>
        </w:rPr>
        <w:t>25</w:t>
      </w:r>
      <w:r w:rsidR="001A0BC1">
        <w:rPr>
          <w:rFonts w:ascii="Arial" w:eastAsia="Arial Unicode MS" w:hAnsi="Arial" w:cs="Arial"/>
          <w:sz w:val="20"/>
          <w:szCs w:val="20"/>
        </w:rPr>
        <w:t xml:space="preserve"> milhões</w:t>
      </w:r>
      <w:r w:rsidRPr="00C544CF">
        <w:rPr>
          <w:rFonts w:ascii="Arial" w:eastAsia="Arial Unicode MS" w:hAnsi="Arial" w:cs="Arial"/>
          <w:sz w:val="20"/>
          <w:szCs w:val="20"/>
        </w:rPr>
        <w:t xml:space="preserve"> nas demais obrigações a curto prazo, equivalente a </w:t>
      </w:r>
      <w:r w:rsidR="00B634F2">
        <w:rPr>
          <w:rFonts w:ascii="Arial" w:eastAsia="Arial Unicode MS" w:hAnsi="Arial" w:cs="Arial"/>
          <w:sz w:val="20"/>
          <w:szCs w:val="20"/>
        </w:rPr>
        <w:t xml:space="preserve">variação de </w:t>
      </w:r>
      <w:r w:rsidR="009F00B2">
        <w:rPr>
          <w:rFonts w:ascii="Arial" w:eastAsia="Arial Unicode MS" w:hAnsi="Arial" w:cs="Arial"/>
          <w:sz w:val="20"/>
          <w:szCs w:val="20"/>
        </w:rPr>
        <w:t>5</w:t>
      </w:r>
      <w:r w:rsidRPr="00C544CF">
        <w:rPr>
          <w:rFonts w:ascii="Arial" w:eastAsia="Arial Unicode MS" w:hAnsi="Arial" w:cs="Arial"/>
          <w:sz w:val="20"/>
          <w:szCs w:val="20"/>
        </w:rPr>
        <w:t>%, em razão de compromissos assumidos pela própria manutenção das atividades fins do IFRS</w:t>
      </w:r>
      <w:r w:rsidR="00EF1643">
        <w:rPr>
          <w:rFonts w:ascii="Arial" w:eastAsia="Arial Unicode MS" w:hAnsi="Arial" w:cs="Arial"/>
          <w:sz w:val="20"/>
          <w:szCs w:val="20"/>
        </w:rPr>
        <w:t>. As</w:t>
      </w:r>
      <w:r w:rsidRPr="00C544CF">
        <w:rPr>
          <w:rFonts w:ascii="Arial" w:eastAsia="Arial Unicode MS" w:hAnsi="Arial" w:cs="Arial"/>
          <w:sz w:val="20"/>
          <w:szCs w:val="20"/>
        </w:rPr>
        <w:t xml:space="preserve"> transferências financeiras a comprovar - </w:t>
      </w:r>
      <w:proofErr w:type="gramStart"/>
      <w:r w:rsidRPr="00C544CF">
        <w:rPr>
          <w:rFonts w:ascii="Arial" w:eastAsia="Arial Unicode MS" w:hAnsi="Arial" w:cs="Arial"/>
          <w:sz w:val="20"/>
          <w:szCs w:val="20"/>
        </w:rPr>
        <w:t xml:space="preserve">TED, </w:t>
      </w:r>
      <w:r w:rsidR="00532E30">
        <w:rPr>
          <w:rFonts w:ascii="Arial" w:eastAsia="Arial Unicode MS" w:hAnsi="Arial" w:cs="Arial"/>
          <w:sz w:val="20"/>
          <w:szCs w:val="20"/>
        </w:rPr>
        <w:t xml:space="preserve"> passaram</w:t>
      </w:r>
      <w:proofErr w:type="gramEnd"/>
      <w:r w:rsidR="00532E30">
        <w:rPr>
          <w:rFonts w:ascii="Arial" w:eastAsia="Arial Unicode MS" w:hAnsi="Arial" w:cs="Arial"/>
          <w:sz w:val="20"/>
          <w:szCs w:val="20"/>
        </w:rPr>
        <w:t xml:space="preserve">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7E9979BF" w14:textId="06E5ADD6" w:rsidR="00741036" w:rsidRDefault="00741036" w:rsidP="00BA2679">
      <w:pPr>
        <w:spacing w:after="40"/>
        <w:rPr>
          <w:rFonts w:ascii="Arial" w:eastAsia="Arial Unicode MS" w:hAnsi="Arial" w:cs="Arial"/>
          <w:sz w:val="20"/>
          <w:szCs w:val="20"/>
        </w:rPr>
      </w:pPr>
      <w:r w:rsidRPr="00741036">
        <w:rPr>
          <w:rFonts w:ascii="Arial" w:eastAsia="Arial Unicode MS" w:hAnsi="Arial" w:cs="Arial"/>
          <w:noProof/>
          <w:sz w:val="20"/>
          <w:szCs w:val="20"/>
        </w:rPr>
        <w:lastRenderedPageBreak/>
        <w:drawing>
          <wp:inline distT="0" distB="0" distL="0" distR="0" wp14:anchorId="674007B8" wp14:editId="2AFB5481">
            <wp:extent cx="5381625" cy="2847975"/>
            <wp:effectExtent l="0" t="0" r="9525" b="9525"/>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81625" cy="2847975"/>
                    </a:xfrm>
                    <a:prstGeom prst="rect">
                      <a:avLst/>
                    </a:prstGeom>
                    <a:noFill/>
                    <a:ln>
                      <a:noFill/>
                    </a:ln>
                  </pic:spPr>
                </pic:pic>
              </a:graphicData>
            </a:graphic>
          </wp:inline>
        </w:drawing>
      </w:r>
    </w:p>
    <w:p w14:paraId="644EF350" w14:textId="692BCFFB" w:rsidR="0056349A" w:rsidRDefault="0056349A" w:rsidP="00BA2679">
      <w:pPr>
        <w:spacing w:after="40"/>
        <w:rPr>
          <w:rFonts w:ascii="Arial" w:eastAsia="Arial Unicode MS" w:hAnsi="Arial" w:cs="Arial"/>
          <w:sz w:val="20"/>
          <w:szCs w:val="20"/>
        </w:rPr>
      </w:pP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ACA5C22" w14:textId="715B7DE4"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7509F9">
        <w:rPr>
          <w:rFonts w:ascii="Arial" w:eastAsia="Arial Unicode MS" w:hAnsi="Arial" w:cs="Arial"/>
          <w:sz w:val="20"/>
          <w:szCs w:val="20"/>
        </w:rPr>
        <w:t>3</w:t>
      </w:r>
      <w:r w:rsidR="00247FD1">
        <w:rPr>
          <w:rFonts w:ascii="Arial" w:eastAsia="Arial Unicode MS" w:hAnsi="Arial" w:cs="Arial"/>
          <w:sz w:val="20"/>
          <w:szCs w:val="20"/>
        </w:rPr>
        <w:t>0</w:t>
      </w:r>
      <w:r w:rsidR="007509F9">
        <w:rPr>
          <w:rFonts w:ascii="Arial" w:eastAsia="Arial Unicode MS" w:hAnsi="Arial" w:cs="Arial"/>
          <w:sz w:val="20"/>
          <w:szCs w:val="20"/>
        </w:rPr>
        <w:t xml:space="preserve"> de </w:t>
      </w:r>
      <w:r w:rsidR="00247FD1">
        <w:rPr>
          <w:rFonts w:ascii="Arial" w:eastAsia="Arial Unicode MS" w:hAnsi="Arial" w:cs="Arial"/>
          <w:sz w:val="20"/>
          <w:szCs w:val="20"/>
        </w:rPr>
        <w:t>junho</w:t>
      </w:r>
      <w:r w:rsidRPr="00C544CF">
        <w:rPr>
          <w:rFonts w:ascii="Arial" w:eastAsia="Arial Unicode MS" w:hAnsi="Arial" w:cs="Arial"/>
          <w:sz w:val="20"/>
          <w:szCs w:val="20"/>
        </w:rPr>
        <w:t>, empréstimos e financiamentos concedidos por terceiros, bem como retenções de parcelas de consórcios, retidos em folha de pagamento</w:t>
      </w:r>
      <w:r w:rsidR="007509F9">
        <w:rPr>
          <w:rFonts w:ascii="Arial" w:eastAsia="Arial Unicode MS" w:hAnsi="Arial" w:cs="Arial"/>
          <w:sz w:val="20"/>
          <w:szCs w:val="20"/>
        </w:rPr>
        <w:t>.</w:t>
      </w:r>
    </w:p>
    <w:p w14:paraId="303D47B7" w14:textId="7705D85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 xml:space="preserve">Depósitos </w:t>
      </w:r>
      <w:r w:rsidR="00B866FF">
        <w:rPr>
          <w:rFonts w:ascii="Arial" w:eastAsia="Arial Unicode MS" w:hAnsi="Arial" w:cs="Arial"/>
          <w:sz w:val="20"/>
          <w:szCs w:val="20"/>
        </w:rPr>
        <w:t>não judiciais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65778900" w14:textId="53DAFFFF"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C475FD">
        <w:rPr>
          <w:rFonts w:ascii="Arial" w:eastAsia="Arial Unicode MS" w:hAnsi="Arial" w:cs="Arial"/>
          <w:sz w:val="20"/>
          <w:szCs w:val="20"/>
        </w:rPr>
        <w:t>c</w:t>
      </w:r>
      <w:r>
        <w:rPr>
          <w:rFonts w:ascii="Arial" w:eastAsia="Arial Unicode MS" w:hAnsi="Arial" w:cs="Arial"/>
          <w:sz w:val="20"/>
          <w:szCs w:val="20"/>
        </w:rPr>
        <w:t xml:space="preserve">) </w:t>
      </w:r>
      <w:r>
        <w:rPr>
          <w:rFonts w:ascii="Arial" w:eastAsia="Arial Unicode MS" w:hAnsi="Arial" w:cs="Arial"/>
          <w:sz w:val="20"/>
          <w:szCs w:val="20"/>
        </w:rPr>
        <w:tab/>
        <w:t>Diárias a Pagar</w:t>
      </w:r>
    </w:p>
    <w:p w14:paraId="35CFBC70" w14:textId="213419A7" w:rsidR="00BA2679"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66C8D702" w14:textId="57554016" w:rsidR="001A0BC1" w:rsidRDefault="001A0BC1" w:rsidP="00BA2679">
      <w:pPr>
        <w:spacing w:after="40"/>
        <w:rPr>
          <w:rFonts w:ascii="Arial" w:eastAsia="Arial Unicode MS" w:hAnsi="Arial" w:cs="Arial"/>
          <w:sz w:val="20"/>
          <w:szCs w:val="20"/>
        </w:rPr>
      </w:pPr>
      <w:r>
        <w:rPr>
          <w:rFonts w:ascii="Arial" w:eastAsia="Arial Unicode MS" w:hAnsi="Arial" w:cs="Arial"/>
          <w:sz w:val="20"/>
          <w:szCs w:val="20"/>
        </w:rPr>
        <w:t>(</w:t>
      </w:r>
      <w:r w:rsidR="00C475FD">
        <w:rPr>
          <w:rFonts w:ascii="Arial" w:eastAsia="Arial Unicode MS" w:hAnsi="Arial" w:cs="Arial"/>
          <w:sz w:val="20"/>
          <w:szCs w:val="20"/>
        </w:rPr>
        <w:t>d</w:t>
      </w:r>
      <w:r>
        <w:rPr>
          <w:rFonts w:ascii="Arial" w:eastAsia="Arial Unicode MS" w:hAnsi="Arial" w:cs="Arial"/>
          <w:sz w:val="20"/>
          <w:szCs w:val="20"/>
        </w:rPr>
        <w:t>)</w:t>
      </w:r>
      <w:r>
        <w:rPr>
          <w:rFonts w:ascii="Arial" w:eastAsia="Arial Unicode MS" w:hAnsi="Arial" w:cs="Arial"/>
          <w:sz w:val="20"/>
          <w:szCs w:val="20"/>
        </w:rPr>
        <w:tab/>
        <w:t>Precatórios de terceiros</w:t>
      </w:r>
    </w:p>
    <w:p w14:paraId="676FA24B" w14:textId="24D43517" w:rsidR="001A0BC1" w:rsidRPr="0034064D" w:rsidRDefault="001A0BC1" w:rsidP="00BA2679">
      <w:pPr>
        <w:spacing w:after="40"/>
        <w:rPr>
          <w:rFonts w:ascii="Arial" w:eastAsia="Arial Unicode MS" w:hAnsi="Arial" w:cs="Arial"/>
          <w:sz w:val="20"/>
          <w:szCs w:val="20"/>
        </w:rPr>
      </w:pPr>
      <w:r>
        <w:rPr>
          <w:rFonts w:ascii="Arial" w:eastAsia="Arial Unicode MS" w:hAnsi="Arial" w:cs="Arial"/>
          <w:sz w:val="20"/>
          <w:szCs w:val="20"/>
        </w:rPr>
        <w:t>São as obrigações referentes a precatórios</w:t>
      </w:r>
      <w:r w:rsidR="001E35C9">
        <w:rPr>
          <w:rFonts w:ascii="Arial" w:eastAsia="Arial Unicode MS" w:hAnsi="Arial" w:cs="Arial"/>
          <w:sz w:val="20"/>
          <w:szCs w:val="20"/>
        </w:rPr>
        <w:t xml:space="preserve"> alimentares e comuns a serem pagos no exercício 2021 pelo IFRS</w:t>
      </w:r>
      <w:r>
        <w:rPr>
          <w:rFonts w:ascii="Arial" w:eastAsia="Arial Unicode MS" w:hAnsi="Arial" w:cs="Arial"/>
          <w:sz w:val="20"/>
          <w:szCs w:val="20"/>
        </w:rPr>
        <w:t xml:space="preserve">, </w:t>
      </w:r>
      <w:r w:rsidR="001E35C9">
        <w:rPr>
          <w:rFonts w:ascii="Arial" w:eastAsia="Arial Unicode MS" w:hAnsi="Arial" w:cs="Arial"/>
          <w:sz w:val="20"/>
          <w:szCs w:val="20"/>
        </w:rPr>
        <w:t>conforme Processo Administrativo IFECTECRS.</w:t>
      </w:r>
    </w:p>
    <w:p w14:paraId="7D7CDCB1" w14:textId="19133E68"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C475FD">
        <w:rPr>
          <w:rFonts w:ascii="Arial" w:eastAsia="Arial Unicode MS" w:hAnsi="Arial" w:cs="Arial"/>
          <w:sz w:val="20"/>
          <w:szCs w:val="20"/>
        </w:rPr>
        <w:t>e</w:t>
      </w:r>
      <w:r w:rsidRPr="00C544CF">
        <w:rPr>
          <w:rFonts w:ascii="Arial" w:eastAsia="Arial Unicode MS" w:hAnsi="Arial" w:cs="Arial"/>
          <w:sz w:val="20"/>
          <w:szCs w:val="20"/>
        </w:rPr>
        <w:t>)</w:t>
      </w:r>
      <w:r w:rsidRPr="00C544CF">
        <w:rPr>
          <w:rFonts w:ascii="Arial" w:eastAsia="Arial Unicode MS" w:hAnsi="Arial" w:cs="Arial"/>
          <w:sz w:val="20"/>
          <w:szCs w:val="20"/>
        </w:rPr>
        <w:tab/>
        <w:t>Incentivo a educação, cultura e outros</w:t>
      </w:r>
    </w:p>
    <w:p w14:paraId="3A2B617F" w14:textId="0E09C009"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2718CC73" w14:textId="4E09692A" w:rsidR="00157F04" w:rsidRDefault="00157F04" w:rsidP="00BA2679">
      <w:pPr>
        <w:spacing w:after="40"/>
        <w:rPr>
          <w:rFonts w:ascii="Arial" w:eastAsia="Arial Unicode MS" w:hAnsi="Arial" w:cs="Arial"/>
          <w:sz w:val="20"/>
          <w:szCs w:val="20"/>
        </w:rPr>
      </w:pPr>
      <w:r>
        <w:rPr>
          <w:rFonts w:ascii="Arial" w:eastAsia="Arial Unicode MS" w:hAnsi="Arial" w:cs="Arial"/>
          <w:sz w:val="20"/>
          <w:szCs w:val="20"/>
        </w:rPr>
        <w:t>(</w:t>
      </w:r>
      <w:r w:rsidR="00C475FD">
        <w:rPr>
          <w:rFonts w:ascii="Arial" w:eastAsia="Arial Unicode MS" w:hAnsi="Arial" w:cs="Arial"/>
          <w:sz w:val="20"/>
          <w:szCs w:val="20"/>
        </w:rPr>
        <w:t>f</w:t>
      </w:r>
      <w:r>
        <w:rPr>
          <w:rFonts w:ascii="Arial" w:eastAsia="Arial Unicode MS" w:hAnsi="Arial" w:cs="Arial"/>
          <w:sz w:val="20"/>
          <w:szCs w:val="20"/>
        </w:rPr>
        <w:t>)</w:t>
      </w:r>
      <w:r>
        <w:rPr>
          <w:rFonts w:ascii="Arial" w:eastAsia="Arial Unicode MS" w:hAnsi="Arial" w:cs="Arial"/>
          <w:sz w:val="20"/>
          <w:szCs w:val="20"/>
        </w:rPr>
        <w:tab/>
        <w:t>Auxílio a Pesquisadores</w:t>
      </w:r>
    </w:p>
    <w:p w14:paraId="2AFB9A67" w14:textId="57FDF8BF" w:rsidR="00157F04" w:rsidRDefault="00157F04" w:rsidP="00BA2679">
      <w:pPr>
        <w:spacing w:after="40"/>
        <w:rPr>
          <w:rFonts w:ascii="Arial" w:eastAsia="Arial Unicode MS" w:hAnsi="Arial" w:cs="Arial"/>
          <w:sz w:val="20"/>
          <w:szCs w:val="20"/>
        </w:rPr>
      </w:pPr>
      <w:r>
        <w:rPr>
          <w:rFonts w:ascii="Arial" w:eastAsia="Arial Unicode MS" w:hAnsi="Arial" w:cs="Arial"/>
          <w:sz w:val="20"/>
          <w:szCs w:val="20"/>
        </w:rPr>
        <w:t xml:space="preserve">Compreende os valores a pagar concedidos na forma de auxílio a pesquisadores nos Campi </w:t>
      </w:r>
      <w:r w:rsidR="00AD061A">
        <w:rPr>
          <w:rFonts w:ascii="Arial" w:eastAsia="Arial Unicode MS" w:hAnsi="Arial" w:cs="Arial"/>
          <w:sz w:val="20"/>
          <w:szCs w:val="20"/>
        </w:rPr>
        <w:t>Bento Gonçalves, Erechim, Osório, Caxias do Sul, Farroupilha e Feliz</w:t>
      </w:r>
      <w:r>
        <w:rPr>
          <w:rFonts w:ascii="Arial" w:eastAsia="Arial Unicode MS" w:hAnsi="Arial" w:cs="Arial"/>
          <w:sz w:val="20"/>
          <w:szCs w:val="20"/>
        </w:rPr>
        <w:t>.</w:t>
      </w:r>
    </w:p>
    <w:p w14:paraId="7A9F2DE8" w14:textId="4DC79411" w:rsidR="00AD38E4" w:rsidRPr="00C544CF" w:rsidRDefault="00AD38E4" w:rsidP="00AD38E4">
      <w:pPr>
        <w:spacing w:after="40"/>
        <w:rPr>
          <w:rFonts w:ascii="Arial" w:eastAsia="Arial Unicode MS" w:hAnsi="Arial" w:cs="Arial"/>
          <w:sz w:val="20"/>
          <w:szCs w:val="20"/>
        </w:rPr>
      </w:pPr>
      <w:r>
        <w:rPr>
          <w:rFonts w:ascii="Arial" w:eastAsia="Arial Unicode MS" w:hAnsi="Arial" w:cs="Arial"/>
          <w:sz w:val="20"/>
          <w:szCs w:val="20"/>
        </w:rPr>
        <w:t>(</w:t>
      </w:r>
      <w:r w:rsidR="008B776B">
        <w:rPr>
          <w:rFonts w:ascii="Arial" w:eastAsia="Arial Unicode MS" w:hAnsi="Arial" w:cs="Arial"/>
          <w:sz w:val="20"/>
          <w:szCs w:val="20"/>
        </w:rPr>
        <w:t>g</w:t>
      </w:r>
      <w:r>
        <w:rPr>
          <w:rFonts w:ascii="Arial" w:eastAsia="Arial Unicode MS" w:hAnsi="Arial" w:cs="Arial"/>
          <w:sz w:val="20"/>
          <w:szCs w:val="20"/>
        </w:rPr>
        <w:t>)</w:t>
      </w:r>
      <w:r>
        <w:rPr>
          <w:rFonts w:ascii="Arial" w:eastAsia="Arial Unicode MS" w:hAnsi="Arial" w:cs="Arial"/>
          <w:sz w:val="20"/>
          <w:szCs w:val="20"/>
        </w:rPr>
        <w:tab/>
        <w:t>Obrigações Com Entidades F</w:t>
      </w:r>
      <w:r w:rsidRPr="00C544CF">
        <w:rPr>
          <w:rFonts w:ascii="Arial" w:eastAsia="Arial Unicode MS" w:hAnsi="Arial" w:cs="Arial"/>
          <w:sz w:val="20"/>
          <w:szCs w:val="20"/>
        </w:rPr>
        <w:t>ederais</w:t>
      </w:r>
    </w:p>
    <w:p w14:paraId="47B11FCE" w14:textId="3DFF0ED8" w:rsidR="00AD38E4" w:rsidRDefault="00AD38E4" w:rsidP="00AD38E4">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w:t>
      </w:r>
      <w:proofErr w:type="spellStart"/>
      <w:r w:rsidRPr="0034064D">
        <w:rPr>
          <w:rFonts w:ascii="Arial" w:eastAsia="Arial Unicode MS" w:hAnsi="Arial" w:cs="Arial"/>
          <w:sz w:val="20"/>
          <w:szCs w:val="20"/>
        </w:rPr>
        <w:t>Eletrosul</w:t>
      </w:r>
      <w:proofErr w:type="spellEnd"/>
      <w:r w:rsidRPr="0034064D">
        <w:rPr>
          <w:rFonts w:ascii="Arial" w:eastAsia="Arial Unicode MS" w:hAnsi="Arial" w:cs="Arial"/>
          <w:sz w:val="20"/>
          <w:szCs w:val="20"/>
        </w:rPr>
        <w:t xml:space="preserve">, </w:t>
      </w:r>
      <w:r>
        <w:rPr>
          <w:rFonts w:ascii="Arial" w:eastAsia="Arial Unicode MS" w:hAnsi="Arial" w:cs="Arial"/>
          <w:sz w:val="20"/>
          <w:szCs w:val="20"/>
        </w:rPr>
        <w:t xml:space="preserve">e Companhia de Geração Térmica de Energia Elétrica relativo </w:t>
      </w:r>
      <w:r w:rsidR="00AD061A">
        <w:rPr>
          <w:rFonts w:ascii="Arial" w:eastAsia="Arial Unicode MS" w:hAnsi="Arial" w:cs="Arial"/>
          <w:sz w:val="20"/>
          <w:szCs w:val="20"/>
        </w:rPr>
        <w:t>05/2021.</w:t>
      </w:r>
    </w:p>
    <w:p w14:paraId="6A232217" w14:textId="0DC49401" w:rsidR="00BA2679" w:rsidRPr="008C22FD" w:rsidRDefault="007509F9" w:rsidP="00BA2679">
      <w:pPr>
        <w:spacing w:after="40"/>
        <w:rPr>
          <w:rFonts w:ascii="Arial" w:eastAsia="Arial Unicode MS" w:hAnsi="Arial" w:cs="Arial"/>
          <w:sz w:val="20"/>
          <w:szCs w:val="20"/>
        </w:rPr>
      </w:pPr>
      <w:r>
        <w:rPr>
          <w:rFonts w:ascii="Arial" w:eastAsia="Arial Unicode MS" w:hAnsi="Arial" w:cs="Arial"/>
          <w:sz w:val="20"/>
          <w:szCs w:val="20"/>
        </w:rPr>
        <w:t>(</w:t>
      </w:r>
      <w:r w:rsidR="008B776B">
        <w:rPr>
          <w:rFonts w:ascii="Arial" w:eastAsia="Arial Unicode MS" w:hAnsi="Arial" w:cs="Arial"/>
          <w:sz w:val="20"/>
          <w:szCs w:val="20"/>
        </w:rPr>
        <w:t>h</w:t>
      </w:r>
      <w:r w:rsidR="00BA2679">
        <w:rPr>
          <w:rFonts w:ascii="Arial" w:eastAsia="Arial Unicode MS" w:hAnsi="Arial" w:cs="Arial"/>
          <w:sz w:val="20"/>
          <w:szCs w:val="20"/>
        </w:rPr>
        <w:t xml:space="preserve">) </w:t>
      </w:r>
      <w:r w:rsidR="00BA2679">
        <w:rPr>
          <w:rFonts w:ascii="Arial" w:eastAsia="Arial Unicode MS" w:hAnsi="Arial" w:cs="Arial"/>
          <w:sz w:val="20"/>
          <w:szCs w:val="20"/>
        </w:rPr>
        <w:tab/>
      </w:r>
      <w:r w:rsidR="00BA2679" w:rsidRPr="008C22FD">
        <w:rPr>
          <w:rFonts w:ascii="Arial" w:eastAsia="Arial Unicode MS" w:hAnsi="Arial" w:cs="Arial"/>
          <w:sz w:val="20"/>
          <w:szCs w:val="20"/>
        </w:rPr>
        <w:t>Transferências financeiras a comprovar</w:t>
      </w:r>
    </w:p>
    <w:p w14:paraId="37AB505D" w14:textId="14E8E10E" w:rsidR="000218E5"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r w:rsidR="00057E5B">
        <w:rPr>
          <w:rFonts w:ascii="Arial" w:hAnsi="Arial" w:cs="Arial"/>
          <w:sz w:val="20"/>
          <w:szCs w:val="20"/>
        </w:rPr>
        <w:t>, e por sua relevância está demonstrado no quadro a seguir:</w:t>
      </w:r>
    </w:p>
    <w:p w14:paraId="450E884A" w14:textId="58BE1AA5" w:rsidR="000C4079" w:rsidRDefault="000C4079" w:rsidP="00BA2679">
      <w:pPr>
        <w:rPr>
          <w:rFonts w:ascii="Arial" w:hAnsi="Arial" w:cs="Arial"/>
          <w:sz w:val="20"/>
          <w:szCs w:val="20"/>
        </w:rPr>
      </w:pPr>
      <w:r w:rsidRPr="000C4079">
        <w:rPr>
          <w:rFonts w:ascii="Arial" w:hAnsi="Arial" w:cs="Arial"/>
          <w:noProof/>
          <w:sz w:val="20"/>
          <w:szCs w:val="20"/>
        </w:rPr>
        <w:lastRenderedPageBreak/>
        <w:drawing>
          <wp:inline distT="0" distB="0" distL="0" distR="0" wp14:anchorId="748D17F6" wp14:editId="4BBE25D4">
            <wp:extent cx="4874895" cy="9503410"/>
            <wp:effectExtent l="0" t="0" r="1905" b="254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4895" cy="9503410"/>
                    </a:xfrm>
                    <a:prstGeom prst="rect">
                      <a:avLst/>
                    </a:prstGeom>
                    <a:noFill/>
                    <a:ln>
                      <a:noFill/>
                    </a:ln>
                  </pic:spPr>
                </pic:pic>
              </a:graphicData>
            </a:graphic>
          </wp:inline>
        </w:drawing>
      </w: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e das Variações Patrimoniais Diminutivas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w:t>
      </w:r>
    </w:p>
    <w:p w14:paraId="7F73F272" w14:textId="40C38C41"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xml:space="preserve"> são reconhecidas quando for provável que benefícios econômicos fluirão para o IFRS e quando puderem ser mensuradas confiavelmente, utilizando-se a lógica do regime de competência.</w:t>
      </w:r>
    </w:p>
    <w:p w14:paraId="28E877E0" w14:textId="1400C103" w:rsidR="006A7665" w:rsidRPr="0034064D" w:rsidRDefault="006A7665" w:rsidP="00BA2679">
      <w:pPr>
        <w:spacing w:after="40"/>
        <w:rPr>
          <w:rFonts w:ascii="Arial" w:eastAsia="Arial Unicode MS" w:hAnsi="Arial" w:cs="Arial"/>
          <w:sz w:val="20"/>
          <w:szCs w:val="20"/>
        </w:rPr>
      </w:pPr>
      <w:r>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w:t>
      </w:r>
      <w:r>
        <w:rPr>
          <w:rFonts w:ascii="Arial" w:eastAsia="Arial Unicode MS" w:hAnsi="Arial" w:cs="Arial"/>
          <w:sz w:val="20"/>
          <w:szCs w:val="20"/>
        </w:rPr>
        <w:t>D</w:t>
      </w:r>
      <w:r w:rsidRPr="0034064D">
        <w:rPr>
          <w:rFonts w:ascii="Arial" w:eastAsia="Arial Unicode MS" w:hAnsi="Arial" w:cs="Arial"/>
          <w:sz w:val="20"/>
          <w:szCs w:val="20"/>
        </w:rPr>
        <w:t>’s</w:t>
      </w:r>
      <w:proofErr w:type="spellEnd"/>
      <w:r>
        <w:rPr>
          <w:rFonts w:ascii="Arial" w:eastAsia="Arial Unicode MS" w:hAnsi="Arial" w:cs="Arial"/>
          <w:sz w:val="20"/>
          <w:szCs w:val="20"/>
        </w:rPr>
        <w:t xml:space="preserve"> são reconhecidas quando for provável que o</w:t>
      </w:r>
      <w:r w:rsidR="00445E93">
        <w:rPr>
          <w:rFonts w:ascii="Arial" w:eastAsia="Arial Unicode MS" w:hAnsi="Arial" w:cs="Arial"/>
          <w:sz w:val="20"/>
          <w:szCs w:val="20"/>
        </w:rPr>
        <w:t>c</w:t>
      </w:r>
      <w:r>
        <w:rPr>
          <w:rFonts w:ascii="Arial" w:eastAsia="Arial Unicode MS" w:hAnsi="Arial" w:cs="Arial"/>
          <w:sz w:val="20"/>
          <w:szCs w:val="20"/>
        </w:rPr>
        <w:t>orrerão decréscimos nos benefícios econômicos ou potenciais de serviços para a União, implicando saída de recursos ou redução de ativos ou assunção de passivos, seguindo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w:t>
      </w:r>
      <w:proofErr w:type="spellStart"/>
      <w:r w:rsidRPr="0034064D">
        <w:rPr>
          <w:rFonts w:ascii="Arial" w:eastAsia="Arial Unicode MS" w:hAnsi="Arial" w:cs="Arial"/>
          <w:sz w:val="20"/>
          <w:szCs w:val="20"/>
        </w:rPr>
        <w:t>Deficit</w:t>
      </w:r>
      <w:proofErr w:type="spellEnd"/>
      <w:r w:rsidRPr="0034064D">
        <w:rPr>
          <w:rFonts w:ascii="Arial" w:eastAsia="Arial Unicode MS" w:hAnsi="Arial" w:cs="Arial"/>
          <w:sz w:val="20"/>
          <w:szCs w:val="20"/>
        </w:rPr>
        <w:t xml:space="preserve"> do Exercício. O detalhamento do confronto entre VPA e VPD é apresentado na Demonstração das Variações Patrimoniais.</w:t>
      </w:r>
    </w:p>
    <w:p w14:paraId="25A6C4F0" w14:textId="03CBE47F"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445E93">
        <w:rPr>
          <w:rFonts w:ascii="Arial" w:eastAsia="Arial Unicode MS" w:hAnsi="Arial" w:cs="Arial"/>
          <w:sz w:val="20"/>
          <w:szCs w:val="20"/>
        </w:rPr>
        <w:t>30/06</w:t>
      </w:r>
      <w:r w:rsidR="009505D2">
        <w:rPr>
          <w:rFonts w:ascii="Arial" w:eastAsia="Arial Unicode MS" w:hAnsi="Arial" w:cs="Arial"/>
          <w:sz w:val="20"/>
          <w:szCs w:val="20"/>
        </w:rPr>
        <w:t>/202</w:t>
      </w:r>
      <w:r w:rsidR="006A7665">
        <w:rPr>
          <w:rFonts w:ascii="Arial" w:eastAsia="Arial Unicode MS" w:hAnsi="Arial" w:cs="Arial"/>
          <w:sz w:val="20"/>
          <w:szCs w:val="20"/>
        </w:rPr>
        <w:t>1</w:t>
      </w:r>
      <w:r w:rsidRPr="0034064D">
        <w:rPr>
          <w:rFonts w:ascii="Arial" w:eastAsia="Arial Unicode MS" w:hAnsi="Arial" w:cs="Arial"/>
          <w:sz w:val="20"/>
          <w:szCs w:val="20"/>
        </w:rPr>
        <w:t xml:space="preserve"> foi </w:t>
      </w:r>
      <w:r w:rsidR="00445E93">
        <w:rPr>
          <w:rFonts w:ascii="Arial" w:eastAsia="Arial Unicode MS" w:hAnsi="Arial" w:cs="Arial"/>
          <w:sz w:val="20"/>
          <w:szCs w:val="20"/>
        </w:rPr>
        <w:t>superavitário</w:t>
      </w:r>
      <w:r w:rsidRPr="0034064D">
        <w:rPr>
          <w:rFonts w:ascii="Arial" w:eastAsia="Arial Unicode MS" w:hAnsi="Arial" w:cs="Arial"/>
          <w:sz w:val="20"/>
          <w:szCs w:val="20"/>
        </w:rPr>
        <w:t xml:space="preserve"> em R$ </w:t>
      </w:r>
      <w:r w:rsidR="00445E93">
        <w:rPr>
          <w:rFonts w:ascii="Arial" w:eastAsia="Arial Unicode MS" w:hAnsi="Arial" w:cs="Arial"/>
          <w:sz w:val="20"/>
          <w:szCs w:val="20"/>
        </w:rPr>
        <w:t>9,42</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1B1D4657" w14:textId="45040ECD" w:rsidR="00445E93" w:rsidRDefault="00445E93" w:rsidP="00BA2679">
      <w:pPr>
        <w:spacing w:after="40"/>
        <w:rPr>
          <w:rFonts w:ascii="Arial" w:eastAsia="Arial Unicode MS" w:hAnsi="Arial" w:cs="Arial"/>
          <w:sz w:val="20"/>
          <w:szCs w:val="20"/>
        </w:rPr>
      </w:pPr>
      <w:r w:rsidRPr="00445E93">
        <w:rPr>
          <w:rFonts w:ascii="Arial" w:eastAsia="Arial Unicode MS" w:hAnsi="Arial" w:cs="Arial"/>
          <w:noProof/>
          <w:sz w:val="20"/>
          <w:szCs w:val="20"/>
        </w:rPr>
        <w:drawing>
          <wp:inline distT="0" distB="0" distL="0" distR="0" wp14:anchorId="58AF242B" wp14:editId="6CE5C002">
            <wp:extent cx="5200650" cy="1609725"/>
            <wp:effectExtent l="0" t="0" r="0"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00650" cy="1609725"/>
                    </a:xfrm>
                    <a:prstGeom prst="rect">
                      <a:avLst/>
                    </a:prstGeom>
                    <a:noFill/>
                    <a:ln>
                      <a:noFill/>
                    </a:ln>
                  </pic:spPr>
                </pic:pic>
              </a:graphicData>
            </a:graphic>
          </wp:inline>
        </w:drawing>
      </w:r>
    </w:p>
    <w:p w14:paraId="758534BF" w14:textId="3099DCDC" w:rsidR="006A7665" w:rsidRDefault="006A7665" w:rsidP="00BA2679">
      <w:pPr>
        <w:spacing w:after="40"/>
        <w:rPr>
          <w:rFonts w:ascii="Arial" w:eastAsia="Arial Unicode MS" w:hAnsi="Arial" w:cs="Arial"/>
          <w:sz w:val="20"/>
          <w:szCs w:val="20"/>
        </w:rPr>
      </w:pPr>
    </w:p>
    <w:p w14:paraId="3F0F61A6" w14:textId="2F3CC096" w:rsidR="00715A9E"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Observa-se que, no resultado Patrimonial do Período, houve um</w:t>
      </w:r>
      <w:r w:rsidR="00F044FB">
        <w:rPr>
          <w:rFonts w:ascii="Arial" w:eastAsia="Arial Unicode MS" w:hAnsi="Arial" w:cs="Arial"/>
          <w:sz w:val="20"/>
          <w:szCs w:val="20"/>
        </w:rPr>
        <w:t>a melhora</w:t>
      </w:r>
      <w:r w:rsidRPr="0034064D">
        <w:rPr>
          <w:rFonts w:ascii="Arial" w:eastAsia="Arial Unicode MS" w:hAnsi="Arial" w:cs="Arial"/>
          <w:sz w:val="20"/>
          <w:szCs w:val="20"/>
        </w:rPr>
        <w:t xml:space="preserve"> de resultado, quando comparado ao mesm</w:t>
      </w:r>
      <w:r w:rsidR="000C3A47">
        <w:rPr>
          <w:rFonts w:ascii="Arial" w:eastAsia="Arial Unicode MS" w:hAnsi="Arial" w:cs="Arial"/>
          <w:sz w:val="20"/>
          <w:szCs w:val="20"/>
        </w:rPr>
        <w:t>o período do exercício anterior.</w:t>
      </w:r>
      <w:r w:rsidRPr="0034064D">
        <w:rPr>
          <w:rFonts w:ascii="Arial" w:eastAsia="Arial Unicode MS" w:hAnsi="Arial" w:cs="Arial"/>
          <w:sz w:val="20"/>
          <w:szCs w:val="20"/>
        </w:rPr>
        <w:t xml:space="preserve"> Até o </w:t>
      </w:r>
      <w:r w:rsidR="00445E93">
        <w:rPr>
          <w:rFonts w:ascii="Arial" w:eastAsia="Arial Unicode MS" w:hAnsi="Arial" w:cs="Arial"/>
          <w:sz w:val="20"/>
          <w:szCs w:val="20"/>
        </w:rPr>
        <w:t>segundo</w:t>
      </w:r>
      <w:r w:rsidR="00905C49">
        <w:rPr>
          <w:rFonts w:ascii="Arial" w:eastAsia="Arial Unicode MS" w:hAnsi="Arial" w:cs="Arial"/>
          <w:sz w:val="20"/>
          <w:szCs w:val="20"/>
        </w:rPr>
        <w:t xml:space="preserve"> trimestre de 2020</w:t>
      </w:r>
      <w:r w:rsidRPr="0034064D">
        <w:rPr>
          <w:rFonts w:ascii="Arial" w:eastAsia="Arial Unicode MS" w:hAnsi="Arial" w:cs="Arial"/>
          <w:sz w:val="20"/>
          <w:szCs w:val="20"/>
        </w:rPr>
        <w:t xml:space="preserve">, o resultado foi </w:t>
      </w:r>
      <w:r w:rsidR="00445E93">
        <w:rPr>
          <w:rFonts w:ascii="Arial" w:eastAsia="Arial Unicode MS" w:hAnsi="Arial" w:cs="Arial"/>
          <w:sz w:val="20"/>
          <w:szCs w:val="20"/>
        </w:rPr>
        <w:t>positivo</w:t>
      </w:r>
      <w:r w:rsidR="00D30E8F">
        <w:rPr>
          <w:rFonts w:ascii="Arial" w:eastAsia="Arial Unicode MS" w:hAnsi="Arial" w:cs="Arial"/>
          <w:sz w:val="20"/>
          <w:szCs w:val="20"/>
        </w:rPr>
        <w:t xml:space="preserve"> em </w:t>
      </w:r>
      <w:r w:rsidRPr="0034064D">
        <w:rPr>
          <w:rFonts w:ascii="Arial" w:eastAsia="Arial Unicode MS" w:hAnsi="Arial" w:cs="Arial"/>
          <w:sz w:val="20"/>
          <w:szCs w:val="20"/>
        </w:rPr>
        <w:t xml:space="preserve">R$ </w:t>
      </w:r>
      <w:r w:rsidR="00445E93">
        <w:rPr>
          <w:rFonts w:ascii="Arial" w:eastAsia="Arial Unicode MS" w:hAnsi="Arial" w:cs="Arial"/>
          <w:sz w:val="20"/>
          <w:szCs w:val="20"/>
        </w:rPr>
        <w:t>3,41</w:t>
      </w:r>
      <w:r w:rsidRPr="0034064D">
        <w:rPr>
          <w:rFonts w:ascii="Arial" w:eastAsia="Arial Unicode MS" w:hAnsi="Arial" w:cs="Arial"/>
          <w:sz w:val="20"/>
          <w:szCs w:val="20"/>
        </w:rPr>
        <w:t xml:space="preserve"> milhões, ao passo que, no mesmo período de 20</w:t>
      </w:r>
      <w:r w:rsidR="00D30E8F">
        <w:rPr>
          <w:rFonts w:ascii="Arial" w:eastAsia="Arial Unicode MS" w:hAnsi="Arial" w:cs="Arial"/>
          <w:sz w:val="20"/>
          <w:szCs w:val="20"/>
        </w:rPr>
        <w:t>2</w:t>
      </w:r>
      <w:r w:rsidR="00905C49">
        <w:rPr>
          <w:rFonts w:ascii="Arial" w:eastAsia="Arial Unicode MS" w:hAnsi="Arial" w:cs="Arial"/>
          <w:sz w:val="20"/>
          <w:szCs w:val="20"/>
        </w:rPr>
        <w:t>1</w:t>
      </w:r>
      <w:r w:rsidRPr="0034064D">
        <w:rPr>
          <w:rFonts w:ascii="Arial" w:eastAsia="Arial Unicode MS" w:hAnsi="Arial" w:cs="Arial"/>
          <w:sz w:val="20"/>
          <w:szCs w:val="20"/>
        </w:rPr>
        <w:t xml:space="preserve">, o resultado foi </w:t>
      </w:r>
      <w:r w:rsidR="00445E93">
        <w:rPr>
          <w:rFonts w:ascii="Arial" w:eastAsia="Arial Unicode MS" w:hAnsi="Arial" w:cs="Arial"/>
          <w:sz w:val="20"/>
          <w:szCs w:val="20"/>
        </w:rPr>
        <w:t>positivo</w:t>
      </w:r>
      <w:r w:rsidRPr="0034064D">
        <w:rPr>
          <w:rFonts w:ascii="Arial" w:eastAsia="Arial Unicode MS" w:hAnsi="Arial" w:cs="Arial"/>
          <w:sz w:val="20"/>
          <w:szCs w:val="20"/>
        </w:rPr>
        <w:t xml:space="preserve"> em R$ </w:t>
      </w:r>
      <w:r w:rsidR="00445E93">
        <w:rPr>
          <w:rFonts w:ascii="Arial" w:eastAsia="Arial Unicode MS" w:hAnsi="Arial" w:cs="Arial"/>
          <w:sz w:val="20"/>
          <w:szCs w:val="20"/>
        </w:rPr>
        <w:t>9,42</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sidR="00FD63E4">
        <w:rPr>
          <w:rFonts w:ascii="Arial" w:eastAsia="Arial Unicode MS" w:hAnsi="Arial" w:cs="Arial"/>
          <w:sz w:val="20"/>
          <w:szCs w:val="20"/>
        </w:rPr>
        <w:t>acréscimo</w:t>
      </w:r>
      <w:r>
        <w:rPr>
          <w:rFonts w:ascii="Arial" w:eastAsia="Arial Unicode MS" w:hAnsi="Arial" w:cs="Arial"/>
          <w:sz w:val="20"/>
          <w:szCs w:val="20"/>
        </w:rPr>
        <w:t xml:space="preserve"> </w:t>
      </w:r>
      <w:r w:rsidRPr="0034064D">
        <w:rPr>
          <w:rFonts w:ascii="Arial" w:eastAsia="Arial Unicode MS" w:hAnsi="Arial" w:cs="Arial"/>
          <w:sz w:val="20"/>
          <w:szCs w:val="20"/>
        </w:rPr>
        <w:t xml:space="preserve">na ordem de R$ </w:t>
      </w:r>
      <w:r w:rsidR="00445E93">
        <w:rPr>
          <w:rFonts w:ascii="Arial" w:eastAsia="Arial Unicode MS" w:hAnsi="Arial" w:cs="Arial"/>
          <w:sz w:val="20"/>
          <w:szCs w:val="20"/>
        </w:rPr>
        <w:t>6</w:t>
      </w:r>
      <w:r w:rsidRPr="0034064D">
        <w:rPr>
          <w:rFonts w:ascii="Arial" w:eastAsia="Arial Unicode MS" w:hAnsi="Arial" w:cs="Arial"/>
          <w:sz w:val="20"/>
          <w:szCs w:val="20"/>
        </w:rPr>
        <w:t xml:space="preserve"> milhões. </w:t>
      </w:r>
      <w:r w:rsidR="00715A9E">
        <w:rPr>
          <w:rFonts w:ascii="Arial" w:eastAsia="Arial Unicode MS" w:hAnsi="Arial" w:cs="Arial"/>
          <w:sz w:val="20"/>
          <w:szCs w:val="20"/>
        </w:rPr>
        <w:t xml:space="preserve">Isso se deve ao fato de que houve </w:t>
      </w:r>
      <w:r w:rsidR="00445E93">
        <w:rPr>
          <w:rFonts w:ascii="Arial" w:eastAsia="Arial Unicode MS" w:hAnsi="Arial" w:cs="Arial"/>
          <w:sz w:val="20"/>
          <w:szCs w:val="20"/>
        </w:rPr>
        <w:t>maior</w:t>
      </w:r>
      <w:r w:rsidR="00715A9E">
        <w:rPr>
          <w:rFonts w:ascii="Arial" w:eastAsia="Arial Unicode MS" w:hAnsi="Arial" w:cs="Arial"/>
          <w:sz w:val="20"/>
          <w:szCs w:val="20"/>
        </w:rPr>
        <w:t xml:space="preserve"> variação patrimonial aumentativa em </w:t>
      </w:r>
      <w:r w:rsidR="00445E93">
        <w:rPr>
          <w:rFonts w:ascii="Arial" w:eastAsia="Arial Unicode MS" w:hAnsi="Arial" w:cs="Arial"/>
          <w:sz w:val="20"/>
          <w:szCs w:val="20"/>
        </w:rPr>
        <w:t>8</w:t>
      </w:r>
      <w:r w:rsidR="00715A9E">
        <w:rPr>
          <w:rFonts w:ascii="Arial" w:eastAsia="Arial Unicode MS" w:hAnsi="Arial" w:cs="Arial"/>
          <w:sz w:val="20"/>
          <w:szCs w:val="20"/>
        </w:rPr>
        <w:t xml:space="preserve">% representando R$ </w:t>
      </w:r>
      <w:r w:rsidR="00445E93">
        <w:rPr>
          <w:rFonts w:ascii="Arial" w:eastAsia="Arial Unicode MS" w:hAnsi="Arial" w:cs="Arial"/>
          <w:sz w:val="20"/>
          <w:szCs w:val="20"/>
        </w:rPr>
        <w:t>20</w:t>
      </w:r>
      <w:r w:rsidR="00715A9E">
        <w:rPr>
          <w:rFonts w:ascii="Arial" w:eastAsia="Arial Unicode MS" w:hAnsi="Arial" w:cs="Arial"/>
          <w:sz w:val="20"/>
          <w:szCs w:val="20"/>
        </w:rPr>
        <w:t xml:space="preserve"> milhões, enquanto que as variações patrimoniais diminutivas foram </w:t>
      </w:r>
      <w:r w:rsidR="00445E93">
        <w:rPr>
          <w:rFonts w:ascii="Arial" w:eastAsia="Arial Unicode MS" w:hAnsi="Arial" w:cs="Arial"/>
          <w:sz w:val="20"/>
          <w:szCs w:val="20"/>
        </w:rPr>
        <w:t>menores</w:t>
      </w:r>
      <w:r w:rsidR="00715A9E">
        <w:rPr>
          <w:rFonts w:ascii="Arial" w:eastAsia="Arial Unicode MS" w:hAnsi="Arial" w:cs="Arial"/>
          <w:sz w:val="20"/>
          <w:szCs w:val="20"/>
        </w:rPr>
        <w:t xml:space="preserve"> em </w:t>
      </w:r>
      <w:r w:rsidR="00445E93">
        <w:rPr>
          <w:rFonts w:ascii="Arial" w:eastAsia="Arial Unicode MS" w:hAnsi="Arial" w:cs="Arial"/>
          <w:sz w:val="20"/>
          <w:szCs w:val="20"/>
        </w:rPr>
        <w:t>5</w:t>
      </w:r>
      <w:r w:rsidR="00715A9E">
        <w:rPr>
          <w:rFonts w:ascii="Arial" w:eastAsia="Arial Unicode MS" w:hAnsi="Arial" w:cs="Arial"/>
          <w:sz w:val="20"/>
          <w:szCs w:val="20"/>
        </w:rPr>
        <w:t xml:space="preserve">%, representando R$ </w:t>
      </w:r>
      <w:r w:rsidR="00F51AF6">
        <w:rPr>
          <w:rFonts w:ascii="Arial" w:eastAsia="Arial Unicode MS" w:hAnsi="Arial" w:cs="Arial"/>
          <w:sz w:val="20"/>
          <w:szCs w:val="20"/>
        </w:rPr>
        <w:t>14</w:t>
      </w:r>
      <w:r w:rsidR="00715A9E">
        <w:rPr>
          <w:rFonts w:ascii="Arial" w:eastAsia="Arial Unicode MS" w:hAnsi="Arial" w:cs="Arial"/>
          <w:sz w:val="20"/>
          <w:szCs w:val="20"/>
        </w:rPr>
        <w:t xml:space="preserve"> milhões. </w:t>
      </w:r>
    </w:p>
    <w:p w14:paraId="4CCC8659" w14:textId="4549E62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Dentre as principais variações</w:t>
      </w:r>
      <w:r w:rsidR="00715A9E">
        <w:rPr>
          <w:rFonts w:ascii="Arial" w:eastAsia="Arial Unicode MS" w:hAnsi="Arial" w:cs="Arial"/>
          <w:sz w:val="20"/>
          <w:szCs w:val="20"/>
        </w:rPr>
        <w:t xml:space="preserve"> patrimoniais diminutivas</w:t>
      </w:r>
      <w:r w:rsidRPr="0034064D">
        <w:rPr>
          <w:rFonts w:ascii="Arial" w:eastAsia="Arial Unicode MS" w:hAnsi="Arial" w:cs="Arial"/>
          <w:sz w:val="20"/>
          <w:szCs w:val="20"/>
        </w:rPr>
        <w:t>, destacam-se:</w:t>
      </w:r>
    </w:p>
    <w:p w14:paraId="5D4AD3FB" w14:textId="4195B73D"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4C0A93">
        <w:rPr>
          <w:rFonts w:ascii="Arial" w:eastAsia="Arial Unicode MS" w:hAnsi="Arial" w:cs="Arial"/>
          <w:sz w:val="20"/>
          <w:szCs w:val="20"/>
        </w:rPr>
        <w:t>8,41</w:t>
      </w:r>
      <w:r w:rsidRPr="0034064D">
        <w:rPr>
          <w:rFonts w:ascii="Arial" w:eastAsia="Arial Unicode MS" w:hAnsi="Arial" w:cs="Arial"/>
          <w:sz w:val="20"/>
          <w:szCs w:val="20"/>
        </w:rPr>
        <w:t xml:space="preserve"> milhões (</w:t>
      </w:r>
      <w:r w:rsidR="004C0A93">
        <w:rPr>
          <w:rFonts w:ascii="Arial" w:eastAsia="Arial Unicode MS" w:hAnsi="Arial" w:cs="Arial"/>
          <w:sz w:val="20"/>
          <w:szCs w:val="20"/>
        </w:rPr>
        <w:t>4,49</w:t>
      </w:r>
      <w:r w:rsidRPr="0034064D">
        <w:rPr>
          <w:rFonts w:ascii="Arial" w:eastAsia="Arial Unicode MS" w:hAnsi="Arial" w:cs="Arial"/>
          <w:sz w:val="20"/>
          <w:szCs w:val="20"/>
        </w:rPr>
        <w:t>%);</w:t>
      </w:r>
    </w:p>
    <w:p w14:paraId="1AB3213F" w14:textId="4C8FF918"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II.</w:t>
      </w:r>
      <w:r>
        <w:rPr>
          <w:rFonts w:ascii="Arial" w:eastAsia="Arial Unicode MS" w:hAnsi="Arial" w:cs="Arial"/>
          <w:sz w:val="20"/>
          <w:szCs w:val="20"/>
        </w:rPr>
        <w:tab/>
        <w:t xml:space="preserve">Aumento dos gastos com Benefícios Previdenciários e Assistenciais em R$ </w:t>
      </w:r>
      <w:r w:rsidR="004C0A93">
        <w:rPr>
          <w:rFonts w:ascii="Arial" w:eastAsia="Arial Unicode MS" w:hAnsi="Arial" w:cs="Arial"/>
          <w:sz w:val="20"/>
          <w:szCs w:val="20"/>
        </w:rPr>
        <w:t>936</w:t>
      </w:r>
      <w:r w:rsidR="007B2AD1">
        <w:rPr>
          <w:rFonts w:ascii="Arial" w:eastAsia="Arial Unicode MS" w:hAnsi="Arial" w:cs="Arial"/>
          <w:sz w:val="20"/>
          <w:szCs w:val="20"/>
        </w:rPr>
        <w:t xml:space="preserve"> mil</w:t>
      </w:r>
      <w:r>
        <w:rPr>
          <w:rFonts w:ascii="Arial" w:eastAsia="Arial Unicode MS" w:hAnsi="Arial" w:cs="Arial"/>
          <w:sz w:val="20"/>
          <w:szCs w:val="20"/>
        </w:rPr>
        <w:t xml:space="preserve"> (</w:t>
      </w:r>
      <w:r w:rsidR="004C0A93">
        <w:rPr>
          <w:rFonts w:ascii="Arial" w:eastAsia="Arial Unicode MS" w:hAnsi="Arial" w:cs="Arial"/>
          <w:sz w:val="20"/>
          <w:szCs w:val="20"/>
        </w:rPr>
        <w:t>5,35</w:t>
      </w:r>
      <w:r>
        <w:rPr>
          <w:rFonts w:ascii="Arial" w:eastAsia="Arial Unicode MS" w:hAnsi="Arial" w:cs="Arial"/>
          <w:sz w:val="20"/>
          <w:szCs w:val="20"/>
        </w:rPr>
        <w:t>%);</w:t>
      </w:r>
    </w:p>
    <w:p w14:paraId="650F384A" w14:textId="5F041B9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r>
      <w:r w:rsidR="00083548">
        <w:rPr>
          <w:rFonts w:ascii="Arial" w:eastAsia="Arial Unicode MS" w:hAnsi="Arial" w:cs="Arial"/>
          <w:sz w:val="20"/>
          <w:szCs w:val="20"/>
        </w:rPr>
        <w:t>Aumento</w:t>
      </w:r>
      <w:r w:rsidRPr="0034064D">
        <w:rPr>
          <w:rFonts w:ascii="Arial" w:eastAsia="Arial Unicode MS" w:hAnsi="Arial" w:cs="Arial"/>
          <w:sz w:val="20"/>
          <w:szCs w:val="20"/>
        </w:rPr>
        <w:t xml:space="preserve"> </w:t>
      </w:r>
      <w:r>
        <w:rPr>
          <w:rFonts w:ascii="Arial" w:eastAsia="Arial Unicode MS" w:hAnsi="Arial" w:cs="Arial"/>
          <w:sz w:val="20"/>
          <w:szCs w:val="20"/>
        </w:rPr>
        <w:t xml:space="preserve">na Desvalorização </w:t>
      </w:r>
      <w:r w:rsidR="007B2AD1">
        <w:rPr>
          <w:rFonts w:ascii="Arial" w:eastAsia="Arial Unicode MS" w:hAnsi="Arial" w:cs="Arial"/>
          <w:sz w:val="20"/>
          <w:szCs w:val="20"/>
        </w:rPr>
        <w:t xml:space="preserve">e Perda </w:t>
      </w:r>
      <w:r w:rsidR="00A7003B">
        <w:rPr>
          <w:rFonts w:ascii="Arial" w:eastAsia="Arial Unicode MS" w:hAnsi="Arial" w:cs="Arial"/>
          <w:sz w:val="20"/>
          <w:szCs w:val="20"/>
        </w:rPr>
        <w:t>de Ativos</w:t>
      </w:r>
      <w:r>
        <w:rPr>
          <w:rFonts w:ascii="Arial" w:eastAsia="Arial Unicode MS" w:hAnsi="Arial" w:cs="Arial"/>
          <w:sz w:val="20"/>
          <w:szCs w:val="20"/>
        </w:rPr>
        <w:t xml:space="preserve"> </w:t>
      </w:r>
      <w:proofErr w:type="gramStart"/>
      <w:r w:rsidRPr="0034064D">
        <w:rPr>
          <w:rFonts w:ascii="Arial" w:eastAsia="Arial Unicode MS" w:hAnsi="Arial" w:cs="Arial"/>
          <w:sz w:val="20"/>
          <w:szCs w:val="20"/>
        </w:rPr>
        <w:t xml:space="preserve">em </w:t>
      </w:r>
      <w:r w:rsidR="00B802A3">
        <w:rPr>
          <w:rFonts w:ascii="Arial" w:eastAsia="Arial Unicode MS" w:hAnsi="Arial" w:cs="Arial"/>
          <w:sz w:val="20"/>
          <w:szCs w:val="20"/>
        </w:rPr>
        <w:t xml:space="preserve"> </w:t>
      </w:r>
      <w:r w:rsidRPr="0034064D">
        <w:rPr>
          <w:rFonts w:ascii="Arial" w:eastAsia="Arial Unicode MS" w:hAnsi="Arial" w:cs="Arial"/>
          <w:sz w:val="20"/>
          <w:szCs w:val="20"/>
        </w:rPr>
        <w:t>R</w:t>
      </w:r>
      <w:proofErr w:type="gramEnd"/>
      <w:r w:rsidRPr="0034064D">
        <w:rPr>
          <w:rFonts w:ascii="Arial" w:eastAsia="Arial Unicode MS" w:hAnsi="Arial" w:cs="Arial"/>
          <w:sz w:val="20"/>
          <w:szCs w:val="20"/>
        </w:rPr>
        <w:t xml:space="preserve">$ </w:t>
      </w:r>
      <w:r w:rsidR="004C0A93">
        <w:rPr>
          <w:rFonts w:ascii="Arial" w:eastAsia="Arial Unicode MS" w:hAnsi="Arial" w:cs="Arial"/>
          <w:sz w:val="20"/>
          <w:szCs w:val="20"/>
        </w:rPr>
        <w:t>4,81</w:t>
      </w:r>
      <w:r w:rsidRPr="0034064D">
        <w:rPr>
          <w:rFonts w:ascii="Arial" w:eastAsia="Arial Unicode MS" w:hAnsi="Arial" w:cs="Arial"/>
          <w:sz w:val="20"/>
          <w:szCs w:val="20"/>
        </w:rPr>
        <w:t xml:space="preserve"> milhões (</w:t>
      </w:r>
      <w:r w:rsidR="004C0A93">
        <w:rPr>
          <w:rFonts w:ascii="Arial" w:eastAsia="Arial Unicode MS" w:hAnsi="Arial" w:cs="Arial"/>
          <w:sz w:val="20"/>
          <w:szCs w:val="20"/>
        </w:rPr>
        <w:t>149,22</w:t>
      </w:r>
      <w:r w:rsidRPr="0034064D">
        <w:rPr>
          <w:rFonts w:ascii="Arial" w:eastAsia="Arial Unicode MS" w:hAnsi="Arial" w:cs="Arial"/>
          <w:sz w:val="20"/>
          <w:szCs w:val="20"/>
        </w:rPr>
        <w:t>%)</w:t>
      </w:r>
      <w:r w:rsidR="00A7003B">
        <w:rPr>
          <w:rFonts w:ascii="Arial" w:eastAsia="Arial Unicode MS" w:hAnsi="Arial" w:cs="Arial"/>
          <w:sz w:val="20"/>
          <w:szCs w:val="20"/>
        </w:rPr>
        <w:t>.</w:t>
      </w:r>
    </w:p>
    <w:p w14:paraId="13EF56E3" w14:textId="55AF200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3A6CE817" w14:textId="0AB0271E" w:rsidR="004C0A93" w:rsidRDefault="004C0A93" w:rsidP="00BA2679">
      <w:pPr>
        <w:spacing w:after="40"/>
        <w:rPr>
          <w:rFonts w:ascii="Arial" w:eastAsia="Arial Unicode MS" w:hAnsi="Arial" w:cs="Arial"/>
          <w:sz w:val="20"/>
          <w:szCs w:val="20"/>
        </w:rPr>
      </w:pPr>
      <w:r w:rsidRPr="004C0A93">
        <w:rPr>
          <w:rFonts w:ascii="Arial" w:eastAsia="Arial Unicode MS" w:hAnsi="Arial" w:cs="Arial"/>
          <w:noProof/>
          <w:sz w:val="20"/>
          <w:szCs w:val="20"/>
        </w:rPr>
        <w:drawing>
          <wp:inline distT="0" distB="0" distL="0" distR="0" wp14:anchorId="6D8B5BBF" wp14:editId="46A33515">
            <wp:extent cx="6479540" cy="2932430"/>
            <wp:effectExtent l="0" t="0" r="0" b="127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9540" cy="2932430"/>
                    </a:xfrm>
                    <a:prstGeom prst="rect">
                      <a:avLst/>
                    </a:prstGeom>
                    <a:noFill/>
                    <a:ln>
                      <a:noFill/>
                    </a:ln>
                  </pic:spPr>
                </pic:pic>
              </a:graphicData>
            </a:graphic>
          </wp:inline>
        </w:drawing>
      </w:r>
    </w:p>
    <w:p w14:paraId="678005EE" w14:textId="19BAAF4D" w:rsidR="00083548" w:rsidRDefault="00083548" w:rsidP="00BA2679">
      <w:pPr>
        <w:spacing w:after="40"/>
        <w:rPr>
          <w:rFonts w:ascii="Arial" w:eastAsia="Arial Unicode MS" w:hAnsi="Arial" w:cs="Arial"/>
          <w:sz w:val="20"/>
          <w:szCs w:val="20"/>
        </w:rPr>
      </w:pPr>
    </w:p>
    <w:p w14:paraId="17A15A5E" w14:textId="2BBA200A" w:rsidR="007D7318" w:rsidRDefault="007D7318" w:rsidP="00BA2679">
      <w:pPr>
        <w:spacing w:after="40"/>
        <w:rPr>
          <w:rFonts w:ascii="Arial" w:eastAsia="Arial Unicode MS" w:hAnsi="Arial" w:cs="Arial"/>
          <w:sz w:val="20"/>
          <w:szCs w:val="20"/>
        </w:rPr>
      </w:pPr>
    </w:p>
    <w:p w14:paraId="0C8677A5" w14:textId="77777777" w:rsidR="000C3A47" w:rsidRDefault="000C3A47" w:rsidP="00BA2679">
      <w:pPr>
        <w:spacing w:after="40"/>
        <w:rPr>
          <w:rFonts w:ascii="Arial" w:eastAsia="Arial Unicode MS" w:hAnsi="Arial" w:cs="Arial"/>
          <w:sz w:val="20"/>
          <w:szCs w:val="20"/>
        </w:rPr>
        <w:sectPr w:rsidR="000C3A47" w:rsidSect="00BF1A98">
          <w:type w:val="continuous"/>
          <w:pgSz w:w="11906" w:h="16838"/>
          <w:pgMar w:top="1021" w:right="851" w:bottom="851" w:left="851" w:header="709" w:footer="0" w:gutter="0"/>
          <w:cols w:space="708"/>
          <w:docGrid w:linePitch="360"/>
        </w:sectPr>
      </w:pPr>
    </w:p>
    <w:p w14:paraId="5557D168" w14:textId="51A8FE88" w:rsidR="00612A6E"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Dentre as Variações Patrimoniais Aumentativas destacamos o resultado positivo </w:t>
      </w:r>
      <w:r w:rsidR="00C94180">
        <w:rPr>
          <w:rFonts w:ascii="Arial" w:eastAsia="Arial Unicode MS" w:hAnsi="Arial" w:cs="Arial"/>
          <w:sz w:val="20"/>
          <w:szCs w:val="20"/>
        </w:rPr>
        <w:t>das</w:t>
      </w:r>
      <w:r w:rsidRPr="0034064D">
        <w:rPr>
          <w:rFonts w:ascii="Arial" w:eastAsia="Arial Unicode MS" w:hAnsi="Arial" w:cs="Arial"/>
          <w:sz w:val="20"/>
          <w:szCs w:val="20"/>
        </w:rPr>
        <w:t xml:space="preserve">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831591">
        <w:rPr>
          <w:rFonts w:ascii="Arial" w:eastAsia="Arial Unicode MS" w:hAnsi="Arial" w:cs="Arial"/>
          <w:sz w:val="20"/>
          <w:szCs w:val="20"/>
        </w:rPr>
        <w:t>13,33</w:t>
      </w:r>
      <w:r w:rsidR="004E57B3">
        <w:rPr>
          <w:rFonts w:ascii="Arial" w:eastAsia="Arial Unicode MS" w:hAnsi="Arial" w:cs="Arial"/>
          <w:sz w:val="20"/>
          <w:szCs w:val="20"/>
        </w:rPr>
        <w:t xml:space="preserve"> milhões </w:t>
      </w:r>
      <w:r w:rsidR="0005413C">
        <w:rPr>
          <w:rFonts w:ascii="Arial" w:eastAsia="Arial Unicode MS" w:hAnsi="Arial" w:cs="Arial"/>
          <w:sz w:val="20"/>
          <w:szCs w:val="20"/>
        </w:rPr>
        <w:t xml:space="preserve"> </w:t>
      </w:r>
      <w:r w:rsidRPr="0034064D">
        <w:rPr>
          <w:rFonts w:ascii="Arial" w:eastAsia="Arial Unicode MS" w:hAnsi="Arial" w:cs="Arial"/>
          <w:sz w:val="20"/>
          <w:szCs w:val="20"/>
        </w:rPr>
        <w:t>(</w:t>
      </w:r>
      <w:r w:rsidR="00831591">
        <w:rPr>
          <w:rFonts w:ascii="Arial" w:eastAsia="Arial Unicode MS" w:hAnsi="Arial" w:cs="Arial"/>
          <w:sz w:val="20"/>
          <w:szCs w:val="20"/>
        </w:rPr>
        <w:t>5,46</w:t>
      </w:r>
      <w:r w:rsidR="00671CCC">
        <w:rPr>
          <w:rFonts w:ascii="Arial" w:eastAsia="Arial Unicode MS" w:hAnsi="Arial" w:cs="Arial"/>
          <w:sz w:val="20"/>
          <w:szCs w:val="20"/>
        </w:rPr>
        <w:t>%</w:t>
      </w:r>
      <w:r w:rsidRPr="0034064D">
        <w:rPr>
          <w:rFonts w:ascii="Arial" w:eastAsia="Arial Unicode MS" w:hAnsi="Arial" w:cs="Arial"/>
          <w:sz w:val="20"/>
          <w:szCs w:val="20"/>
        </w:rPr>
        <w:t>)</w:t>
      </w:r>
      <w:r w:rsidR="00C94180">
        <w:rPr>
          <w:rFonts w:ascii="Arial" w:eastAsia="Arial Unicode MS" w:hAnsi="Arial" w:cs="Arial"/>
          <w:sz w:val="20"/>
          <w:szCs w:val="20"/>
        </w:rPr>
        <w:t>,</w:t>
      </w:r>
      <w:r w:rsidRPr="0034064D">
        <w:rPr>
          <w:rFonts w:ascii="Arial" w:eastAsia="Arial Unicode MS" w:hAnsi="Arial" w:cs="Arial"/>
          <w:sz w:val="20"/>
          <w:szCs w:val="20"/>
        </w:rPr>
        <w:t xml:space="preserve"> </w:t>
      </w:r>
      <w:r w:rsidR="00814D3D">
        <w:rPr>
          <w:rFonts w:ascii="Arial" w:eastAsia="Arial Unicode MS" w:hAnsi="Arial" w:cs="Arial"/>
          <w:sz w:val="20"/>
          <w:szCs w:val="20"/>
        </w:rPr>
        <w:t xml:space="preserve">em sua maior parte </w:t>
      </w:r>
      <w:r w:rsidRPr="0034064D">
        <w:rPr>
          <w:rFonts w:ascii="Arial" w:eastAsia="Arial Unicode MS" w:hAnsi="Arial" w:cs="Arial"/>
          <w:sz w:val="20"/>
          <w:szCs w:val="20"/>
        </w:rPr>
        <w:t xml:space="preserve">pelo repasse da Secretaria de Planejamento e Orçamento, correspondentes </w:t>
      </w:r>
      <w:r w:rsidR="00814D3D">
        <w:rPr>
          <w:rFonts w:ascii="Arial" w:eastAsia="Arial Unicode MS" w:hAnsi="Arial" w:cs="Arial"/>
          <w:sz w:val="20"/>
          <w:szCs w:val="20"/>
        </w:rPr>
        <w:t>às transferências de recursos para pagamento de Restos a Pagar e para despesas da execução orçamentária do exercício vigente</w:t>
      </w:r>
      <w:r w:rsidRPr="0034064D">
        <w:rPr>
          <w:rFonts w:ascii="Arial" w:eastAsia="Arial Unicode MS" w:hAnsi="Arial" w:cs="Arial"/>
          <w:sz w:val="20"/>
          <w:szCs w:val="20"/>
        </w:rPr>
        <w:t>, quando comparado ao mesm</w:t>
      </w:r>
      <w:r>
        <w:rPr>
          <w:rFonts w:ascii="Arial" w:eastAsia="Arial Unicode MS" w:hAnsi="Arial" w:cs="Arial"/>
          <w:sz w:val="20"/>
          <w:szCs w:val="20"/>
        </w:rPr>
        <w:t xml:space="preserve">o período do exercício anterior, e </w:t>
      </w:r>
      <w:r w:rsidR="004E57B3">
        <w:rPr>
          <w:rFonts w:ascii="Arial" w:eastAsia="Arial Unicode MS" w:hAnsi="Arial" w:cs="Arial"/>
          <w:sz w:val="20"/>
          <w:szCs w:val="20"/>
        </w:rPr>
        <w:t xml:space="preserve">aumento </w:t>
      </w:r>
      <w:r>
        <w:rPr>
          <w:rFonts w:ascii="Arial" w:eastAsia="Arial Unicode MS" w:hAnsi="Arial" w:cs="Arial"/>
          <w:sz w:val="20"/>
          <w:szCs w:val="20"/>
        </w:rPr>
        <w:t xml:space="preserve">na Valorização e ganhos com Ativos </w:t>
      </w:r>
      <w:r w:rsidR="00612A6E">
        <w:rPr>
          <w:rFonts w:ascii="Arial" w:eastAsia="Arial Unicode MS" w:hAnsi="Arial" w:cs="Arial"/>
          <w:sz w:val="20"/>
          <w:szCs w:val="20"/>
        </w:rPr>
        <w:t>e Desincorporação de Passivos</w:t>
      </w:r>
      <w:r w:rsidR="00972945">
        <w:rPr>
          <w:rFonts w:ascii="Arial" w:eastAsia="Arial Unicode MS" w:hAnsi="Arial" w:cs="Arial"/>
          <w:sz w:val="20"/>
          <w:szCs w:val="20"/>
        </w:rPr>
        <w:t xml:space="preserve"> em R$</w:t>
      </w:r>
      <w:r w:rsidR="004E57B3">
        <w:rPr>
          <w:rFonts w:ascii="Arial" w:eastAsia="Arial Unicode MS" w:hAnsi="Arial" w:cs="Arial"/>
          <w:sz w:val="20"/>
          <w:szCs w:val="20"/>
        </w:rPr>
        <w:t xml:space="preserve"> </w:t>
      </w:r>
      <w:r w:rsidR="00831591">
        <w:rPr>
          <w:rFonts w:ascii="Arial" w:eastAsia="Arial Unicode MS" w:hAnsi="Arial" w:cs="Arial"/>
          <w:sz w:val="20"/>
          <w:szCs w:val="20"/>
        </w:rPr>
        <w:t>5,73</w:t>
      </w:r>
      <w:r w:rsidR="00972945">
        <w:rPr>
          <w:rFonts w:ascii="Arial" w:eastAsia="Arial Unicode MS" w:hAnsi="Arial" w:cs="Arial"/>
          <w:sz w:val="20"/>
          <w:szCs w:val="20"/>
        </w:rPr>
        <w:t xml:space="preserve"> milhões (</w:t>
      </w:r>
      <w:r w:rsidR="00831591">
        <w:rPr>
          <w:rFonts w:ascii="Arial" w:eastAsia="Arial Unicode MS" w:hAnsi="Arial" w:cs="Arial"/>
          <w:sz w:val="20"/>
          <w:szCs w:val="20"/>
        </w:rPr>
        <w:t>40,53</w:t>
      </w:r>
      <w:r w:rsidR="00972945">
        <w:rPr>
          <w:rFonts w:ascii="Arial" w:eastAsia="Arial Unicode MS" w:hAnsi="Arial" w:cs="Arial"/>
          <w:sz w:val="20"/>
          <w:szCs w:val="20"/>
        </w:rPr>
        <w:t>%)</w:t>
      </w:r>
      <w:r w:rsidR="00612A6E">
        <w:rPr>
          <w:rFonts w:ascii="Arial" w:eastAsia="Arial Unicode MS" w:hAnsi="Arial" w:cs="Arial"/>
          <w:sz w:val="20"/>
          <w:szCs w:val="20"/>
        </w:rPr>
        <w:t>, como segue:</w:t>
      </w:r>
    </w:p>
    <w:p w14:paraId="70BCD5D1" w14:textId="614CFB5B" w:rsidR="00EB171D" w:rsidRDefault="00EB171D" w:rsidP="00BA2679">
      <w:pPr>
        <w:spacing w:after="40"/>
        <w:rPr>
          <w:rFonts w:ascii="Arial" w:eastAsia="Arial Unicode MS" w:hAnsi="Arial" w:cs="Arial"/>
          <w:sz w:val="20"/>
          <w:szCs w:val="20"/>
        </w:rPr>
      </w:pPr>
      <w:r>
        <w:rPr>
          <w:rFonts w:ascii="Arial" w:eastAsia="Arial Unicode MS" w:hAnsi="Arial" w:cs="Arial"/>
          <w:sz w:val="20"/>
          <w:szCs w:val="20"/>
        </w:rPr>
        <w:t>Pela Comprovação Transferência de recursos ao instituto Federal de São Paulo pela compra de equipamentos de informática, R$ 23,9 mil;</w:t>
      </w:r>
    </w:p>
    <w:p w14:paraId="6153AAD9" w14:textId="54D9AAF5" w:rsidR="00EB171D" w:rsidRDefault="00EB171D" w:rsidP="00BA2679">
      <w:pPr>
        <w:spacing w:after="40"/>
        <w:rPr>
          <w:rFonts w:ascii="Arial" w:eastAsia="Arial Unicode MS" w:hAnsi="Arial" w:cs="Arial"/>
          <w:sz w:val="20"/>
          <w:szCs w:val="20"/>
        </w:rPr>
      </w:pPr>
      <w:r>
        <w:rPr>
          <w:rFonts w:ascii="Arial" w:eastAsia="Arial Unicode MS" w:hAnsi="Arial" w:cs="Arial"/>
          <w:sz w:val="20"/>
          <w:szCs w:val="20"/>
        </w:rPr>
        <w:t xml:space="preserve">Pela Devolução de recursos financeiros ao Ministério do Turismo para alterações na vinculação de </w:t>
      </w:r>
      <w:proofErr w:type="spellStart"/>
      <w:r>
        <w:rPr>
          <w:rFonts w:ascii="Arial" w:eastAsia="Arial Unicode MS" w:hAnsi="Arial" w:cs="Arial"/>
          <w:sz w:val="20"/>
          <w:szCs w:val="20"/>
        </w:rPr>
        <w:t>recusos</w:t>
      </w:r>
      <w:proofErr w:type="spellEnd"/>
      <w:r>
        <w:rPr>
          <w:rFonts w:ascii="Arial" w:eastAsia="Arial Unicode MS" w:hAnsi="Arial" w:cs="Arial"/>
          <w:sz w:val="20"/>
          <w:szCs w:val="20"/>
        </w:rPr>
        <w:t xml:space="preserve"> destinados a aquisição de equipamentos para produção </w:t>
      </w:r>
      <w:proofErr w:type="spellStart"/>
      <w:r>
        <w:rPr>
          <w:rFonts w:ascii="Arial" w:eastAsia="Arial Unicode MS" w:hAnsi="Arial" w:cs="Arial"/>
          <w:sz w:val="20"/>
          <w:szCs w:val="20"/>
        </w:rPr>
        <w:t>áudio-visual</w:t>
      </w:r>
      <w:proofErr w:type="spellEnd"/>
      <w:r>
        <w:rPr>
          <w:rFonts w:ascii="Arial" w:eastAsia="Arial Unicode MS" w:hAnsi="Arial" w:cs="Arial"/>
          <w:sz w:val="20"/>
          <w:szCs w:val="20"/>
        </w:rPr>
        <w:t>, R$ 300 mil;</w:t>
      </w:r>
    </w:p>
    <w:p w14:paraId="3D806341" w14:textId="695DF35E" w:rsidR="00492507" w:rsidRDefault="00492507" w:rsidP="00BA2679">
      <w:pPr>
        <w:spacing w:after="40"/>
        <w:rPr>
          <w:rFonts w:ascii="Arial" w:eastAsia="Arial Unicode MS" w:hAnsi="Arial" w:cs="Arial"/>
          <w:sz w:val="20"/>
          <w:szCs w:val="20"/>
        </w:rPr>
      </w:pPr>
      <w:r>
        <w:rPr>
          <w:rFonts w:ascii="Arial" w:eastAsia="Arial Unicode MS" w:hAnsi="Arial" w:cs="Arial"/>
          <w:sz w:val="20"/>
          <w:szCs w:val="20"/>
        </w:rPr>
        <w:t>Pela Comprovação Transferência de recursos à Secretaria Nacional Esportes, Educação, Lazer e Inclusão Social, pela ampliação ao acesso às atividades físicas e recreativas através dos “Jogos IFRS”, R$ 150 mil</w:t>
      </w:r>
      <w:r w:rsidR="00EA2CA0">
        <w:rPr>
          <w:rFonts w:ascii="Arial" w:eastAsia="Arial Unicode MS" w:hAnsi="Arial" w:cs="Arial"/>
          <w:sz w:val="20"/>
          <w:szCs w:val="20"/>
        </w:rPr>
        <w:t xml:space="preserve"> TED 698274</w:t>
      </w:r>
      <w:r>
        <w:rPr>
          <w:rFonts w:ascii="Arial" w:eastAsia="Arial Unicode MS" w:hAnsi="Arial" w:cs="Arial"/>
          <w:sz w:val="20"/>
          <w:szCs w:val="20"/>
        </w:rPr>
        <w:t>;</w:t>
      </w:r>
    </w:p>
    <w:p w14:paraId="5BA9D1DB" w14:textId="5DEF5EAB" w:rsidR="00492507" w:rsidRDefault="00492507" w:rsidP="00492507">
      <w:pPr>
        <w:spacing w:after="40"/>
        <w:rPr>
          <w:rFonts w:ascii="Arial" w:eastAsia="Arial Unicode MS" w:hAnsi="Arial" w:cs="Arial"/>
          <w:sz w:val="20"/>
          <w:szCs w:val="20"/>
        </w:rPr>
      </w:pPr>
      <w:r>
        <w:rPr>
          <w:rFonts w:ascii="Arial" w:eastAsia="Arial Unicode MS" w:hAnsi="Arial" w:cs="Arial"/>
          <w:sz w:val="20"/>
          <w:szCs w:val="20"/>
        </w:rPr>
        <w:t>Pela Comprovação Transferência de recursos à Fundação Coordenação de Aperfeiçoamento de Pessoal Nível Superior pela aquisição de materiais e serviços para formação de professores no IFRS</w:t>
      </w:r>
      <w:r w:rsidR="00EA2CA0">
        <w:rPr>
          <w:rFonts w:ascii="Arial" w:eastAsia="Arial Unicode MS" w:hAnsi="Arial" w:cs="Arial"/>
          <w:sz w:val="20"/>
          <w:szCs w:val="20"/>
        </w:rPr>
        <w:t>, R$ 20.000,00 TED 694225;</w:t>
      </w:r>
    </w:p>
    <w:p w14:paraId="7CB8BC07" w14:textId="3A4A4589" w:rsidR="00EA2CA0" w:rsidRDefault="00EA2CA0" w:rsidP="00EA2CA0">
      <w:pPr>
        <w:spacing w:after="40"/>
        <w:rPr>
          <w:rFonts w:ascii="Arial" w:eastAsia="Arial Unicode MS" w:hAnsi="Arial" w:cs="Arial"/>
          <w:sz w:val="20"/>
          <w:szCs w:val="20"/>
        </w:rPr>
      </w:pPr>
      <w:r>
        <w:rPr>
          <w:rFonts w:ascii="Arial" w:eastAsia="Arial Unicode MS" w:hAnsi="Arial" w:cs="Arial"/>
          <w:sz w:val="20"/>
          <w:szCs w:val="20"/>
        </w:rPr>
        <w:t>Pela Devolução de parte dos recursos à Fundação Coordenação de Aperfeiçoamento de Pessoal Nível Superior, R$ 13 mil TED 695644;</w:t>
      </w:r>
    </w:p>
    <w:p w14:paraId="4E5A6AF7" w14:textId="53942D52" w:rsidR="00EA2CA0" w:rsidRDefault="00EA2CA0" w:rsidP="00EA2CA0">
      <w:pPr>
        <w:spacing w:after="40"/>
        <w:rPr>
          <w:rFonts w:ascii="Arial" w:eastAsia="Arial Unicode MS" w:hAnsi="Arial" w:cs="Arial"/>
          <w:sz w:val="20"/>
          <w:szCs w:val="20"/>
        </w:rPr>
      </w:pPr>
      <w:r>
        <w:rPr>
          <w:rFonts w:ascii="Arial" w:eastAsia="Arial Unicode MS" w:hAnsi="Arial" w:cs="Arial"/>
          <w:sz w:val="20"/>
          <w:szCs w:val="20"/>
        </w:rPr>
        <w:t>Pela transferência do passivo relativo aos precatórios alimentares e comuns a serem pagos em 2021 (incluídos ou reincluídos pela lei 13.463/2017, Processo Administrativo 0007980-80.2015.4.04.8000 – Tribunal Regional Federal 4ª</w:t>
      </w:r>
      <w:r w:rsidR="007824E0">
        <w:rPr>
          <w:rFonts w:ascii="Arial" w:eastAsia="Arial Unicode MS" w:hAnsi="Arial" w:cs="Arial"/>
          <w:sz w:val="20"/>
          <w:szCs w:val="20"/>
        </w:rPr>
        <w:t xml:space="preserve"> Região, R$ 13,77 milhões;</w:t>
      </w:r>
    </w:p>
    <w:p w14:paraId="5BB6D0B1" w14:textId="6BAB0B03" w:rsidR="00195E96" w:rsidRDefault="00195E96" w:rsidP="00BA2679">
      <w:pPr>
        <w:spacing w:after="40"/>
        <w:rPr>
          <w:rFonts w:ascii="Arial" w:eastAsia="Arial Unicode MS" w:hAnsi="Arial" w:cs="Arial"/>
          <w:sz w:val="20"/>
          <w:szCs w:val="20"/>
        </w:rPr>
      </w:pPr>
      <w:r>
        <w:rPr>
          <w:rFonts w:ascii="Arial" w:eastAsia="Arial Unicode MS" w:hAnsi="Arial" w:cs="Arial"/>
          <w:sz w:val="20"/>
          <w:szCs w:val="20"/>
        </w:rPr>
        <w:t>Pela reavaliação de bens imóveis junto ao prédio sede do Campus Canoas, R$ 5,59 milhões.</w:t>
      </w:r>
    </w:p>
    <w:p w14:paraId="4ADC0DB8" w14:textId="77777777" w:rsidR="00942C57" w:rsidRPr="0034064D" w:rsidRDefault="00942C57" w:rsidP="00BA2679">
      <w:pPr>
        <w:spacing w:after="40"/>
        <w:rPr>
          <w:rFonts w:ascii="Arial" w:eastAsia="Arial Unicode MS" w:hAnsi="Arial" w:cs="Arial"/>
          <w:sz w:val="20"/>
          <w:szCs w:val="20"/>
        </w:rPr>
      </w:pPr>
    </w:p>
    <w:p w14:paraId="658A6976" w14:textId="639FAF3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7824E0">
        <w:rPr>
          <w:rFonts w:ascii="Arial" w:eastAsia="Arial Unicode MS" w:hAnsi="Arial" w:cs="Arial"/>
          <w:sz w:val="20"/>
          <w:szCs w:val="20"/>
        </w:rPr>
        <w:t>junho</w:t>
      </w:r>
      <w:r w:rsidR="00195E96">
        <w:rPr>
          <w:rFonts w:ascii="Arial" w:eastAsia="Arial Unicode MS" w:hAnsi="Arial" w:cs="Arial"/>
          <w:sz w:val="20"/>
          <w:szCs w:val="20"/>
        </w:rPr>
        <w:t>/2021</w:t>
      </w:r>
      <w:r w:rsidRPr="0034064D">
        <w:rPr>
          <w:rFonts w:ascii="Arial" w:eastAsia="Arial Unicode MS" w:hAnsi="Arial" w:cs="Arial"/>
          <w:sz w:val="20"/>
          <w:szCs w:val="20"/>
        </w:rPr>
        <w:t>, houve um</w:t>
      </w:r>
      <w:r w:rsidR="000945A4">
        <w:rPr>
          <w:rFonts w:ascii="Arial" w:eastAsia="Arial Unicode MS" w:hAnsi="Arial" w:cs="Arial"/>
          <w:sz w:val="20"/>
          <w:szCs w:val="20"/>
        </w:rPr>
        <w:t>a melhora no</w:t>
      </w:r>
      <w:r w:rsidRPr="0034064D">
        <w:rPr>
          <w:rFonts w:ascii="Arial" w:eastAsia="Arial Unicode MS" w:hAnsi="Arial" w:cs="Arial"/>
          <w:sz w:val="20"/>
          <w:szCs w:val="20"/>
        </w:rPr>
        <w:t xml:space="preserve"> resultado patrimonial, quando comparado ao mesmo período do exercício anterior, equivalente a R$ </w:t>
      </w:r>
      <w:r w:rsidR="007824E0">
        <w:rPr>
          <w:rFonts w:ascii="Arial" w:eastAsia="Arial Unicode MS" w:hAnsi="Arial" w:cs="Arial"/>
          <w:sz w:val="20"/>
          <w:szCs w:val="20"/>
        </w:rPr>
        <w:t>6,00</w:t>
      </w:r>
      <w:r w:rsidR="00B7382B">
        <w:rPr>
          <w:rFonts w:ascii="Arial" w:eastAsia="Arial Unicode MS" w:hAnsi="Arial" w:cs="Arial"/>
          <w:sz w:val="20"/>
          <w:szCs w:val="20"/>
        </w:rPr>
        <w:t xml:space="preserve"> </w:t>
      </w:r>
      <w:r w:rsidR="000A1C3D">
        <w:rPr>
          <w:rFonts w:ascii="Arial" w:eastAsia="Arial Unicode MS" w:hAnsi="Arial" w:cs="Arial"/>
          <w:sz w:val="20"/>
          <w:szCs w:val="20"/>
        </w:rPr>
        <w:t xml:space="preserve"> milhões,</w:t>
      </w:r>
      <w:r w:rsidRPr="0034064D">
        <w:rPr>
          <w:rFonts w:ascii="Arial" w:eastAsia="Arial Unicode MS" w:hAnsi="Arial" w:cs="Arial"/>
          <w:sz w:val="20"/>
          <w:szCs w:val="20"/>
        </w:rPr>
        <w:t xml:space="preserve"> impactado </w:t>
      </w:r>
      <w:r w:rsidR="000945A4">
        <w:rPr>
          <w:rFonts w:ascii="Arial" w:eastAsia="Arial Unicode MS" w:hAnsi="Arial" w:cs="Arial"/>
          <w:sz w:val="20"/>
          <w:szCs w:val="20"/>
        </w:rPr>
        <w:t xml:space="preserve">de um lado pela comprovação de diversos valores </w:t>
      </w:r>
      <w:r w:rsidR="00195E96">
        <w:rPr>
          <w:rFonts w:ascii="Arial" w:eastAsia="Arial Unicode MS" w:hAnsi="Arial" w:cs="Arial"/>
          <w:sz w:val="20"/>
          <w:szCs w:val="20"/>
        </w:rPr>
        <w:t xml:space="preserve">recebidos para execução orçamentária e reavaliação de imóveis </w:t>
      </w:r>
      <w:r w:rsidR="009C444E">
        <w:rPr>
          <w:rFonts w:ascii="Arial" w:eastAsia="Arial Unicode MS" w:hAnsi="Arial" w:cs="Arial"/>
          <w:sz w:val="20"/>
          <w:szCs w:val="20"/>
        </w:rPr>
        <w:t xml:space="preserve"> </w:t>
      </w:r>
      <w:r w:rsidR="000945A4">
        <w:rPr>
          <w:rFonts w:ascii="Arial" w:eastAsia="Arial Unicode MS" w:hAnsi="Arial" w:cs="Arial"/>
          <w:sz w:val="20"/>
          <w:szCs w:val="20"/>
        </w:rPr>
        <w:t xml:space="preserve">e por outro lado pela diminuição </w:t>
      </w:r>
      <w:r w:rsidR="005418F3">
        <w:rPr>
          <w:rFonts w:ascii="Arial" w:eastAsia="Arial Unicode MS" w:hAnsi="Arial" w:cs="Arial"/>
          <w:sz w:val="20"/>
          <w:szCs w:val="20"/>
        </w:rPr>
        <w:t xml:space="preserve">expressiva de incorporação de passivos, representados justamente, em sua maioria, pela inscrição de responsabilidade para aplicação de novos </w:t>
      </w:r>
      <w:proofErr w:type="spellStart"/>
      <w:r w:rsidR="005418F3">
        <w:rPr>
          <w:rFonts w:ascii="Arial" w:eastAsia="Arial Unicode MS" w:hAnsi="Arial" w:cs="Arial"/>
          <w:sz w:val="20"/>
          <w:szCs w:val="20"/>
        </w:rPr>
        <w:t>TEDs</w:t>
      </w:r>
      <w:proofErr w:type="spellEnd"/>
      <w:r w:rsidR="005418F3">
        <w:rPr>
          <w:rFonts w:ascii="Arial" w:eastAsia="Arial Unicode MS" w:hAnsi="Arial" w:cs="Arial"/>
          <w:sz w:val="20"/>
          <w:szCs w:val="20"/>
        </w:rPr>
        <w:t xml:space="preserve"> – Termos de Execução Descentralizada.</w:t>
      </w:r>
    </w:p>
    <w:p w14:paraId="09FCB966" w14:textId="36F8D141" w:rsidR="00BA2679" w:rsidRPr="0034064D" w:rsidRDefault="00BA2679" w:rsidP="00BA2679">
      <w:pPr>
        <w:spacing w:after="40"/>
        <w:rPr>
          <w:rFonts w:ascii="Arial" w:eastAsia="Arial Unicode MS" w:hAnsi="Arial" w:cs="Arial"/>
          <w:sz w:val="20"/>
          <w:szCs w:val="20"/>
        </w:rPr>
      </w:pPr>
      <w:r w:rsidRPr="00C36F50">
        <w:rPr>
          <w:rFonts w:ascii="Arial" w:eastAsia="Arial Unicode MS" w:hAnsi="Arial" w:cs="Arial"/>
          <w:sz w:val="20"/>
          <w:szCs w:val="20"/>
        </w:rPr>
        <w:t xml:space="preserve">Os grupos relacionados ao desempenho valorativo de ativos (Valorização e Ganhos com Ativos </w:t>
      </w:r>
      <w:r w:rsidR="00200428" w:rsidRPr="00C36F50">
        <w:rPr>
          <w:rFonts w:ascii="Arial" w:eastAsia="Arial Unicode MS" w:hAnsi="Arial" w:cs="Arial"/>
          <w:sz w:val="20"/>
          <w:szCs w:val="20"/>
        </w:rPr>
        <w:t xml:space="preserve"> e Desincorporação de Passivos X</w:t>
      </w:r>
      <w:r w:rsidRPr="00C36F50">
        <w:rPr>
          <w:rFonts w:ascii="Arial" w:eastAsia="Arial Unicode MS" w:hAnsi="Arial" w:cs="Arial"/>
          <w:sz w:val="20"/>
          <w:szCs w:val="20"/>
        </w:rPr>
        <w:t xml:space="preserve"> Desvalorização e Perda de Ativos</w:t>
      </w:r>
      <w:r w:rsidR="00200428" w:rsidRPr="00C36F50">
        <w:rPr>
          <w:rFonts w:ascii="Arial" w:eastAsia="Arial Unicode MS" w:hAnsi="Arial" w:cs="Arial"/>
          <w:sz w:val="20"/>
          <w:szCs w:val="20"/>
        </w:rPr>
        <w:t xml:space="preserve"> e incorporação de passivos</w:t>
      </w:r>
      <w:r w:rsidRPr="00C36F50">
        <w:rPr>
          <w:rFonts w:ascii="Arial" w:eastAsia="Arial Unicode MS" w:hAnsi="Arial" w:cs="Arial"/>
          <w:sz w:val="20"/>
          <w:szCs w:val="20"/>
        </w:rPr>
        <w:t xml:space="preserve">), </w:t>
      </w:r>
      <w:r w:rsidR="00200428" w:rsidRPr="00C36F50">
        <w:rPr>
          <w:rFonts w:ascii="Arial" w:eastAsia="Arial Unicode MS" w:hAnsi="Arial" w:cs="Arial"/>
          <w:sz w:val="20"/>
          <w:szCs w:val="20"/>
        </w:rPr>
        <w:t xml:space="preserve">que levam ao </w:t>
      </w:r>
      <w:r w:rsidRPr="00C36F50">
        <w:rPr>
          <w:rFonts w:ascii="Arial" w:eastAsia="Arial Unicode MS" w:hAnsi="Arial" w:cs="Arial"/>
          <w:sz w:val="20"/>
          <w:szCs w:val="20"/>
        </w:rPr>
        <w:t xml:space="preserve">Resultado Valorativo de Ativos, apresentaram um </w:t>
      </w:r>
      <w:r w:rsidR="00200428" w:rsidRPr="00C36F50">
        <w:rPr>
          <w:rFonts w:ascii="Arial" w:eastAsia="Arial Unicode MS" w:hAnsi="Arial" w:cs="Arial"/>
          <w:sz w:val="20"/>
          <w:szCs w:val="20"/>
        </w:rPr>
        <w:t xml:space="preserve">resultado </w:t>
      </w:r>
      <w:r w:rsidR="00391706">
        <w:rPr>
          <w:rFonts w:ascii="Arial" w:eastAsia="Arial Unicode MS" w:hAnsi="Arial" w:cs="Arial"/>
          <w:sz w:val="20"/>
          <w:szCs w:val="20"/>
        </w:rPr>
        <w:t>negativo</w:t>
      </w:r>
      <w:r w:rsidR="00200428" w:rsidRPr="00C36F50">
        <w:rPr>
          <w:rFonts w:ascii="Arial" w:eastAsia="Arial Unicode MS" w:hAnsi="Arial" w:cs="Arial"/>
          <w:sz w:val="20"/>
          <w:szCs w:val="20"/>
        </w:rPr>
        <w:t xml:space="preserve"> na ordem de R$ </w:t>
      </w:r>
      <w:r w:rsidR="00321271">
        <w:rPr>
          <w:rFonts w:ascii="Arial" w:eastAsia="Arial Unicode MS" w:hAnsi="Arial" w:cs="Arial"/>
          <w:sz w:val="20"/>
          <w:szCs w:val="20"/>
        </w:rPr>
        <w:t>11,84</w:t>
      </w:r>
      <w:r w:rsidR="00200428" w:rsidRPr="00C36F50">
        <w:rPr>
          <w:rFonts w:ascii="Arial" w:eastAsia="Arial Unicode MS" w:hAnsi="Arial" w:cs="Arial"/>
          <w:sz w:val="20"/>
          <w:szCs w:val="20"/>
        </w:rPr>
        <w:t xml:space="preserve"> mil</w:t>
      </w:r>
      <w:r w:rsidR="00321271">
        <w:rPr>
          <w:rFonts w:ascii="Arial" w:eastAsia="Arial Unicode MS" w:hAnsi="Arial" w:cs="Arial"/>
          <w:sz w:val="20"/>
          <w:szCs w:val="20"/>
        </w:rPr>
        <w:t>hões</w:t>
      </w:r>
      <w:r w:rsidR="00200428" w:rsidRPr="00C36F50">
        <w:rPr>
          <w:rFonts w:ascii="Arial" w:eastAsia="Arial Unicode MS" w:hAnsi="Arial" w:cs="Arial"/>
          <w:sz w:val="20"/>
          <w:szCs w:val="20"/>
        </w:rPr>
        <w:t xml:space="preserve">, decorrentes principalmente pela </w:t>
      </w:r>
      <w:r w:rsidR="00C36F50" w:rsidRPr="00C36F50">
        <w:rPr>
          <w:rFonts w:ascii="Arial" w:eastAsia="Arial Unicode MS" w:hAnsi="Arial" w:cs="Arial"/>
          <w:sz w:val="20"/>
          <w:szCs w:val="20"/>
        </w:rPr>
        <w:t xml:space="preserve">reavaliação de bens imóveis Campus </w:t>
      </w:r>
      <w:r w:rsidR="00391706">
        <w:rPr>
          <w:rFonts w:ascii="Arial" w:eastAsia="Arial Unicode MS" w:hAnsi="Arial" w:cs="Arial"/>
          <w:sz w:val="20"/>
          <w:szCs w:val="20"/>
        </w:rPr>
        <w:t>Canoas</w:t>
      </w:r>
      <w:r w:rsidR="00C36F50" w:rsidRPr="00C36F50">
        <w:rPr>
          <w:rFonts w:ascii="Arial" w:eastAsia="Arial Unicode MS" w:hAnsi="Arial" w:cs="Arial"/>
          <w:sz w:val="20"/>
          <w:szCs w:val="20"/>
        </w:rPr>
        <w:t xml:space="preserve">, pela desincorporação de passivos pela prestação de contas de diversos </w:t>
      </w:r>
      <w:proofErr w:type="spellStart"/>
      <w:r w:rsidR="00C36F50" w:rsidRPr="00C36F50">
        <w:rPr>
          <w:rFonts w:ascii="Arial" w:eastAsia="Arial Unicode MS" w:hAnsi="Arial" w:cs="Arial"/>
          <w:sz w:val="20"/>
          <w:szCs w:val="20"/>
        </w:rPr>
        <w:t>TED”s</w:t>
      </w:r>
      <w:proofErr w:type="spellEnd"/>
      <w:r w:rsidR="00C36F50" w:rsidRPr="00C36F50">
        <w:rPr>
          <w:rFonts w:ascii="Arial" w:eastAsia="Arial Unicode MS" w:hAnsi="Arial" w:cs="Arial"/>
          <w:sz w:val="20"/>
          <w:szCs w:val="20"/>
        </w:rPr>
        <w:t xml:space="preserve"> , em contrapartida de menor incorporação de passivos pela responsabilidade de novos </w:t>
      </w:r>
      <w:proofErr w:type="spellStart"/>
      <w:r w:rsidR="00C36F50" w:rsidRPr="00C36F50">
        <w:rPr>
          <w:rFonts w:ascii="Arial" w:eastAsia="Arial Unicode MS" w:hAnsi="Arial" w:cs="Arial"/>
          <w:sz w:val="20"/>
          <w:szCs w:val="20"/>
        </w:rPr>
        <w:t>TED”s</w:t>
      </w:r>
      <w:proofErr w:type="spellEnd"/>
      <w:r w:rsidR="00C36F50" w:rsidRPr="00C36F50">
        <w:rPr>
          <w:rFonts w:ascii="Arial" w:eastAsia="Arial Unicode MS" w:hAnsi="Arial" w:cs="Arial"/>
          <w:sz w:val="20"/>
          <w:szCs w:val="20"/>
        </w:rPr>
        <w:t xml:space="preserve">, o que resultou em uma variação equivalente a </w:t>
      </w:r>
      <w:r w:rsidR="00321271">
        <w:rPr>
          <w:rFonts w:ascii="Arial" w:eastAsia="Arial Unicode MS" w:hAnsi="Arial" w:cs="Arial"/>
          <w:sz w:val="20"/>
          <w:szCs w:val="20"/>
        </w:rPr>
        <w:t>8</w:t>
      </w:r>
      <w:r w:rsidR="00C36F50" w:rsidRPr="00C36F50">
        <w:rPr>
          <w:rFonts w:ascii="Arial" w:eastAsia="Arial Unicode MS" w:hAnsi="Arial" w:cs="Arial"/>
          <w:sz w:val="20"/>
          <w:szCs w:val="20"/>
        </w:rPr>
        <w:t xml:space="preserve">% em relação ao </w:t>
      </w:r>
      <w:r w:rsidR="00321271">
        <w:rPr>
          <w:rFonts w:ascii="Arial" w:eastAsia="Arial Unicode MS" w:hAnsi="Arial" w:cs="Arial"/>
          <w:sz w:val="20"/>
          <w:szCs w:val="20"/>
        </w:rPr>
        <w:t xml:space="preserve">mesmo período do </w:t>
      </w:r>
      <w:r w:rsidR="00C36F50" w:rsidRPr="00C36F50">
        <w:rPr>
          <w:rFonts w:ascii="Arial" w:eastAsia="Arial Unicode MS" w:hAnsi="Arial" w:cs="Arial"/>
          <w:sz w:val="20"/>
          <w:szCs w:val="20"/>
        </w:rPr>
        <w:t>exercício anterior, representando cerca de</w:t>
      </w:r>
      <w:r w:rsidR="00391706">
        <w:rPr>
          <w:rFonts w:ascii="Arial" w:eastAsia="Arial Unicode MS" w:hAnsi="Arial" w:cs="Arial"/>
          <w:sz w:val="20"/>
          <w:szCs w:val="20"/>
        </w:rPr>
        <w:t xml:space="preserve"> </w:t>
      </w:r>
      <w:r w:rsidR="00C36F50" w:rsidRPr="00C36F50">
        <w:rPr>
          <w:rFonts w:ascii="Arial" w:eastAsia="Arial Unicode MS" w:hAnsi="Arial" w:cs="Arial"/>
          <w:sz w:val="20"/>
          <w:szCs w:val="20"/>
        </w:rPr>
        <w:t xml:space="preserve">R$ </w:t>
      </w:r>
      <w:r w:rsidR="00321271">
        <w:rPr>
          <w:rFonts w:ascii="Arial" w:eastAsia="Arial Unicode MS" w:hAnsi="Arial" w:cs="Arial"/>
          <w:sz w:val="20"/>
          <w:szCs w:val="20"/>
        </w:rPr>
        <w:t>920</w:t>
      </w:r>
      <w:r w:rsidR="00C36F50" w:rsidRPr="00C36F50">
        <w:rPr>
          <w:rFonts w:ascii="Arial" w:eastAsia="Arial Unicode MS" w:hAnsi="Arial" w:cs="Arial"/>
          <w:sz w:val="20"/>
          <w:szCs w:val="20"/>
        </w:rPr>
        <w:t xml:space="preserve"> mil</w:t>
      </w:r>
      <w:r w:rsidR="00C36F50">
        <w:rPr>
          <w:rFonts w:ascii="Arial" w:eastAsia="Arial Unicode MS" w:hAnsi="Arial" w:cs="Arial"/>
          <w:color w:val="FF0000"/>
          <w:sz w:val="20"/>
          <w:szCs w:val="20"/>
        </w:rPr>
        <w:t>.</w:t>
      </w:r>
    </w:p>
    <w:p w14:paraId="3F613640" w14:textId="24981CF6"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391706">
        <w:rPr>
          <w:rFonts w:ascii="Arial" w:eastAsia="Arial Unicode MS" w:hAnsi="Arial" w:cs="Arial"/>
          <w:sz w:val="20"/>
          <w:szCs w:val="20"/>
        </w:rPr>
        <w:t>março</w:t>
      </w:r>
      <w:r w:rsidR="00F43244">
        <w:rPr>
          <w:rFonts w:ascii="Arial" w:eastAsia="Arial Unicode MS" w:hAnsi="Arial" w:cs="Arial"/>
          <w:sz w:val="20"/>
          <w:szCs w:val="20"/>
        </w:rPr>
        <w:t>/202</w:t>
      </w:r>
      <w:r w:rsidR="00391706">
        <w:rPr>
          <w:rFonts w:ascii="Arial" w:eastAsia="Arial Unicode MS" w:hAnsi="Arial" w:cs="Arial"/>
          <w:sz w:val="20"/>
          <w:szCs w:val="20"/>
        </w:rPr>
        <w:t>1</w:t>
      </w:r>
      <w:r w:rsidRPr="0034064D">
        <w:rPr>
          <w:rFonts w:ascii="Arial" w:eastAsia="Arial Unicode MS" w:hAnsi="Arial" w:cs="Arial"/>
          <w:sz w:val="20"/>
          <w:szCs w:val="20"/>
        </w:rPr>
        <w:t>, comparados ao mesmo período do ano anterior, bem como das variações comparativas relacionadas aos períodos mencionados.</w:t>
      </w:r>
    </w:p>
    <w:p w14:paraId="7A9BC109" w14:textId="46FCEB3E" w:rsidR="00321271" w:rsidRDefault="00321271" w:rsidP="00BA2679">
      <w:pPr>
        <w:spacing w:after="40"/>
        <w:rPr>
          <w:rFonts w:ascii="Arial" w:eastAsia="Arial Unicode MS" w:hAnsi="Arial" w:cs="Arial"/>
          <w:sz w:val="20"/>
          <w:szCs w:val="20"/>
        </w:rPr>
      </w:pPr>
      <w:r w:rsidRPr="00321271">
        <w:rPr>
          <w:rFonts w:ascii="Arial" w:eastAsia="Arial Unicode MS" w:hAnsi="Arial" w:cs="Arial"/>
          <w:noProof/>
          <w:sz w:val="20"/>
          <w:szCs w:val="20"/>
        </w:rPr>
        <w:drawing>
          <wp:inline distT="0" distB="0" distL="0" distR="0" wp14:anchorId="657FF6EA" wp14:editId="0AE68D42">
            <wp:extent cx="5791200" cy="2581275"/>
            <wp:effectExtent l="0" t="0" r="0" b="952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91200" cy="2581275"/>
                    </a:xfrm>
                    <a:prstGeom prst="rect">
                      <a:avLst/>
                    </a:prstGeom>
                    <a:noFill/>
                    <a:ln>
                      <a:noFill/>
                    </a:ln>
                  </pic:spPr>
                </pic:pic>
              </a:graphicData>
            </a:graphic>
          </wp:inline>
        </w:drawing>
      </w:r>
    </w:p>
    <w:p w14:paraId="6FD9732D" w14:textId="664BAF2F" w:rsidR="00321271" w:rsidRDefault="00321271" w:rsidP="00BA2679">
      <w:pPr>
        <w:spacing w:after="40"/>
        <w:rPr>
          <w:rFonts w:ascii="Arial" w:eastAsia="Arial Unicode MS" w:hAnsi="Arial" w:cs="Arial"/>
          <w:sz w:val="20"/>
          <w:szCs w:val="20"/>
        </w:rPr>
      </w:pPr>
      <w:r w:rsidRPr="00321271">
        <w:rPr>
          <w:rFonts w:ascii="Arial" w:eastAsia="Arial Unicode MS" w:hAnsi="Arial" w:cs="Arial"/>
          <w:noProof/>
          <w:sz w:val="20"/>
          <w:szCs w:val="20"/>
        </w:rPr>
        <w:lastRenderedPageBreak/>
        <w:drawing>
          <wp:inline distT="0" distB="0" distL="0" distR="0" wp14:anchorId="75644587" wp14:editId="1B8F5F67">
            <wp:extent cx="3962400" cy="162877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2400" cy="1628775"/>
                    </a:xfrm>
                    <a:prstGeom prst="rect">
                      <a:avLst/>
                    </a:prstGeom>
                    <a:noFill/>
                    <a:ln>
                      <a:noFill/>
                    </a:ln>
                  </pic:spPr>
                </pic:pic>
              </a:graphicData>
            </a:graphic>
          </wp:inline>
        </w:drawing>
      </w:r>
    </w:p>
    <w:p w14:paraId="38E663FA" w14:textId="29E3EC79" w:rsidR="00391706" w:rsidRDefault="00391706" w:rsidP="00BA2679">
      <w:pPr>
        <w:spacing w:after="40"/>
        <w:rPr>
          <w:rFonts w:ascii="Arial" w:eastAsia="Arial Unicode MS" w:hAnsi="Arial" w:cs="Arial"/>
          <w:sz w:val="20"/>
          <w:szCs w:val="20"/>
        </w:rPr>
      </w:pPr>
    </w:p>
    <w:p w14:paraId="04BE6FFF" w14:textId="081C5253" w:rsidR="003C08C7" w:rsidRDefault="00BA2679" w:rsidP="003C08C7">
      <w:pPr>
        <w:spacing w:after="40"/>
        <w:rPr>
          <w:rFonts w:ascii="Arial" w:eastAsia="Arial Unicode MS" w:hAnsi="Arial" w:cs="Arial"/>
          <w:sz w:val="20"/>
          <w:szCs w:val="20"/>
        </w:rPr>
      </w:pPr>
      <w:r w:rsidRPr="0034064D">
        <w:rPr>
          <w:rFonts w:ascii="Arial" w:eastAsia="Arial Unicode MS" w:hAnsi="Arial" w:cs="Arial"/>
          <w:sz w:val="20"/>
          <w:szCs w:val="20"/>
        </w:rPr>
        <w:t xml:space="preserve">O item </w:t>
      </w:r>
      <w:r w:rsidR="00C70E2F">
        <w:rPr>
          <w:rFonts w:ascii="Arial" w:eastAsia="Arial Unicode MS" w:hAnsi="Arial" w:cs="Arial"/>
          <w:sz w:val="20"/>
          <w:szCs w:val="20"/>
        </w:rPr>
        <w:t xml:space="preserve">positivo </w:t>
      </w:r>
      <w:r w:rsidRPr="0034064D">
        <w:rPr>
          <w:rFonts w:ascii="Arial" w:eastAsia="Arial Unicode MS" w:hAnsi="Arial" w:cs="Arial"/>
          <w:sz w:val="20"/>
          <w:szCs w:val="20"/>
        </w:rPr>
        <w:t>do Resultado Valorativo de Ativos mais relevante está relacionado</w:t>
      </w:r>
      <w:r w:rsidR="00EF0765">
        <w:rPr>
          <w:rFonts w:ascii="Arial" w:eastAsia="Arial Unicode MS" w:hAnsi="Arial" w:cs="Arial"/>
          <w:sz w:val="20"/>
          <w:szCs w:val="20"/>
        </w:rPr>
        <w:t xml:space="preserve"> transferência de passivo relativo a precatórios alimentares a </w:t>
      </w:r>
      <w:r w:rsidR="003C08C7">
        <w:rPr>
          <w:rFonts w:ascii="Arial" w:eastAsia="Arial Unicode MS" w:hAnsi="Arial" w:cs="Arial"/>
          <w:sz w:val="20"/>
          <w:szCs w:val="20"/>
        </w:rPr>
        <w:t>serem pagos no exercício TRF 4ª Região, no montante de R$ 13,77 milhões e</w:t>
      </w:r>
      <w:r w:rsidRPr="0034064D">
        <w:rPr>
          <w:rFonts w:ascii="Arial" w:eastAsia="Arial Unicode MS" w:hAnsi="Arial" w:cs="Arial"/>
          <w:sz w:val="20"/>
          <w:szCs w:val="20"/>
        </w:rPr>
        <w:t xml:space="preserve"> à </w:t>
      </w:r>
      <w:r w:rsidR="00F43244">
        <w:rPr>
          <w:rFonts w:ascii="Arial" w:eastAsia="Arial Unicode MS" w:hAnsi="Arial" w:cs="Arial"/>
          <w:sz w:val="20"/>
          <w:szCs w:val="20"/>
        </w:rPr>
        <w:t xml:space="preserve">Ganhos com </w:t>
      </w:r>
      <w:r w:rsidR="00391706">
        <w:rPr>
          <w:rFonts w:ascii="Arial" w:eastAsia="Arial Unicode MS" w:hAnsi="Arial" w:cs="Arial"/>
          <w:sz w:val="20"/>
          <w:szCs w:val="20"/>
        </w:rPr>
        <w:t>reavaliação de imobilizado</w:t>
      </w:r>
      <w:r w:rsidRPr="0034064D">
        <w:rPr>
          <w:rFonts w:ascii="Arial" w:eastAsia="Arial Unicode MS" w:hAnsi="Arial" w:cs="Arial"/>
          <w:sz w:val="20"/>
          <w:szCs w:val="20"/>
        </w:rPr>
        <w:t xml:space="preserve">, no montante de R$ </w:t>
      </w:r>
      <w:r w:rsidR="00391706">
        <w:rPr>
          <w:rFonts w:ascii="Arial" w:eastAsia="Arial Unicode MS" w:hAnsi="Arial" w:cs="Arial"/>
          <w:sz w:val="20"/>
          <w:szCs w:val="20"/>
        </w:rPr>
        <w:t>5,58</w:t>
      </w:r>
      <w:r w:rsidR="00F43244">
        <w:rPr>
          <w:rFonts w:ascii="Arial" w:eastAsia="Arial Unicode MS" w:hAnsi="Arial" w:cs="Arial"/>
          <w:sz w:val="20"/>
          <w:szCs w:val="20"/>
        </w:rPr>
        <w:t xml:space="preserve"> </w:t>
      </w:r>
      <w:r w:rsidRPr="0034064D">
        <w:rPr>
          <w:rFonts w:ascii="Arial" w:eastAsia="Arial Unicode MS" w:hAnsi="Arial" w:cs="Arial"/>
          <w:sz w:val="20"/>
          <w:szCs w:val="20"/>
        </w:rPr>
        <w:t xml:space="preserve">milhões até o </w:t>
      </w:r>
      <w:r w:rsidR="00EF0765">
        <w:rPr>
          <w:rFonts w:ascii="Arial" w:eastAsia="Arial Unicode MS" w:hAnsi="Arial" w:cs="Arial"/>
          <w:sz w:val="20"/>
          <w:szCs w:val="20"/>
        </w:rPr>
        <w:t>segundo</w:t>
      </w:r>
      <w:r>
        <w:rPr>
          <w:rFonts w:ascii="Arial" w:eastAsia="Arial Unicode MS" w:hAnsi="Arial" w:cs="Arial"/>
          <w:sz w:val="20"/>
          <w:szCs w:val="20"/>
        </w:rPr>
        <w:t xml:space="preserve"> trimestre de 20</w:t>
      </w:r>
      <w:r w:rsidR="00F43244">
        <w:rPr>
          <w:rFonts w:ascii="Arial" w:eastAsia="Arial Unicode MS" w:hAnsi="Arial" w:cs="Arial"/>
          <w:sz w:val="20"/>
          <w:szCs w:val="20"/>
        </w:rPr>
        <w:t>2</w:t>
      </w:r>
      <w:r w:rsidR="00391706">
        <w:rPr>
          <w:rFonts w:ascii="Arial" w:eastAsia="Arial Unicode MS" w:hAnsi="Arial" w:cs="Arial"/>
          <w:sz w:val="20"/>
          <w:szCs w:val="20"/>
        </w:rPr>
        <w:t>1</w:t>
      </w:r>
      <w:r w:rsidRPr="0034064D">
        <w:rPr>
          <w:rFonts w:ascii="Arial" w:eastAsia="Arial Unicode MS" w:hAnsi="Arial" w:cs="Arial"/>
          <w:sz w:val="20"/>
          <w:szCs w:val="20"/>
        </w:rPr>
        <w:t>. Tais valores são demonstrados na figura que segue e correspondem</w:t>
      </w:r>
      <w:r w:rsidR="008532AD">
        <w:rPr>
          <w:rFonts w:ascii="Arial" w:eastAsia="Arial Unicode MS" w:hAnsi="Arial" w:cs="Arial"/>
          <w:sz w:val="20"/>
          <w:szCs w:val="20"/>
        </w:rPr>
        <w:t xml:space="preserve"> </w:t>
      </w:r>
      <w:r w:rsidR="00E10096">
        <w:rPr>
          <w:rFonts w:ascii="Arial" w:eastAsia="Arial Unicode MS" w:hAnsi="Arial" w:cs="Arial"/>
          <w:sz w:val="20"/>
          <w:szCs w:val="20"/>
        </w:rPr>
        <w:t>em</w:t>
      </w:r>
      <w:r w:rsidR="008532AD">
        <w:rPr>
          <w:rFonts w:ascii="Arial" w:eastAsia="Arial Unicode MS" w:hAnsi="Arial" w:cs="Arial"/>
          <w:sz w:val="20"/>
          <w:szCs w:val="20"/>
        </w:rPr>
        <w:t xml:space="preserve"> </w:t>
      </w:r>
      <w:proofErr w:type="gramStart"/>
      <w:r w:rsidR="003C08C7">
        <w:rPr>
          <w:rFonts w:ascii="Arial" w:eastAsia="Arial Unicode MS" w:hAnsi="Arial" w:cs="Arial"/>
          <w:sz w:val="20"/>
          <w:szCs w:val="20"/>
        </w:rPr>
        <w:t>97,</w:t>
      </w:r>
      <w:r w:rsidR="008532AD">
        <w:rPr>
          <w:rFonts w:ascii="Arial" w:eastAsia="Arial Unicode MS" w:hAnsi="Arial" w:cs="Arial"/>
          <w:sz w:val="20"/>
          <w:szCs w:val="20"/>
        </w:rPr>
        <w:t>%</w:t>
      </w:r>
      <w:proofErr w:type="gramEnd"/>
      <w:r w:rsidRPr="0034064D">
        <w:rPr>
          <w:rFonts w:ascii="Arial" w:eastAsia="Arial Unicode MS" w:hAnsi="Arial" w:cs="Arial"/>
          <w:sz w:val="20"/>
          <w:szCs w:val="20"/>
        </w:rPr>
        <w:t xml:space="preserve">, </w:t>
      </w:r>
      <w:r w:rsidR="008532AD">
        <w:rPr>
          <w:rFonts w:ascii="Arial" w:eastAsia="Arial Unicode MS" w:hAnsi="Arial" w:cs="Arial"/>
          <w:sz w:val="20"/>
          <w:szCs w:val="20"/>
        </w:rPr>
        <w:t xml:space="preserve">a prestação de contas </w:t>
      </w:r>
      <w:r w:rsidR="003C08C7">
        <w:rPr>
          <w:rFonts w:ascii="Arial" w:eastAsia="Arial Unicode MS" w:hAnsi="Arial" w:cs="Arial"/>
          <w:sz w:val="20"/>
          <w:szCs w:val="20"/>
        </w:rPr>
        <w:t xml:space="preserve">e devolução de </w:t>
      </w:r>
      <w:proofErr w:type="spellStart"/>
      <w:r w:rsidR="008532AD">
        <w:rPr>
          <w:rFonts w:ascii="Arial" w:eastAsia="Arial Unicode MS" w:hAnsi="Arial" w:cs="Arial"/>
          <w:sz w:val="20"/>
          <w:szCs w:val="20"/>
        </w:rPr>
        <w:t>de</w:t>
      </w:r>
      <w:proofErr w:type="spellEnd"/>
      <w:r w:rsidR="008532AD">
        <w:rPr>
          <w:rFonts w:ascii="Arial" w:eastAsia="Arial Unicode MS" w:hAnsi="Arial" w:cs="Arial"/>
          <w:sz w:val="20"/>
          <w:szCs w:val="20"/>
        </w:rPr>
        <w:t xml:space="preserve"> recursos d</w:t>
      </w:r>
      <w:r w:rsidR="0025176D">
        <w:rPr>
          <w:rFonts w:ascii="Arial" w:eastAsia="Arial Unicode MS" w:hAnsi="Arial" w:cs="Arial"/>
          <w:sz w:val="20"/>
          <w:szCs w:val="20"/>
        </w:rPr>
        <w:t>e</w:t>
      </w:r>
      <w:r w:rsidR="008532AD">
        <w:rPr>
          <w:rFonts w:ascii="Arial" w:eastAsia="Arial Unicode MS" w:hAnsi="Arial" w:cs="Arial"/>
          <w:sz w:val="20"/>
          <w:szCs w:val="20"/>
        </w:rPr>
        <w:t xml:space="preserve"> </w:t>
      </w:r>
      <w:proofErr w:type="spellStart"/>
      <w:r w:rsidR="008532AD">
        <w:rPr>
          <w:rFonts w:ascii="Arial" w:eastAsia="Arial Unicode MS" w:hAnsi="Arial" w:cs="Arial"/>
          <w:sz w:val="20"/>
          <w:szCs w:val="20"/>
        </w:rPr>
        <w:t>TEDs</w:t>
      </w:r>
      <w:proofErr w:type="spellEnd"/>
      <w:r w:rsidR="00223E63">
        <w:rPr>
          <w:rFonts w:ascii="Arial" w:eastAsia="Arial Unicode MS" w:hAnsi="Arial" w:cs="Arial"/>
          <w:sz w:val="20"/>
          <w:szCs w:val="20"/>
        </w:rPr>
        <w:t xml:space="preserve"> </w:t>
      </w:r>
      <w:r w:rsidR="008532AD">
        <w:rPr>
          <w:rFonts w:ascii="Arial" w:eastAsia="Arial Unicode MS" w:hAnsi="Arial" w:cs="Arial"/>
          <w:sz w:val="20"/>
          <w:szCs w:val="20"/>
        </w:rPr>
        <w:t>baixados pelos respectiv</w:t>
      </w:r>
      <w:r w:rsidR="00223E63">
        <w:rPr>
          <w:rFonts w:ascii="Arial" w:eastAsia="Arial Unicode MS" w:hAnsi="Arial" w:cs="Arial"/>
          <w:sz w:val="20"/>
          <w:szCs w:val="20"/>
        </w:rPr>
        <w:t>os</w:t>
      </w:r>
      <w:r w:rsidR="008532AD">
        <w:rPr>
          <w:rFonts w:ascii="Arial" w:eastAsia="Arial Unicode MS" w:hAnsi="Arial" w:cs="Arial"/>
          <w:sz w:val="20"/>
          <w:szCs w:val="20"/>
        </w:rPr>
        <w:t xml:space="preserve"> Órgãos repassadores</w:t>
      </w:r>
      <w:r w:rsidR="00206672">
        <w:rPr>
          <w:rFonts w:ascii="Arial" w:eastAsia="Arial Unicode MS" w:hAnsi="Arial" w:cs="Arial"/>
          <w:sz w:val="20"/>
          <w:szCs w:val="20"/>
        </w:rPr>
        <w:t xml:space="preserve"> quais sejam, </w:t>
      </w:r>
      <w:r w:rsidR="00223E63">
        <w:rPr>
          <w:rFonts w:ascii="Arial" w:eastAsia="Arial Unicode MS" w:hAnsi="Arial" w:cs="Arial"/>
          <w:sz w:val="20"/>
          <w:szCs w:val="20"/>
        </w:rPr>
        <w:t>Instituto Federal de São Paulo</w:t>
      </w:r>
      <w:r w:rsidR="003C08C7">
        <w:rPr>
          <w:rFonts w:ascii="Arial" w:eastAsia="Arial Unicode MS" w:hAnsi="Arial" w:cs="Arial"/>
          <w:sz w:val="20"/>
          <w:szCs w:val="20"/>
        </w:rPr>
        <w:t>,</w:t>
      </w:r>
      <w:r w:rsidR="00223E63">
        <w:rPr>
          <w:rFonts w:ascii="Arial" w:eastAsia="Arial Unicode MS" w:hAnsi="Arial" w:cs="Arial"/>
          <w:sz w:val="20"/>
          <w:szCs w:val="20"/>
        </w:rPr>
        <w:t xml:space="preserve"> Ministério do Turismo</w:t>
      </w:r>
      <w:r w:rsidR="003C08C7">
        <w:rPr>
          <w:rFonts w:ascii="Arial" w:eastAsia="Arial Unicode MS" w:hAnsi="Arial" w:cs="Arial"/>
          <w:sz w:val="20"/>
          <w:szCs w:val="20"/>
        </w:rPr>
        <w:t xml:space="preserve">, Secretaria Nacional Esportes, Educação, Lazer e Inclusão Social e </w:t>
      </w:r>
    </w:p>
    <w:p w14:paraId="5D6BA2A4" w14:textId="7B0580AC" w:rsidR="008532AD" w:rsidRDefault="003C08C7" w:rsidP="003C08C7">
      <w:pPr>
        <w:spacing w:after="40"/>
        <w:rPr>
          <w:rFonts w:ascii="Arial" w:eastAsia="Arial Unicode MS" w:hAnsi="Arial" w:cs="Arial"/>
          <w:sz w:val="20"/>
          <w:szCs w:val="20"/>
        </w:rPr>
      </w:pPr>
      <w:r>
        <w:rPr>
          <w:rFonts w:ascii="Arial" w:eastAsia="Arial Unicode MS" w:hAnsi="Arial" w:cs="Arial"/>
          <w:sz w:val="20"/>
          <w:szCs w:val="20"/>
        </w:rPr>
        <w:t xml:space="preserve">Fundação Coordenação de Aperfeiçoamento de Pessoal Nível Superior </w:t>
      </w:r>
      <w:r w:rsidR="00223E63">
        <w:rPr>
          <w:rFonts w:ascii="Arial" w:eastAsia="Arial Unicode MS" w:hAnsi="Arial" w:cs="Arial"/>
          <w:sz w:val="20"/>
          <w:szCs w:val="20"/>
        </w:rPr>
        <w:t>equivale</w:t>
      </w:r>
      <w:r>
        <w:rPr>
          <w:rFonts w:ascii="Arial" w:eastAsia="Arial Unicode MS" w:hAnsi="Arial" w:cs="Arial"/>
          <w:sz w:val="20"/>
          <w:szCs w:val="20"/>
        </w:rPr>
        <w:t>m</w:t>
      </w:r>
      <w:r w:rsidR="00223E63">
        <w:rPr>
          <w:rFonts w:ascii="Arial" w:eastAsia="Arial Unicode MS" w:hAnsi="Arial" w:cs="Arial"/>
          <w:sz w:val="20"/>
          <w:szCs w:val="20"/>
        </w:rPr>
        <w:t xml:space="preserve"> a</w:t>
      </w:r>
      <w:r>
        <w:rPr>
          <w:rFonts w:ascii="Arial" w:eastAsia="Arial Unicode MS" w:hAnsi="Arial" w:cs="Arial"/>
          <w:sz w:val="20"/>
          <w:szCs w:val="20"/>
        </w:rPr>
        <w:t>os</w:t>
      </w:r>
      <w:r w:rsidR="00223E63">
        <w:rPr>
          <w:rFonts w:ascii="Arial" w:eastAsia="Arial Unicode MS" w:hAnsi="Arial" w:cs="Arial"/>
          <w:sz w:val="20"/>
          <w:szCs w:val="20"/>
        </w:rPr>
        <w:t xml:space="preserve"> </w:t>
      </w:r>
      <w:r>
        <w:rPr>
          <w:rFonts w:ascii="Arial" w:eastAsia="Arial Unicode MS" w:hAnsi="Arial" w:cs="Arial"/>
          <w:sz w:val="20"/>
          <w:szCs w:val="20"/>
        </w:rPr>
        <w:t>3</w:t>
      </w:r>
      <w:r w:rsidR="00223E63">
        <w:rPr>
          <w:rFonts w:ascii="Arial" w:eastAsia="Arial Unicode MS" w:hAnsi="Arial" w:cs="Arial"/>
          <w:sz w:val="20"/>
          <w:szCs w:val="20"/>
        </w:rPr>
        <w:t>%</w:t>
      </w:r>
      <w:r>
        <w:rPr>
          <w:rFonts w:ascii="Arial" w:eastAsia="Arial Unicode MS" w:hAnsi="Arial" w:cs="Arial"/>
          <w:sz w:val="20"/>
          <w:szCs w:val="20"/>
        </w:rPr>
        <w:t xml:space="preserve"> restantes</w:t>
      </w:r>
      <w:r w:rsidR="00223E63">
        <w:rPr>
          <w:rFonts w:ascii="Arial" w:eastAsia="Arial Unicode MS" w:hAnsi="Arial" w:cs="Arial"/>
          <w:sz w:val="20"/>
          <w:szCs w:val="20"/>
        </w:rPr>
        <w:t>.</w:t>
      </w:r>
    </w:p>
    <w:p w14:paraId="571FD5D3" w14:textId="77777777" w:rsidR="00E10096" w:rsidRDefault="00E10096" w:rsidP="00BA2679">
      <w:pPr>
        <w:spacing w:after="40"/>
        <w:rPr>
          <w:rFonts w:ascii="Arial" w:eastAsia="Arial Unicode MS" w:hAnsi="Arial" w:cs="Arial"/>
          <w:sz w:val="20"/>
          <w:szCs w:val="20"/>
        </w:rPr>
      </w:pPr>
    </w:p>
    <w:p w14:paraId="7ED9F690" w14:textId="5612B484" w:rsidR="008532AD" w:rsidRDefault="008532AD" w:rsidP="00BA2679">
      <w:pPr>
        <w:spacing w:after="40"/>
        <w:rPr>
          <w:rFonts w:ascii="Arial" w:eastAsia="Arial Unicode MS" w:hAnsi="Arial" w:cs="Arial"/>
          <w:sz w:val="20"/>
          <w:szCs w:val="20"/>
        </w:rPr>
      </w:pPr>
      <w:r>
        <w:rPr>
          <w:rFonts w:ascii="Arial" w:eastAsia="Arial Unicode MS" w:hAnsi="Arial" w:cs="Arial"/>
          <w:sz w:val="20"/>
          <w:szCs w:val="20"/>
        </w:rPr>
        <w:t xml:space="preserve">Ganhos com </w:t>
      </w:r>
      <w:r w:rsidR="00EF0765">
        <w:rPr>
          <w:rFonts w:ascii="Arial" w:eastAsia="Arial Unicode MS" w:hAnsi="Arial" w:cs="Arial"/>
          <w:sz w:val="20"/>
          <w:szCs w:val="20"/>
        </w:rPr>
        <w:t xml:space="preserve">Valorização e Ganhos com Ativos e </w:t>
      </w:r>
      <w:r>
        <w:rPr>
          <w:rFonts w:ascii="Arial" w:eastAsia="Arial Unicode MS" w:hAnsi="Arial" w:cs="Arial"/>
          <w:sz w:val="20"/>
          <w:szCs w:val="20"/>
        </w:rPr>
        <w:t>Desincorporação de Passivos</w:t>
      </w:r>
    </w:p>
    <w:p w14:paraId="6FC9AB50" w14:textId="6763366B" w:rsidR="00EF0765" w:rsidRDefault="00EF0765" w:rsidP="00BA2679">
      <w:pPr>
        <w:spacing w:after="40"/>
        <w:rPr>
          <w:rFonts w:ascii="Arial" w:eastAsia="Arial Unicode MS" w:hAnsi="Arial" w:cs="Arial"/>
          <w:sz w:val="20"/>
          <w:szCs w:val="20"/>
        </w:rPr>
      </w:pPr>
      <w:r w:rsidRPr="00EF0765">
        <w:rPr>
          <w:rFonts w:ascii="Arial" w:eastAsia="Arial Unicode MS" w:hAnsi="Arial" w:cs="Arial"/>
          <w:noProof/>
          <w:sz w:val="20"/>
          <w:szCs w:val="20"/>
        </w:rPr>
        <w:drawing>
          <wp:inline distT="0" distB="0" distL="0" distR="0" wp14:anchorId="0846E81A" wp14:editId="5CF969F8">
            <wp:extent cx="4867275" cy="2343150"/>
            <wp:effectExtent l="0" t="0" r="9525"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867275" cy="2343150"/>
                    </a:xfrm>
                    <a:prstGeom prst="rect">
                      <a:avLst/>
                    </a:prstGeom>
                    <a:noFill/>
                    <a:ln>
                      <a:noFill/>
                    </a:ln>
                  </pic:spPr>
                </pic:pic>
              </a:graphicData>
            </a:graphic>
          </wp:inline>
        </w:drawing>
      </w:r>
    </w:p>
    <w:p w14:paraId="2770D642" w14:textId="2EEF8CE6" w:rsidR="001360DB" w:rsidRDefault="001360DB" w:rsidP="00BA2679">
      <w:pPr>
        <w:spacing w:after="40"/>
        <w:rPr>
          <w:rFonts w:ascii="Arial" w:eastAsia="Arial Unicode MS" w:hAnsi="Arial" w:cs="Arial"/>
          <w:sz w:val="20"/>
          <w:szCs w:val="20"/>
        </w:rPr>
      </w:pPr>
    </w:p>
    <w:p w14:paraId="3B1B93F7" w14:textId="1AB2777E" w:rsidR="009A029A" w:rsidRDefault="00481706"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sidR="00904890">
        <w:rPr>
          <w:rFonts w:ascii="Arial" w:eastAsia="Arial Unicode MS" w:hAnsi="Arial" w:cs="Arial"/>
          <w:sz w:val="20"/>
          <w:szCs w:val="20"/>
        </w:rPr>
        <w:t>acréscimo</w:t>
      </w:r>
      <w:r w:rsidRPr="0034064D">
        <w:rPr>
          <w:rFonts w:ascii="Arial" w:eastAsia="Arial Unicode MS" w:hAnsi="Arial" w:cs="Arial"/>
          <w:sz w:val="20"/>
          <w:szCs w:val="20"/>
        </w:rPr>
        <w:t xml:space="preserve"> nas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 xml:space="preserve"> tributárias, Impostos, Taxas e Contribuições de Melhoria, na ordem de</w:t>
      </w:r>
    </w:p>
    <w:p w14:paraId="4E0DDD1F" w14:textId="2260470C" w:rsidR="00BA2679" w:rsidRDefault="00904890" w:rsidP="00BA2679">
      <w:pPr>
        <w:spacing w:after="40"/>
        <w:rPr>
          <w:rFonts w:ascii="Arial" w:eastAsia="Arial Unicode MS" w:hAnsi="Arial" w:cs="Arial"/>
          <w:sz w:val="20"/>
          <w:szCs w:val="20"/>
        </w:rPr>
      </w:pPr>
      <w:r>
        <w:rPr>
          <w:rFonts w:ascii="Arial" w:eastAsia="Arial Unicode MS" w:hAnsi="Arial" w:cs="Arial"/>
          <w:sz w:val="20"/>
          <w:szCs w:val="20"/>
        </w:rPr>
        <w:t>5</w:t>
      </w:r>
      <w:r w:rsidR="00481706" w:rsidRPr="0034064D">
        <w:rPr>
          <w:rFonts w:ascii="Arial" w:eastAsia="Arial Unicode MS" w:hAnsi="Arial" w:cs="Arial"/>
          <w:sz w:val="20"/>
          <w:szCs w:val="20"/>
        </w:rPr>
        <w:t xml:space="preserve">%, com destaque para </w:t>
      </w:r>
      <w:r>
        <w:rPr>
          <w:rFonts w:ascii="Arial" w:eastAsia="Arial Unicode MS" w:hAnsi="Arial" w:cs="Arial"/>
          <w:sz w:val="20"/>
          <w:szCs w:val="20"/>
        </w:rPr>
        <w:t>Contribuições ao PASEP</w:t>
      </w:r>
      <w:r w:rsidR="00481706" w:rsidRPr="0034064D">
        <w:rPr>
          <w:rFonts w:ascii="Arial" w:eastAsia="Arial Unicode MS" w:hAnsi="Arial" w:cs="Arial"/>
          <w:sz w:val="20"/>
          <w:szCs w:val="20"/>
        </w:rPr>
        <w:t xml:space="preserve">, </w:t>
      </w:r>
      <w:r w:rsidR="004461AC">
        <w:rPr>
          <w:rFonts w:ascii="Arial" w:eastAsia="Arial Unicode MS" w:hAnsi="Arial" w:cs="Arial"/>
          <w:sz w:val="20"/>
          <w:szCs w:val="20"/>
        </w:rPr>
        <w:t xml:space="preserve">representando </w:t>
      </w:r>
      <w:r>
        <w:rPr>
          <w:rFonts w:ascii="Arial" w:eastAsia="Arial Unicode MS" w:hAnsi="Arial" w:cs="Arial"/>
          <w:sz w:val="20"/>
          <w:szCs w:val="20"/>
        </w:rPr>
        <w:t>160</w:t>
      </w:r>
      <w:r w:rsidR="004461AC">
        <w:rPr>
          <w:rFonts w:ascii="Arial" w:eastAsia="Arial Unicode MS" w:hAnsi="Arial" w:cs="Arial"/>
          <w:sz w:val="20"/>
          <w:szCs w:val="20"/>
        </w:rPr>
        <w:t xml:space="preserve">% </w:t>
      </w:r>
      <w:r>
        <w:rPr>
          <w:rFonts w:ascii="Arial" w:eastAsia="Arial Unicode MS" w:hAnsi="Arial" w:cs="Arial"/>
          <w:sz w:val="20"/>
          <w:szCs w:val="20"/>
        </w:rPr>
        <w:t xml:space="preserve">em relação ao período </w:t>
      </w:r>
      <w:proofErr w:type="gramStart"/>
      <w:r>
        <w:rPr>
          <w:rFonts w:ascii="Arial" w:eastAsia="Arial Unicode MS" w:hAnsi="Arial" w:cs="Arial"/>
          <w:sz w:val="20"/>
          <w:szCs w:val="20"/>
        </w:rPr>
        <w:t xml:space="preserve">anterior </w:t>
      </w:r>
      <w:r w:rsidR="004461AC">
        <w:rPr>
          <w:rFonts w:ascii="Arial" w:eastAsia="Arial Unicode MS" w:hAnsi="Arial" w:cs="Arial"/>
          <w:sz w:val="20"/>
          <w:szCs w:val="20"/>
        </w:rPr>
        <w:t xml:space="preserve"> e</w:t>
      </w:r>
      <w:proofErr w:type="gramEnd"/>
      <w:r w:rsidR="004461AC">
        <w:rPr>
          <w:rFonts w:ascii="Arial" w:eastAsia="Arial Unicode MS" w:hAnsi="Arial" w:cs="Arial"/>
          <w:sz w:val="20"/>
          <w:szCs w:val="20"/>
        </w:rPr>
        <w:t xml:space="preserve"> </w:t>
      </w:r>
      <w:r w:rsidR="00481706">
        <w:rPr>
          <w:rFonts w:ascii="Arial" w:eastAsia="Arial Unicode MS" w:hAnsi="Arial" w:cs="Arial"/>
          <w:sz w:val="20"/>
          <w:szCs w:val="20"/>
        </w:rPr>
        <w:t xml:space="preserve">correspondendo a R$ </w:t>
      </w:r>
      <w:r>
        <w:rPr>
          <w:rFonts w:ascii="Arial" w:eastAsia="Arial Unicode MS" w:hAnsi="Arial" w:cs="Arial"/>
          <w:sz w:val="20"/>
          <w:szCs w:val="20"/>
        </w:rPr>
        <w:t>4</w:t>
      </w:r>
      <w:r w:rsidR="00481706">
        <w:rPr>
          <w:rFonts w:ascii="Arial" w:eastAsia="Arial Unicode MS" w:hAnsi="Arial" w:cs="Arial"/>
          <w:sz w:val="20"/>
          <w:szCs w:val="20"/>
        </w:rPr>
        <w:t xml:space="preserve"> mil, </w:t>
      </w:r>
      <w:r w:rsidR="00481706"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r w:rsidR="003B1292">
        <w:rPr>
          <w:rFonts w:ascii="Arial" w:eastAsia="Arial Unicode MS" w:hAnsi="Arial" w:cs="Arial"/>
          <w:sz w:val="20"/>
          <w:szCs w:val="20"/>
        </w:rPr>
        <w:t>A combinação de acréscimos e deduções nas demais</w:t>
      </w:r>
      <w:r w:rsidR="004461AC">
        <w:rPr>
          <w:rFonts w:ascii="Arial" w:eastAsia="Arial Unicode MS" w:hAnsi="Arial" w:cs="Arial"/>
          <w:sz w:val="20"/>
          <w:szCs w:val="20"/>
        </w:rPr>
        <w:t xml:space="preserve"> </w:t>
      </w:r>
      <w:r w:rsidR="009A029A">
        <w:rPr>
          <w:rFonts w:ascii="Arial" w:eastAsia="Arial Unicode MS" w:hAnsi="Arial" w:cs="Arial"/>
          <w:sz w:val="20"/>
          <w:szCs w:val="20"/>
        </w:rPr>
        <w:t>variações diminutivas</w:t>
      </w:r>
      <w:r w:rsidR="004461AC">
        <w:rPr>
          <w:rFonts w:ascii="Arial" w:eastAsia="Arial Unicode MS" w:hAnsi="Arial" w:cs="Arial"/>
          <w:sz w:val="20"/>
          <w:szCs w:val="20"/>
        </w:rPr>
        <w:t xml:space="preserve"> levaram a um resultado final </w:t>
      </w:r>
      <w:proofErr w:type="gramStart"/>
      <w:r w:rsidR="004461AC">
        <w:rPr>
          <w:rFonts w:ascii="Arial" w:eastAsia="Arial Unicode MS" w:hAnsi="Arial" w:cs="Arial"/>
          <w:sz w:val="20"/>
          <w:szCs w:val="20"/>
        </w:rPr>
        <w:t xml:space="preserve">de </w:t>
      </w:r>
      <w:r w:rsidR="009A029A">
        <w:rPr>
          <w:rFonts w:ascii="Arial" w:eastAsia="Arial Unicode MS" w:hAnsi="Arial" w:cs="Arial"/>
          <w:sz w:val="20"/>
          <w:szCs w:val="20"/>
        </w:rPr>
        <w:t xml:space="preserve"> </w:t>
      </w:r>
      <w:r w:rsidR="003B1292">
        <w:rPr>
          <w:rFonts w:ascii="Arial" w:eastAsia="Arial Unicode MS" w:hAnsi="Arial" w:cs="Arial"/>
          <w:sz w:val="20"/>
          <w:szCs w:val="20"/>
        </w:rPr>
        <w:t>R</w:t>
      </w:r>
      <w:proofErr w:type="gramEnd"/>
      <w:r w:rsidR="003B1292">
        <w:rPr>
          <w:rFonts w:ascii="Arial" w:eastAsia="Arial Unicode MS" w:hAnsi="Arial" w:cs="Arial"/>
          <w:sz w:val="20"/>
          <w:szCs w:val="20"/>
        </w:rPr>
        <w:t xml:space="preserve">$ </w:t>
      </w:r>
      <w:r>
        <w:rPr>
          <w:rFonts w:ascii="Arial" w:eastAsia="Arial Unicode MS" w:hAnsi="Arial" w:cs="Arial"/>
          <w:sz w:val="20"/>
          <w:szCs w:val="20"/>
        </w:rPr>
        <w:t>2,56</w:t>
      </w:r>
      <w:r w:rsidR="004461AC">
        <w:rPr>
          <w:rFonts w:ascii="Arial" w:eastAsia="Arial Unicode MS" w:hAnsi="Arial" w:cs="Arial"/>
          <w:sz w:val="20"/>
          <w:szCs w:val="20"/>
        </w:rPr>
        <w:t xml:space="preserve"> mil. </w:t>
      </w:r>
    </w:p>
    <w:p w14:paraId="01AFF82C" w14:textId="2050A61A" w:rsidR="00904890" w:rsidRDefault="00904890" w:rsidP="00BA2679">
      <w:pPr>
        <w:spacing w:after="40"/>
        <w:rPr>
          <w:rFonts w:ascii="Arial" w:eastAsia="Arial Unicode MS" w:hAnsi="Arial" w:cs="Arial"/>
          <w:sz w:val="20"/>
          <w:szCs w:val="20"/>
        </w:rPr>
      </w:pPr>
      <w:r w:rsidRPr="00904890">
        <w:rPr>
          <w:rFonts w:ascii="Arial" w:eastAsia="Arial Unicode MS" w:hAnsi="Arial" w:cs="Arial"/>
          <w:noProof/>
          <w:sz w:val="20"/>
          <w:szCs w:val="20"/>
        </w:rPr>
        <w:lastRenderedPageBreak/>
        <w:drawing>
          <wp:inline distT="0" distB="0" distL="0" distR="0" wp14:anchorId="3A3F7444" wp14:editId="6EAA8F84">
            <wp:extent cx="5448300" cy="2905125"/>
            <wp:effectExtent l="0" t="0" r="0"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48300" cy="2905125"/>
                    </a:xfrm>
                    <a:prstGeom prst="rect">
                      <a:avLst/>
                    </a:prstGeom>
                    <a:noFill/>
                    <a:ln>
                      <a:noFill/>
                    </a:ln>
                  </pic:spPr>
                </pic:pic>
              </a:graphicData>
            </a:graphic>
          </wp:inline>
        </w:drawing>
      </w:r>
    </w:p>
    <w:p w14:paraId="18E8227B" w14:textId="77777777" w:rsidR="000969AB" w:rsidRDefault="000969AB" w:rsidP="00BA2679">
      <w:pPr>
        <w:spacing w:after="40"/>
        <w:rPr>
          <w:rFonts w:ascii="Arial" w:eastAsia="Arial Unicode MS" w:hAnsi="Arial" w:cs="Arial"/>
          <w:sz w:val="20"/>
          <w:szCs w:val="20"/>
        </w:rPr>
      </w:pPr>
    </w:p>
    <w:p w14:paraId="70B0665B" w14:textId="3B0A6597"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Outras Variações Patrimoniais Diminutivas tiveram variação </w:t>
      </w:r>
      <w:r w:rsidR="009277ED">
        <w:rPr>
          <w:rFonts w:ascii="Arial" w:eastAsia="Arial Unicode MS" w:hAnsi="Arial" w:cs="Arial"/>
          <w:sz w:val="20"/>
          <w:szCs w:val="20"/>
        </w:rPr>
        <w:t>negativa</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com impacto no Resultado Patrimonial do IFRS, na ordem de </w:t>
      </w:r>
      <w:r w:rsidR="001610F3">
        <w:rPr>
          <w:rFonts w:ascii="Arial" w:eastAsia="Arial Unicode MS" w:hAnsi="Arial" w:cs="Arial"/>
          <w:sz w:val="20"/>
          <w:szCs w:val="20"/>
        </w:rPr>
        <w:t>-3</w:t>
      </w:r>
      <w:r w:rsidRPr="0034064D">
        <w:rPr>
          <w:rFonts w:ascii="Arial" w:eastAsia="Arial Unicode MS" w:hAnsi="Arial" w:cs="Arial"/>
          <w:sz w:val="20"/>
          <w:szCs w:val="20"/>
        </w:rPr>
        <w:t xml:space="preserve">%. Conforme demonstrado a seguir, estão diretamente relacionadas à </w:t>
      </w:r>
      <w:r w:rsidR="009277ED">
        <w:rPr>
          <w:rFonts w:ascii="Arial" w:eastAsia="Arial Unicode MS" w:hAnsi="Arial" w:cs="Arial"/>
          <w:sz w:val="20"/>
          <w:szCs w:val="20"/>
        </w:rPr>
        <w:t>Bolsas de Estudo no País</w:t>
      </w:r>
      <w:r w:rsidRPr="0034064D">
        <w:rPr>
          <w:rFonts w:ascii="Arial" w:eastAsia="Arial Unicode MS" w:hAnsi="Arial" w:cs="Arial"/>
          <w:sz w:val="20"/>
          <w:szCs w:val="20"/>
        </w:rPr>
        <w:t xml:space="preserve">, </w:t>
      </w:r>
      <w:r w:rsidR="001610F3">
        <w:rPr>
          <w:rFonts w:ascii="Arial" w:eastAsia="Arial Unicode MS" w:hAnsi="Arial" w:cs="Arial"/>
          <w:sz w:val="20"/>
          <w:szCs w:val="20"/>
        </w:rPr>
        <w:t>de</w:t>
      </w:r>
      <w:r w:rsidR="00D76426">
        <w:rPr>
          <w:rFonts w:ascii="Arial" w:eastAsia="Arial Unicode MS" w:hAnsi="Arial" w:cs="Arial"/>
          <w:sz w:val="20"/>
          <w:szCs w:val="20"/>
        </w:rPr>
        <w:t>créscimo</w:t>
      </w:r>
      <w:r w:rsidR="009277ED">
        <w:rPr>
          <w:rFonts w:ascii="Arial" w:eastAsia="Arial Unicode MS" w:hAnsi="Arial" w:cs="Arial"/>
          <w:sz w:val="20"/>
          <w:szCs w:val="20"/>
        </w:rPr>
        <w:t xml:space="preserve"> de </w:t>
      </w:r>
      <w:r w:rsidRPr="0034064D">
        <w:rPr>
          <w:rFonts w:ascii="Arial" w:eastAsia="Arial Unicode MS" w:hAnsi="Arial" w:cs="Arial"/>
          <w:sz w:val="20"/>
          <w:szCs w:val="20"/>
        </w:rPr>
        <w:t xml:space="preserve">R$ </w:t>
      </w:r>
      <w:r w:rsidR="001610F3">
        <w:rPr>
          <w:rFonts w:ascii="Arial" w:eastAsia="Arial Unicode MS" w:hAnsi="Arial" w:cs="Arial"/>
          <w:sz w:val="20"/>
          <w:szCs w:val="20"/>
        </w:rPr>
        <w:t>198</w:t>
      </w:r>
      <w:r w:rsidR="009277ED">
        <w:rPr>
          <w:rFonts w:ascii="Arial" w:eastAsia="Arial Unicode MS" w:hAnsi="Arial" w:cs="Arial"/>
          <w:sz w:val="20"/>
          <w:szCs w:val="20"/>
        </w:rPr>
        <w:t xml:space="preserve"> mil</w:t>
      </w:r>
      <w:r w:rsidRPr="0034064D">
        <w:rPr>
          <w:rFonts w:ascii="Arial" w:eastAsia="Arial Unicode MS" w:hAnsi="Arial" w:cs="Arial"/>
          <w:sz w:val="20"/>
          <w:szCs w:val="20"/>
        </w:rPr>
        <w:t xml:space="preserve">, </w:t>
      </w:r>
      <w:r w:rsidR="009536DF">
        <w:rPr>
          <w:rFonts w:ascii="Arial" w:eastAsia="Arial Unicode MS" w:hAnsi="Arial" w:cs="Arial"/>
          <w:sz w:val="20"/>
          <w:szCs w:val="20"/>
        </w:rPr>
        <w:t xml:space="preserve">representando </w:t>
      </w:r>
      <w:r w:rsidR="001610F3">
        <w:rPr>
          <w:rFonts w:ascii="Arial" w:eastAsia="Arial Unicode MS" w:hAnsi="Arial" w:cs="Arial"/>
          <w:sz w:val="20"/>
          <w:szCs w:val="20"/>
        </w:rPr>
        <w:t xml:space="preserve">praticamente todo o </w:t>
      </w:r>
      <w:r w:rsidR="009536DF">
        <w:rPr>
          <w:rFonts w:ascii="Arial" w:eastAsia="Arial Unicode MS" w:hAnsi="Arial" w:cs="Arial"/>
          <w:sz w:val="20"/>
          <w:szCs w:val="20"/>
        </w:rPr>
        <w:t>montante deste grupo</w:t>
      </w:r>
      <w:r>
        <w:rPr>
          <w:rFonts w:ascii="Arial" w:eastAsia="Arial Unicode MS" w:hAnsi="Arial" w:cs="Arial"/>
          <w:sz w:val="20"/>
          <w:szCs w:val="20"/>
        </w:rPr>
        <w:t xml:space="preserve">. </w:t>
      </w:r>
      <w:r w:rsidR="009277ED">
        <w:rPr>
          <w:rFonts w:ascii="Arial" w:eastAsia="Arial Unicode MS" w:hAnsi="Arial" w:cs="Arial"/>
          <w:sz w:val="20"/>
          <w:szCs w:val="20"/>
        </w:rPr>
        <w:t xml:space="preserve">Em Auxílio </w:t>
      </w:r>
      <w:r w:rsidR="00D76426">
        <w:rPr>
          <w:rFonts w:ascii="Arial" w:eastAsia="Arial Unicode MS" w:hAnsi="Arial" w:cs="Arial"/>
          <w:sz w:val="20"/>
          <w:szCs w:val="20"/>
        </w:rPr>
        <w:t xml:space="preserve">para desenvolvimento de Estudos houve decréscimo de </w:t>
      </w:r>
      <w:r w:rsidR="009277ED">
        <w:rPr>
          <w:rFonts w:ascii="Arial" w:eastAsia="Arial Unicode MS" w:hAnsi="Arial" w:cs="Arial"/>
          <w:sz w:val="20"/>
          <w:szCs w:val="20"/>
        </w:rPr>
        <w:t xml:space="preserve">R$ </w:t>
      </w:r>
      <w:r w:rsidR="001610F3">
        <w:rPr>
          <w:rFonts w:ascii="Arial" w:eastAsia="Arial Unicode MS" w:hAnsi="Arial" w:cs="Arial"/>
          <w:sz w:val="20"/>
          <w:szCs w:val="20"/>
        </w:rPr>
        <w:t>8,5</w:t>
      </w:r>
      <w:r w:rsidR="009277ED">
        <w:rPr>
          <w:rFonts w:ascii="Arial" w:eastAsia="Arial Unicode MS" w:hAnsi="Arial" w:cs="Arial"/>
          <w:sz w:val="20"/>
          <w:szCs w:val="20"/>
        </w:rPr>
        <w:t xml:space="preserve"> mil, representando </w:t>
      </w:r>
      <w:r w:rsidR="001610F3">
        <w:rPr>
          <w:rFonts w:ascii="Arial" w:eastAsia="Arial Unicode MS" w:hAnsi="Arial" w:cs="Arial"/>
          <w:sz w:val="20"/>
          <w:szCs w:val="20"/>
        </w:rPr>
        <w:t>-86</w:t>
      </w:r>
      <w:r w:rsidR="009277ED">
        <w:rPr>
          <w:rFonts w:ascii="Arial" w:eastAsia="Arial Unicode MS" w:hAnsi="Arial" w:cs="Arial"/>
          <w:sz w:val="20"/>
          <w:szCs w:val="20"/>
        </w:rPr>
        <w:t xml:space="preserve">% em relação ao exercício anterior. </w:t>
      </w:r>
      <w:r>
        <w:rPr>
          <w:rFonts w:ascii="Arial" w:eastAsia="Arial Unicode MS" w:hAnsi="Arial" w:cs="Arial"/>
          <w:sz w:val="20"/>
          <w:szCs w:val="20"/>
        </w:rPr>
        <w:t xml:space="preserve">Outras </w:t>
      </w:r>
      <w:proofErr w:type="spellStart"/>
      <w:r>
        <w:rPr>
          <w:rFonts w:ascii="Arial" w:eastAsia="Arial Unicode MS" w:hAnsi="Arial" w:cs="Arial"/>
          <w:sz w:val="20"/>
          <w:szCs w:val="20"/>
        </w:rPr>
        <w:t>VPDs</w:t>
      </w:r>
      <w:proofErr w:type="spellEnd"/>
      <w:r>
        <w:rPr>
          <w:rFonts w:ascii="Arial" w:eastAsia="Arial Unicode MS" w:hAnsi="Arial" w:cs="Arial"/>
          <w:sz w:val="20"/>
          <w:szCs w:val="20"/>
        </w:rPr>
        <w:t xml:space="preserve"> tiveram </w:t>
      </w:r>
      <w:r w:rsidR="00C90513">
        <w:rPr>
          <w:rFonts w:ascii="Arial" w:eastAsia="Arial Unicode MS" w:hAnsi="Arial" w:cs="Arial"/>
          <w:sz w:val="20"/>
          <w:szCs w:val="20"/>
        </w:rPr>
        <w:t>decréscimo</w:t>
      </w:r>
      <w:r>
        <w:rPr>
          <w:rFonts w:ascii="Arial" w:eastAsia="Arial Unicode MS" w:hAnsi="Arial" w:cs="Arial"/>
          <w:sz w:val="20"/>
          <w:szCs w:val="20"/>
        </w:rPr>
        <w:t xml:space="preserve"> </w:t>
      </w:r>
      <w:r w:rsidR="001610F3">
        <w:rPr>
          <w:rFonts w:ascii="Arial" w:eastAsia="Arial Unicode MS" w:hAnsi="Arial" w:cs="Arial"/>
          <w:sz w:val="20"/>
          <w:szCs w:val="20"/>
        </w:rPr>
        <w:t xml:space="preserve">e acréscimo </w:t>
      </w:r>
      <w:r>
        <w:rPr>
          <w:rFonts w:ascii="Arial" w:eastAsia="Arial Unicode MS" w:hAnsi="Arial" w:cs="Arial"/>
          <w:sz w:val="20"/>
          <w:szCs w:val="20"/>
        </w:rPr>
        <w:t xml:space="preserve">em relação ao mesmo trimestre do período anterior, </w:t>
      </w:r>
      <w:r w:rsidR="00C90513">
        <w:rPr>
          <w:rFonts w:ascii="Arial" w:eastAsia="Arial Unicode MS" w:hAnsi="Arial" w:cs="Arial"/>
          <w:sz w:val="20"/>
          <w:szCs w:val="20"/>
        </w:rPr>
        <w:t xml:space="preserve">e suas repercussões </w:t>
      </w:r>
      <w:r w:rsidR="0092511F">
        <w:rPr>
          <w:rFonts w:ascii="Arial" w:eastAsia="Arial Unicode MS" w:hAnsi="Arial" w:cs="Arial"/>
          <w:sz w:val="20"/>
          <w:szCs w:val="20"/>
        </w:rPr>
        <w:t xml:space="preserve">contribuíram para o resultado deste grupo no montante </w:t>
      </w:r>
      <w:proofErr w:type="gramStart"/>
      <w:r w:rsidR="0092511F">
        <w:rPr>
          <w:rFonts w:ascii="Arial" w:eastAsia="Arial Unicode MS" w:hAnsi="Arial" w:cs="Arial"/>
          <w:sz w:val="20"/>
          <w:szCs w:val="20"/>
        </w:rPr>
        <w:t xml:space="preserve">de  </w:t>
      </w:r>
      <w:r w:rsidR="001610F3">
        <w:rPr>
          <w:rFonts w:ascii="Arial" w:eastAsia="Arial Unicode MS" w:hAnsi="Arial" w:cs="Arial"/>
          <w:sz w:val="20"/>
          <w:szCs w:val="20"/>
        </w:rPr>
        <w:t>-</w:t>
      </w:r>
      <w:proofErr w:type="gramEnd"/>
      <w:r w:rsidR="001610F3">
        <w:rPr>
          <w:rFonts w:ascii="Arial" w:eastAsia="Arial Unicode MS" w:hAnsi="Arial" w:cs="Arial"/>
          <w:sz w:val="20"/>
          <w:szCs w:val="20"/>
        </w:rPr>
        <w:t xml:space="preserve"> </w:t>
      </w:r>
      <w:r w:rsidR="0092511F">
        <w:rPr>
          <w:rFonts w:ascii="Arial" w:eastAsia="Arial Unicode MS" w:hAnsi="Arial" w:cs="Arial"/>
          <w:sz w:val="20"/>
          <w:szCs w:val="20"/>
        </w:rPr>
        <w:t xml:space="preserve">R$ </w:t>
      </w:r>
      <w:r w:rsidR="001610F3">
        <w:rPr>
          <w:rFonts w:ascii="Arial" w:eastAsia="Arial Unicode MS" w:hAnsi="Arial" w:cs="Arial"/>
          <w:sz w:val="20"/>
          <w:szCs w:val="20"/>
        </w:rPr>
        <w:t>184</w:t>
      </w:r>
      <w:r w:rsidR="0092511F">
        <w:rPr>
          <w:rFonts w:ascii="Arial" w:eastAsia="Arial Unicode MS" w:hAnsi="Arial" w:cs="Arial"/>
          <w:sz w:val="20"/>
          <w:szCs w:val="20"/>
        </w:rPr>
        <w:t xml:space="preserve"> mil, conforme abaixo.</w:t>
      </w:r>
      <w:r w:rsidR="00C90513">
        <w:rPr>
          <w:rFonts w:ascii="Arial" w:eastAsia="Arial Unicode MS" w:hAnsi="Arial" w:cs="Arial"/>
          <w:sz w:val="20"/>
          <w:szCs w:val="20"/>
        </w:rPr>
        <w:t xml:space="preserve"> </w:t>
      </w:r>
    </w:p>
    <w:p w14:paraId="6075A177" w14:textId="01ACF085" w:rsidR="001610F3" w:rsidRDefault="001610F3" w:rsidP="00BA2679">
      <w:pPr>
        <w:spacing w:after="40"/>
        <w:rPr>
          <w:rFonts w:ascii="Arial" w:eastAsia="Arial Unicode MS" w:hAnsi="Arial" w:cs="Arial"/>
          <w:sz w:val="20"/>
          <w:szCs w:val="20"/>
        </w:rPr>
      </w:pPr>
      <w:r w:rsidRPr="001610F3">
        <w:rPr>
          <w:rFonts w:ascii="Arial" w:eastAsia="Arial Unicode MS" w:hAnsi="Arial" w:cs="Arial"/>
          <w:noProof/>
          <w:sz w:val="20"/>
          <w:szCs w:val="20"/>
        </w:rPr>
        <w:drawing>
          <wp:inline distT="0" distB="0" distL="0" distR="0" wp14:anchorId="2799878C" wp14:editId="569DE026">
            <wp:extent cx="5200650" cy="2581275"/>
            <wp:effectExtent l="0" t="0" r="0" b="952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00650" cy="2581275"/>
                    </a:xfrm>
                    <a:prstGeom prst="rect">
                      <a:avLst/>
                    </a:prstGeom>
                    <a:noFill/>
                    <a:ln>
                      <a:noFill/>
                    </a:ln>
                  </pic:spPr>
                </pic:pic>
              </a:graphicData>
            </a:graphic>
          </wp:inline>
        </w:drawing>
      </w:r>
    </w:p>
    <w:p w14:paraId="560547E0" w14:textId="48C0210F" w:rsidR="00C90513" w:rsidRDefault="00C90513" w:rsidP="00BA2679">
      <w:pPr>
        <w:spacing w:after="40"/>
        <w:rPr>
          <w:rFonts w:ascii="Arial" w:eastAsia="Arial Unicode MS" w:hAnsi="Arial" w:cs="Arial"/>
          <w:sz w:val="20"/>
          <w:szCs w:val="20"/>
        </w:rPr>
      </w:pPr>
    </w:p>
    <w:p w14:paraId="37C9E8D4" w14:textId="61776E0F"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 xml:space="preserve">de </w:t>
      </w:r>
      <w:r w:rsidR="000431FB">
        <w:rPr>
          <w:rFonts w:ascii="Arial" w:eastAsia="Arial Unicode MS" w:hAnsi="Arial" w:cs="Arial"/>
          <w:sz w:val="20"/>
          <w:szCs w:val="20"/>
        </w:rPr>
        <w:t>Bolsa de Estudos no País</w:t>
      </w:r>
      <w:r w:rsidRPr="0034064D">
        <w:rPr>
          <w:rFonts w:ascii="Arial" w:eastAsia="Arial Unicode MS" w:hAnsi="Arial" w:cs="Arial"/>
          <w:sz w:val="20"/>
          <w:szCs w:val="20"/>
        </w:rPr>
        <w:t>, por Unidade Gestora do IFRS.</w:t>
      </w:r>
    </w:p>
    <w:p w14:paraId="3DC62FE2" w14:textId="14A318BC" w:rsidR="00C90C4C" w:rsidRDefault="00C90C4C" w:rsidP="00BA2679">
      <w:pPr>
        <w:spacing w:after="40"/>
        <w:rPr>
          <w:rFonts w:ascii="Arial" w:eastAsia="Arial Unicode MS" w:hAnsi="Arial" w:cs="Arial"/>
          <w:sz w:val="20"/>
          <w:szCs w:val="20"/>
        </w:rPr>
      </w:pPr>
      <w:r w:rsidRPr="00C90C4C">
        <w:rPr>
          <w:rFonts w:ascii="Arial" w:eastAsia="Arial Unicode MS" w:hAnsi="Arial" w:cs="Arial"/>
          <w:noProof/>
          <w:sz w:val="20"/>
          <w:szCs w:val="20"/>
        </w:rPr>
        <w:lastRenderedPageBreak/>
        <w:drawing>
          <wp:inline distT="0" distB="0" distL="0" distR="0" wp14:anchorId="00BB85A1" wp14:editId="258C5B9B">
            <wp:extent cx="6067425" cy="4019550"/>
            <wp:effectExtent l="0" t="0" r="9525"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67425" cy="4019550"/>
                    </a:xfrm>
                    <a:prstGeom prst="rect">
                      <a:avLst/>
                    </a:prstGeom>
                    <a:noFill/>
                    <a:ln>
                      <a:noFill/>
                    </a:ln>
                  </pic:spPr>
                </pic:pic>
              </a:graphicData>
            </a:graphic>
          </wp:inline>
        </w:drawing>
      </w:r>
    </w:p>
    <w:p w14:paraId="5FA58B45" w14:textId="77777777" w:rsidR="00743C04" w:rsidRPr="0034064D" w:rsidRDefault="00743C04" w:rsidP="00BA2679">
      <w:pPr>
        <w:spacing w:after="40"/>
        <w:rPr>
          <w:rFonts w:ascii="Arial" w:eastAsia="Arial Unicode MS" w:hAnsi="Arial" w:cs="Arial"/>
          <w:sz w:val="20"/>
          <w:szCs w:val="20"/>
        </w:rPr>
      </w:pPr>
    </w:p>
    <w:p w14:paraId="23D8836E" w14:textId="77777777" w:rsidR="00FA50D8" w:rsidRPr="0034064D" w:rsidRDefault="00FA50D8" w:rsidP="00FA50D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11</w:t>
      </w:r>
      <w:r w:rsidRPr="0034064D">
        <w:rPr>
          <w:rFonts w:ascii="Arial" w:eastAsia="Arial Unicode MS" w:hAnsi="Arial" w:cs="Arial"/>
          <w:b/>
          <w:color w:val="C45911" w:themeColor="accent2" w:themeShade="BF"/>
          <w:sz w:val="24"/>
          <w:szCs w:val="24"/>
        </w:rPr>
        <w:t xml:space="preserve"> – Resultado Orçamentário</w:t>
      </w:r>
    </w:p>
    <w:p w14:paraId="4436C9CF"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04E8E28B" w14:textId="3EA5D75A"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sidR="008172C9">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2B7F19">
        <w:rPr>
          <w:rFonts w:ascii="Arial" w:eastAsia="Arial Unicode MS" w:hAnsi="Arial" w:cs="Arial"/>
          <w:sz w:val="20"/>
          <w:szCs w:val="20"/>
        </w:rPr>
        <w:t>2</w:t>
      </w:r>
      <w:r w:rsidR="009B4BE8">
        <w:rPr>
          <w:rFonts w:ascii="Arial" w:eastAsia="Arial Unicode MS" w:hAnsi="Arial" w:cs="Arial"/>
          <w:sz w:val="20"/>
          <w:szCs w:val="20"/>
        </w:rPr>
        <w:t>1</w:t>
      </w:r>
      <w:r w:rsidRPr="0034064D">
        <w:rPr>
          <w:rFonts w:ascii="Arial" w:eastAsia="Arial Unicode MS" w:hAnsi="Arial" w:cs="Arial"/>
          <w:sz w:val="20"/>
          <w:szCs w:val="20"/>
        </w:rPr>
        <w:t xml:space="preserve"> as receitas realizadas montaram a quantia aproximada de </w:t>
      </w:r>
      <w:r w:rsidRPr="008613BD">
        <w:rPr>
          <w:rFonts w:ascii="Arial" w:eastAsia="Arial Unicode MS" w:hAnsi="Arial" w:cs="Arial"/>
          <w:sz w:val="20"/>
          <w:szCs w:val="20"/>
        </w:rPr>
        <w:t xml:space="preserve">R$ </w:t>
      </w:r>
      <w:r w:rsidR="008172C9">
        <w:rPr>
          <w:rFonts w:ascii="Arial" w:eastAsia="Arial Unicode MS" w:hAnsi="Arial" w:cs="Arial"/>
          <w:sz w:val="20"/>
          <w:szCs w:val="20"/>
        </w:rPr>
        <w:t>1,27 milhão</w:t>
      </w:r>
      <w:r w:rsidRPr="0034064D">
        <w:rPr>
          <w:rFonts w:ascii="Arial" w:eastAsia="Arial Unicode MS" w:hAnsi="Arial" w:cs="Arial"/>
          <w:sz w:val="20"/>
          <w:szCs w:val="20"/>
        </w:rPr>
        <w:t xml:space="preserve">, enquanto que as despesas empenhadas perfizeram o montante de </w:t>
      </w:r>
      <w:r w:rsidRPr="008613BD">
        <w:rPr>
          <w:rFonts w:ascii="Arial" w:eastAsia="Arial Unicode MS" w:hAnsi="Arial" w:cs="Arial"/>
          <w:sz w:val="20"/>
          <w:szCs w:val="20"/>
        </w:rPr>
        <w:t xml:space="preserve">R$ </w:t>
      </w:r>
      <w:r w:rsidR="008172C9">
        <w:rPr>
          <w:rFonts w:ascii="Arial" w:eastAsia="Arial Unicode MS" w:hAnsi="Arial" w:cs="Arial"/>
          <w:sz w:val="20"/>
          <w:szCs w:val="20"/>
        </w:rPr>
        <w:t>400</w:t>
      </w:r>
      <w:r>
        <w:rPr>
          <w:rFonts w:ascii="Arial" w:eastAsia="Arial Unicode MS" w:hAnsi="Arial" w:cs="Arial"/>
          <w:sz w:val="20"/>
          <w:szCs w:val="20"/>
        </w:rPr>
        <w:t xml:space="preserve"> </w:t>
      </w:r>
      <w:r w:rsidRPr="008613BD">
        <w:rPr>
          <w:rFonts w:ascii="Arial" w:eastAsia="Arial Unicode MS" w:hAnsi="Arial" w:cs="Arial"/>
          <w:sz w:val="20"/>
          <w:szCs w:val="20"/>
        </w:rPr>
        <w:t>milhões</w:t>
      </w:r>
      <w:r w:rsidRPr="0034064D">
        <w:rPr>
          <w:rFonts w:ascii="Arial" w:eastAsia="Arial Unicode MS" w:hAnsi="Arial" w:cs="Arial"/>
          <w:sz w:val="20"/>
          <w:szCs w:val="20"/>
        </w:rPr>
        <w:t>.</w:t>
      </w:r>
    </w:p>
    <w:p w14:paraId="7547A7E3" w14:textId="5B3B632C"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Pr>
          <w:rFonts w:ascii="Arial" w:eastAsia="Arial Unicode MS" w:hAnsi="Arial" w:cs="Arial"/>
          <w:sz w:val="20"/>
          <w:szCs w:val="20"/>
        </w:rPr>
        <w:t xml:space="preserve">correspondeu a </w:t>
      </w:r>
      <w:r w:rsidR="008435A4">
        <w:rPr>
          <w:rFonts w:ascii="Arial" w:eastAsia="Arial Unicode MS" w:hAnsi="Arial" w:cs="Arial"/>
          <w:sz w:val="20"/>
          <w:szCs w:val="20"/>
        </w:rPr>
        <w:t>80,87</w:t>
      </w:r>
      <w:r>
        <w:rPr>
          <w:rFonts w:ascii="Arial" w:eastAsia="Arial Unicode MS" w:hAnsi="Arial" w:cs="Arial"/>
          <w:sz w:val="20"/>
          <w:szCs w:val="20"/>
        </w:rPr>
        <w:t>% d</w:t>
      </w:r>
      <w:r w:rsidRPr="0034064D">
        <w:rPr>
          <w:rFonts w:ascii="Arial" w:eastAsia="Arial Unicode MS" w:hAnsi="Arial" w:cs="Arial"/>
          <w:sz w:val="20"/>
          <w:szCs w:val="20"/>
        </w:rPr>
        <w:t>a dotação atualizada</w:t>
      </w:r>
      <w:r w:rsidR="009B4BE8">
        <w:rPr>
          <w:rFonts w:ascii="Arial" w:eastAsia="Arial Unicode MS" w:hAnsi="Arial" w:cs="Arial"/>
          <w:sz w:val="20"/>
          <w:szCs w:val="20"/>
        </w:rPr>
        <w:t xml:space="preserve"> considerando a Lei Orçamentária Anual Nº14.144, de 22 de abril de 2021</w:t>
      </w:r>
      <w:r w:rsidRPr="0034064D">
        <w:rPr>
          <w:rFonts w:ascii="Arial" w:eastAsia="Arial Unicode MS" w:hAnsi="Arial" w:cs="Arial"/>
          <w:sz w:val="20"/>
          <w:szCs w:val="20"/>
        </w:rPr>
        <w:t>, no exercício de 20</w:t>
      </w:r>
      <w:r w:rsidR="0019740A">
        <w:rPr>
          <w:rFonts w:ascii="Arial" w:eastAsia="Arial Unicode MS" w:hAnsi="Arial" w:cs="Arial"/>
          <w:sz w:val="20"/>
          <w:szCs w:val="20"/>
        </w:rPr>
        <w:t>2</w:t>
      </w:r>
      <w:r w:rsidR="009B4BE8">
        <w:rPr>
          <w:rFonts w:ascii="Arial" w:eastAsia="Arial Unicode MS" w:hAnsi="Arial" w:cs="Arial"/>
          <w:sz w:val="20"/>
          <w:szCs w:val="20"/>
        </w:rPr>
        <w:t>1</w:t>
      </w:r>
      <w:r w:rsidRPr="0034064D">
        <w:rPr>
          <w:rFonts w:ascii="Arial" w:eastAsia="Arial Unicode MS" w:hAnsi="Arial" w:cs="Arial"/>
          <w:sz w:val="20"/>
          <w:szCs w:val="20"/>
        </w:rPr>
        <w:t xml:space="preserve"> lembrando que, </w:t>
      </w:r>
      <w:r>
        <w:rPr>
          <w:rFonts w:ascii="Arial" w:eastAsia="Arial Unicode MS" w:hAnsi="Arial" w:cs="Arial"/>
          <w:sz w:val="20"/>
          <w:szCs w:val="20"/>
        </w:rPr>
        <w:t xml:space="preserve">até o </w:t>
      </w:r>
      <w:r w:rsidR="008435A4">
        <w:rPr>
          <w:rFonts w:ascii="Arial" w:eastAsia="Arial Unicode MS" w:hAnsi="Arial" w:cs="Arial"/>
          <w:sz w:val="20"/>
          <w:szCs w:val="20"/>
        </w:rPr>
        <w:t>segundo</w:t>
      </w:r>
      <w:r w:rsidRPr="0034064D">
        <w:rPr>
          <w:rFonts w:ascii="Arial" w:eastAsia="Arial Unicode MS" w:hAnsi="Arial" w:cs="Arial"/>
          <w:sz w:val="20"/>
          <w:szCs w:val="20"/>
        </w:rPr>
        <w:t xml:space="preserve"> trimestre, </w:t>
      </w:r>
      <w:r w:rsidR="008435A4">
        <w:rPr>
          <w:rFonts w:ascii="Arial" w:eastAsia="Arial Unicode MS" w:hAnsi="Arial" w:cs="Arial"/>
          <w:sz w:val="20"/>
          <w:szCs w:val="20"/>
        </w:rPr>
        <w:t>55,62</w:t>
      </w:r>
      <w:r w:rsidRPr="0034064D">
        <w:rPr>
          <w:rFonts w:ascii="Arial" w:eastAsia="Arial Unicode MS" w:hAnsi="Arial" w:cs="Arial"/>
          <w:sz w:val="20"/>
          <w:szCs w:val="20"/>
        </w:rPr>
        <w:t>% desses empenhos já haviam sido realizados.</w:t>
      </w:r>
    </w:p>
    <w:p w14:paraId="5900B4E9" w14:textId="765520F0"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realização de receitas até o </w:t>
      </w:r>
      <w:r w:rsidR="008435A4">
        <w:rPr>
          <w:rFonts w:ascii="Arial" w:eastAsia="Arial Unicode MS" w:hAnsi="Arial" w:cs="Arial"/>
          <w:sz w:val="20"/>
          <w:szCs w:val="20"/>
        </w:rPr>
        <w:t>segundo</w:t>
      </w:r>
      <w:r w:rsidRPr="0034064D">
        <w:rPr>
          <w:rFonts w:ascii="Arial" w:eastAsia="Arial Unicode MS" w:hAnsi="Arial" w:cs="Arial"/>
          <w:sz w:val="20"/>
          <w:szCs w:val="20"/>
        </w:rPr>
        <w:t xml:space="preserve"> trimestre </w:t>
      </w:r>
      <w:r w:rsidR="00444394">
        <w:rPr>
          <w:rFonts w:ascii="Arial" w:eastAsia="Arial Unicode MS" w:hAnsi="Arial" w:cs="Arial"/>
          <w:sz w:val="20"/>
          <w:szCs w:val="20"/>
        </w:rPr>
        <w:t xml:space="preserve">alcançou </w:t>
      </w:r>
      <w:r w:rsidR="00BB49EB">
        <w:rPr>
          <w:rFonts w:ascii="Arial" w:eastAsia="Arial Unicode MS" w:hAnsi="Arial" w:cs="Arial"/>
          <w:sz w:val="20"/>
          <w:szCs w:val="20"/>
        </w:rPr>
        <w:t>105,62</w:t>
      </w:r>
      <w:r w:rsidRPr="0034064D">
        <w:rPr>
          <w:rFonts w:ascii="Arial" w:eastAsia="Arial Unicode MS" w:hAnsi="Arial" w:cs="Arial"/>
          <w:sz w:val="20"/>
          <w:szCs w:val="20"/>
        </w:rPr>
        <w:t xml:space="preserve">% </w:t>
      </w:r>
      <w:r w:rsidR="009B4BE8">
        <w:rPr>
          <w:rFonts w:ascii="Arial" w:eastAsia="Arial Unicode MS" w:hAnsi="Arial" w:cs="Arial"/>
          <w:sz w:val="20"/>
          <w:szCs w:val="20"/>
        </w:rPr>
        <w:t>d</w:t>
      </w:r>
      <w:r w:rsidRPr="0034064D">
        <w:rPr>
          <w:rFonts w:ascii="Arial" w:eastAsia="Arial Unicode MS" w:hAnsi="Arial" w:cs="Arial"/>
          <w:sz w:val="20"/>
          <w:szCs w:val="20"/>
        </w:rPr>
        <w:t>a previsão atualizada de arrecadação</w:t>
      </w:r>
      <w:r w:rsidR="003F2FDA">
        <w:rPr>
          <w:rFonts w:ascii="Arial" w:eastAsia="Arial Unicode MS" w:hAnsi="Arial" w:cs="Arial"/>
          <w:sz w:val="20"/>
          <w:szCs w:val="20"/>
        </w:rPr>
        <w:t xml:space="preserve"> de receitas correntes,</w:t>
      </w:r>
      <w:r>
        <w:rPr>
          <w:rFonts w:ascii="Arial" w:eastAsia="Arial Unicode MS" w:hAnsi="Arial" w:cs="Arial"/>
          <w:sz w:val="20"/>
          <w:szCs w:val="20"/>
        </w:rPr>
        <w:t xml:space="preserve"> orçada em R$ </w:t>
      </w:r>
      <w:r w:rsidR="009B4BE8">
        <w:rPr>
          <w:rFonts w:ascii="Arial" w:eastAsia="Arial Unicode MS" w:hAnsi="Arial" w:cs="Arial"/>
          <w:sz w:val="20"/>
          <w:szCs w:val="20"/>
        </w:rPr>
        <w:t>1,20</w:t>
      </w:r>
      <w:r>
        <w:rPr>
          <w:rFonts w:ascii="Arial" w:eastAsia="Arial Unicode MS" w:hAnsi="Arial" w:cs="Arial"/>
          <w:sz w:val="20"/>
          <w:szCs w:val="20"/>
        </w:rPr>
        <w:t xml:space="preserve"> mil</w:t>
      </w:r>
      <w:r w:rsidR="009B4BE8">
        <w:rPr>
          <w:rFonts w:ascii="Arial" w:eastAsia="Arial Unicode MS" w:hAnsi="Arial" w:cs="Arial"/>
          <w:sz w:val="20"/>
          <w:szCs w:val="20"/>
        </w:rPr>
        <w:t>hões</w:t>
      </w:r>
      <w:r>
        <w:rPr>
          <w:rFonts w:ascii="Arial" w:eastAsia="Arial Unicode MS" w:hAnsi="Arial" w:cs="Arial"/>
          <w:sz w:val="20"/>
          <w:szCs w:val="20"/>
        </w:rPr>
        <w:t xml:space="preserve">, </w:t>
      </w:r>
      <w:r w:rsidR="003F2FDA">
        <w:rPr>
          <w:rFonts w:ascii="Arial" w:eastAsia="Arial Unicode MS" w:hAnsi="Arial" w:cs="Arial"/>
          <w:sz w:val="20"/>
          <w:szCs w:val="20"/>
        </w:rPr>
        <w:t xml:space="preserve">com destaque para Receitas Agropecuárias que somaram R$ </w:t>
      </w:r>
      <w:r w:rsidR="00BB49EB">
        <w:rPr>
          <w:rFonts w:ascii="Arial" w:eastAsia="Arial Unicode MS" w:hAnsi="Arial" w:cs="Arial"/>
          <w:sz w:val="20"/>
          <w:szCs w:val="20"/>
        </w:rPr>
        <w:t>1,08</w:t>
      </w:r>
      <w:r w:rsidR="003F2FDA">
        <w:rPr>
          <w:rFonts w:ascii="Arial" w:eastAsia="Arial Unicode MS" w:hAnsi="Arial" w:cs="Arial"/>
          <w:sz w:val="20"/>
          <w:szCs w:val="20"/>
        </w:rPr>
        <w:t xml:space="preserve"> mil</w:t>
      </w:r>
      <w:r w:rsidR="00BB49EB">
        <w:rPr>
          <w:rFonts w:ascii="Arial" w:eastAsia="Arial Unicode MS" w:hAnsi="Arial" w:cs="Arial"/>
          <w:sz w:val="20"/>
          <w:szCs w:val="20"/>
        </w:rPr>
        <w:t>hão</w:t>
      </w:r>
      <w:r w:rsidR="003F2FDA">
        <w:rPr>
          <w:rFonts w:ascii="Arial" w:eastAsia="Arial Unicode MS" w:hAnsi="Arial" w:cs="Arial"/>
          <w:sz w:val="20"/>
          <w:szCs w:val="20"/>
        </w:rPr>
        <w:t>.</w:t>
      </w:r>
      <w:r>
        <w:rPr>
          <w:rFonts w:ascii="Arial" w:eastAsia="Arial Unicode MS" w:hAnsi="Arial" w:cs="Arial"/>
          <w:sz w:val="20"/>
          <w:szCs w:val="20"/>
        </w:rPr>
        <w:t xml:space="preserve"> Já as despesas em que pese representarem valores bem mais expressivos em termos monetários na ordem de R$ </w:t>
      </w:r>
      <w:r w:rsidR="00BB49EB">
        <w:rPr>
          <w:rFonts w:ascii="Arial" w:eastAsia="Arial Unicode MS" w:hAnsi="Arial" w:cs="Arial"/>
          <w:sz w:val="20"/>
          <w:szCs w:val="20"/>
        </w:rPr>
        <w:t>499,17</w:t>
      </w:r>
      <w:r>
        <w:rPr>
          <w:rFonts w:ascii="Arial" w:eastAsia="Arial Unicode MS" w:hAnsi="Arial" w:cs="Arial"/>
          <w:sz w:val="20"/>
          <w:szCs w:val="20"/>
        </w:rPr>
        <w:t xml:space="preserve"> milhões</w:t>
      </w:r>
      <w:r w:rsidRPr="0034064D">
        <w:rPr>
          <w:rFonts w:ascii="Arial" w:eastAsia="Arial Unicode MS" w:hAnsi="Arial" w:cs="Arial"/>
          <w:sz w:val="20"/>
          <w:szCs w:val="20"/>
        </w:rPr>
        <w:t xml:space="preserve">, </w:t>
      </w:r>
      <w:r>
        <w:rPr>
          <w:rFonts w:ascii="Arial" w:eastAsia="Arial Unicode MS" w:hAnsi="Arial" w:cs="Arial"/>
          <w:sz w:val="20"/>
          <w:szCs w:val="20"/>
        </w:rPr>
        <w:t xml:space="preserve">refletem uma execução equilibrada até o período, se comparados com o montante de compromissos assumidos que montam R$ </w:t>
      </w:r>
      <w:r w:rsidR="00BB49EB">
        <w:rPr>
          <w:rFonts w:ascii="Arial" w:eastAsia="Arial Unicode MS" w:hAnsi="Arial" w:cs="Arial"/>
          <w:sz w:val="20"/>
          <w:szCs w:val="20"/>
        </w:rPr>
        <w:t>400</w:t>
      </w:r>
      <w:r>
        <w:rPr>
          <w:rFonts w:ascii="Arial" w:eastAsia="Arial Unicode MS" w:hAnsi="Arial" w:cs="Arial"/>
          <w:sz w:val="20"/>
          <w:szCs w:val="20"/>
        </w:rPr>
        <w:t xml:space="preserve"> milhões</w:t>
      </w:r>
      <w:r w:rsidR="003F2FDA">
        <w:rPr>
          <w:rFonts w:ascii="Arial" w:eastAsia="Arial Unicode MS" w:hAnsi="Arial" w:cs="Arial"/>
          <w:sz w:val="20"/>
          <w:szCs w:val="20"/>
        </w:rPr>
        <w:t>, em sua maioria referente a despesas com pessoal</w:t>
      </w:r>
      <w:r w:rsidR="00B807CC">
        <w:rPr>
          <w:rFonts w:ascii="Arial" w:eastAsia="Arial Unicode MS" w:hAnsi="Arial" w:cs="Arial"/>
          <w:sz w:val="20"/>
          <w:szCs w:val="20"/>
        </w:rPr>
        <w:t xml:space="preserve">, considerando o empenho prévio por estimativa </w:t>
      </w:r>
      <w:r w:rsidR="00730D9F">
        <w:rPr>
          <w:rFonts w:ascii="Arial" w:eastAsia="Arial Unicode MS" w:hAnsi="Arial" w:cs="Arial"/>
          <w:sz w:val="20"/>
          <w:szCs w:val="20"/>
        </w:rPr>
        <w:t xml:space="preserve">de várias rubricas </w:t>
      </w:r>
      <w:r w:rsidR="00B807CC">
        <w:rPr>
          <w:rFonts w:ascii="Arial" w:eastAsia="Arial Unicode MS" w:hAnsi="Arial" w:cs="Arial"/>
          <w:sz w:val="20"/>
          <w:szCs w:val="20"/>
        </w:rPr>
        <w:t xml:space="preserve">até o final do exercício, dependendo </w:t>
      </w:r>
      <w:r w:rsidR="00730D9F">
        <w:rPr>
          <w:rFonts w:ascii="Arial" w:eastAsia="Arial Unicode MS" w:hAnsi="Arial" w:cs="Arial"/>
          <w:sz w:val="20"/>
          <w:szCs w:val="20"/>
        </w:rPr>
        <w:t>ainda</w:t>
      </w:r>
      <w:r w:rsidR="00B807CC">
        <w:rPr>
          <w:rFonts w:ascii="Arial" w:eastAsia="Arial Unicode MS" w:hAnsi="Arial" w:cs="Arial"/>
          <w:sz w:val="20"/>
          <w:szCs w:val="20"/>
        </w:rPr>
        <w:t xml:space="preserve"> de reforços e cancelamentos destes empenhos</w:t>
      </w:r>
      <w:r w:rsidR="00730D9F">
        <w:rPr>
          <w:rFonts w:ascii="Arial" w:eastAsia="Arial Unicode MS" w:hAnsi="Arial" w:cs="Arial"/>
          <w:sz w:val="20"/>
          <w:szCs w:val="20"/>
        </w:rPr>
        <w:t>, a depender da liberação dos recursos orçamentários pela SPO/MEC.</w:t>
      </w:r>
    </w:p>
    <w:p w14:paraId="4F7B3567" w14:textId="77777777" w:rsidR="00B807CC" w:rsidRPr="0034064D" w:rsidRDefault="00B807CC" w:rsidP="00FA50D8">
      <w:pPr>
        <w:spacing w:after="40"/>
        <w:rPr>
          <w:rFonts w:ascii="Arial" w:eastAsia="Arial Unicode MS" w:hAnsi="Arial" w:cs="Arial"/>
          <w:sz w:val="20"/>
          <w:szCs w:val="20"/>
        </w:rPr>
      </w:pPr>
    </w:p>
    <w:p w14:paraId="0B293BD2"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Receitas</w:t>
      </w:r>
    </w:p>
    <w:p w14:paraId="47E88D5A" w14:textId="7D7FC392"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sidR="00FE5A50">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w:t>
      </w:r>
      <w:r w:rsidR="00ED71BC">
        <w:rPr>
          <w:rFonts w:ascii="Arial" w:eastAsia="Arial Unicode MS" w:hAnsi="Arial" w:cs="Arial"/>
          <w:sz w:val="20"/>
          <w:szCs w:val="20"/>
        </w:rPr>
        <w:t>1</w:t>
      </w:r>
      <w:r w:rsidRPr="0034064D">
        <w:rPr>
          <w:rFonts w:ascii="Arial" w:eastAsia="Arial Unicode MS" w:hAnsi="Arial" w:cs="Arial"/>
          <w:sz w:val="20"/>
          <w:szCs w:val="20"/>
        </w:rPr>
        <w:t>, em comparação com as do mesmo período de 20</w:t>
      </w:r>
      <w:r w:rsidR="00ED71BC">
        <w:rPr>
          <w:rFonts w:ascii="Arial" w:eastAsia="Arial Unicode MS" w:hAnsi="Arial" w:cs="Arial"/>
          <w:sz w:val="20"/>
          <w:szCs w:val="20"/>
        </w:rPr>
        <w:t>20</w:t>
      </w:r>
      <w:r w:rsidRPr="0034064D">
        <w:rPr>
          <w:rFonts w:ascii="Arial" w:eastAsia="Arial Unicode MS" w:hAnsi="Arial" w:cs="Arial"/>
          <w:sz w:val="20"/>
          <w:szCs w:val="20"/>
        </w:rPr>
        <w:t>, estão distribuídas nas seguintes categorias, conforme demonstrado nos respectivos Balanços Orçamentários:</w:t>
      </w:r>
    </w:p>
    <w:p w14:paraId="297EB2C6" w14:textId="1182479E" w:rsidR="00FE5A50" w:rsidRDefault="00FE5A50" w:rsidP="00FA50D8">
      <w:pPr>
        <w:spacing w:after="40"/>
        <w:rPr>
          <w:rFonts w:ascii="Arial" w:eastAsia="Arial Unicode MS" w:hAnsi="Arial" w:cs="Arial"/>
          <w:sz w:val="20"/>
          <w:szCs w:val="20"/>
        </w:rPr>
      </w:pPr>
      <w:r w:rsidRPr="00FE5A50">
        <w:rPr>
          <w:rFonts w:ascii="Arial" w:eastAsia="Arial Unicode MS" w:hAnsi="Arial" w:cs="Arial"/>
          <w:noProof/>
          <w:sz w:val="20"/>
          <w:szCs w:val="20"/>
        </w:rPr>
        <w:drawing>
          <wp:inline distT="0" distB="0" distL="0" distR="0" wp14:anchorId="166AA187" wp14:editId="02C31827">
            <wp:extent cx="5543550" cy="1609725"/>
            <wp:effectExtent l="0" t="0" r="0"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14:paraId="04774512" w14:textId="7AE49D22" w:rsidR="009B4BE8" w:rsidRDefault="009B4BE8" w:rsidP="00FA50D8">
      <w:pPr>
        <w:spacing w:after="40"/>
        <w:rPr>
          <w:rFonts w:ascii="Arial" w:eastAsia="Arial Unicode MS" w:hAnsi="Arial" w:cs="Arial"/>
          <w:sz w:val="20"/>
          <w:szCs w:val="20"/>
        </w:rPr>
      </w:pPr>
    </w:p>
    <w:p w14:paraId="67D14D22" w14:textId="3329756B"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Comparando-se as receitas realizadas até o </w:t>
      </w:r>
      <w:r w:rsidR="00810C16">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w:t>
      </w:r>
      <w:r w:rsidR="00ED71BC">
        <w:rPr>
          <w:rFonts w:ascii="Arial" w:eastAsia="Arial Unicode MS" w:hAnsi="Arial" w:cs="Arial"/>
          <w:sz w:val="20"/>
          <w:szCs w:val="20"/>
        </w:rPr>
        <w:t>1</w:t>
      </w:r>
      <w:r w:rsidRPr="0034064D">
        <w:rPr>
          <w:rFonts w:ascii="Arial" w:eastAsia="Arial Unicode MS" w:hAnsi="Arial" w:cs="Arial"/>
          <w:sz w:val="20"/>
          <w:szCs w:val="20"/>
        </w:rPr>
        <w:t xml:space="preserve"> com o mesmo período de 20</w:t>
      </w:r>
      <w:r w:rsidR="00ED71BC">
        <w:rPr>
          <w:rFonts w:ascii="Arial" w:eastAsia="Arial Unicode MS" w:hAnsi="Arial" w:cs="Arial"/>
          <w:sz w:val="20"/>
          <w:szCs w:val="20"/>
        </w:rPr>
        <w:t>20</w:t>
      </w:r>
      <w:r w:rsidRPr="0034064D">
        <w:rPr>
          <w:rFonts w:ascii="Arial" w:eastAsia="Arial Unicode MS" w:hAnsi="Arial" w:cs="Arial"/>
          <w:sz w:val="20"/>
          <w:szCs w:val="20"/>
        </w:rPr>
        <w:t>, percebe-se um</w:t>
      </w:r>
      <w:r w:rsidR="00ED71BC">
        <w:rPr>
          <w:rFonts w:ascii="Arial" w:eastAsia="Arial Unicode MS" w:hAnsi="Arial" w:cs="Arial"/>
          <w:sz w:val="20"/>
          <w:szCs w:val="20"/>
        </w:rPr>
        <w:t xml:space="preserve">a variação </w:t>
      </w:r>
      <w:r w:rsidRPr="0034064D">
        <w:rPr>
          <w:rFonts w:ascii="Arial" w:eastAsia="Arial Unicode MS" w:hAnsi="Arial" w:cs="Arial"/>
          <w:sz w:val="20"/>
          <w:szCs w:val="20"/>
        </w:rPr>
        <w:t xml:space="preserve">de aproximadamente </w:t>
      </w:r>
      <w:r w:rsidR="00810C16">
        <w:rPr>
          <w:rFonts w:ascii="Arial" w:eastAsia="Arial Unicode MS" w:hAnsi="Arial" w:cs="Arial"/>
          <w:sz w:val="20"/>
          <w:szCs w:val="20"/>
        </w:rPr>
        <w:t>225</w:t>
      </w:r>
      <w:r w:rsidRPr="008613BD">
        <w:rPr>
          <w:rFonts w:ascii="Arial" w:eastAsia="Arial Unicode MS" w:hAnsi="Arial" w:cs="Arial"/>
          <w:sz w:val="20"/>
          <w:szCs w:val="20"/>
        </w:rPr>
        <w:t>%</w:t>
      </w:r>
      <w:r w:rsidRPr="0034064D">
        <w:rPr>
          <w:rFonts w:ascii="Arial" w:eastAsia="Arial Unicode MS" w:hAnsi="Arial" w:cs="Arial"/>
          <w:sz w:val="20"/>
          <w:szCs w:val="20"/>
        </w:rPr>
        <w:t xml:space="preserve"> na arrecadação</w:t>
      </w:r>
      <w:r w:rsidR="007F5F4F">
        <w:rPr>
          <w:rFonts w:ascii="Arial" w:eastAsia="Arial Unicode MS" w:hAnsi="Arial" w:cs="Arial"/>
          <w:sz w:val="20"/>
          <w:szCs w:val="20"/>
        </w:rPr>
        <w:t>.</w:t>
      </w:r>
    </w:p>
    <w:p w14:paraId="487DCDD8" w14:textId="627D0DF3" w:rsidR="001A146D" w:rsidRDefault="00ED71BC" w:rsidP="00FA50D8">
      <w:pPr>
        <w:spacing w:after="40"/>
        <w:rPr>
          <w:rFonts w:ascii="Arial" w:eastAsia="Arial Unicode MS" w:hAnsi="Arial" w:cs="Arial"/>
          <w:sz w:val="20"/>
          <w:szCs w:val="20"/>
        </w:rPr>
      </w:pPr>
      <w:r>
        <w:rPr>
          <w:rFonts w:ascii="Arial" w:eastAsia="Arial Unicode MS" w:hAnsi="Arial" w:cs="Arial"/>
          <w:sz w:val="20"/>
          <w:szCs w:val="20"/>
        </w:rPr>
        <w:t>O crescimento</w:t>
      </w:r>
      <w:r w:rsidR="00FA50D8" w:rsidRPr="0034064D">
        <w:rPr>
          <w:rFonts w:ascii="Arial" w:eastAsia="Arial Unicode MS" w:hAnsi="Arial" w:cs="Arial"/>
          <w:sz w:val="20"/>
          <w:szCs w:val="20"/>
        </w:rPr>
        <w:t xml:space="preserve"> observad</w:t>
      </w:r>
      <w:r>
        <w:rPr>
          <w:rFonts w:ascii="Arial" w:eastAsia="Arial Unicode MS" w:hAnsi="Arial" w:cs="Arial"/>
          <w:sz w:val="20"/>
          <w:szCs w:val="20"/>
        </w:rPr>
        <w:t xml:space="preserve">o </w:t>
      </w:r>
      <w:r w:rsidR="00FA50D8" w:rsidRPr="0034064D">
        <w:rPr>
          <w:rFonts w:ascii="Arial" w:eastAsia="Arial Unicode MS" w:hAnsi="Arial" w:cs="Arial"/>
          <w:sz w:val="20"/>
          <w:szCs w:val="20"/>
        </w:rPr>
        <w:t xml:space="preserve">importa em aproximadamente </w:t>
      </w:r>
      <w:r w:rsidR="00FA50D8" w:rsidRPr="00854455">
        <w:rPr>
          <w:rFonts w:ascii="Arial" w:eastAsia="Arial Unicode MS" w:hAnsi="Arial" w:cs="Arial"/>
          <w:sz w:val="20"/>
          <w:szCs w:val="20"/>
        </w:rPr>
        <w:t xml:space="preserve">R$ </w:t>
      </w:r>
      <w:r w:rsidR="00810C16">
        <w:rPr>
          <w:rFonts w:ascii="Arial" w:eastAsia="Arial Unicode MS" w:hAnsi="Arial" w:cs="Arial"/>
          <w:sz w:val="20"/>
          <w:szCs w:val="20"/>
        </w:rPr>
        <w:t>878</w:t>
      </w:r>
      <w:r w:rsidR="00FA50D8" w:rsidRPr="00854455">
        <w:rPr>
          <w:rFonts w:ascii="Arial" w:eastAsia="Arial Unicode MS" w:hAnsi="Arial" w:cs="Arial"/>
          <w:sz w:val="20"/>
          <w:szCs w:val="20"/>
        </w:rPr>
        <w:t xml:space="preserve"> mil</w:t>
      </w:r>
      <w:r w:rsidR="00FA50D8" w:rsidRPr="0034064D">
        <w:rPr>
          <w:rFonts w:ascii="Arial" w:eastAsia="Arial Unicode MS" w:hAnsi="Arial" w:cs="Arial"/>
          <w:sz w:val="20"/>
          <w:szCs w:val="20"/>
        </w:rPr>
        <w:t xml:space="preserve">, afetando </w:t>
      </w:r>
      <w:r>
        <w:rPr>
          <w:rFonts w:ascii="Arial" w:eastAsia="Arial Unicode MS" w:hAnsi="Arial" w:cs="Arial"/>
          <w:sz w:val="20"/>
          <w:szCs w:val="20"/>
        </w:rPr>
        <w:t>positivamente</w:t>
      </w:r>
      <w:r w:rsidR="00FA50D8">
        <w:rPr>
          <w:rFonts w:ascii="Arial" w:eastAsia="Arial Unicode MS" w:hAnsi="Arial" w:cs="Arial"/>
          <w:sz w:val="20"/>
          <w:szCs w:val="20"/>
        </w:rPr>
        <w:t xml:space="preserve"> </w:t>
      </w:r>
      <w:r w:rsidR="00FA50D8" w:rsidRPr="0034064D">
        <w:rPr>
          <w:rFonts w:ascii="Arial" w:eastAsia="Arial Unicode MS" w:hAnsi="Arial" w:cs="Arial"/>
          <w:sz w:val="20"/>
          <w:szCs w:val="20"/>
        </w:rPr>
        <w:t xml:space="preserve">o desempenho da arrecadação </w:t>
      </w:r>
      <w:r w:rsidR="003F2FDA">
        <w:rPr>
          <w:rFonts w:ascii="Arial" w:eastAsia="Arial Unicode MS" w:hAnsi="Arial" w:cs="Arial"/>
          <w:sz w:val="20"/>
          <w:szCs w:val="20"/>
        </w:rPr>
        <w:t xml:space="preserve">quando comparado com o mesmo período </w:t>
      </w:r>
      <w:r w:rsidR="00001A54">
        <w:rPr>
          <w:rFonts w:ascii="Arial" w:eastAsia="Arial Unicode MS" w:hAnsi="Arial" w:cs="Arial"/>
          <w:sz w:val="20"/>
          <w:szCs w:val="20"/>
        </w:rPr>
        <w:t xml:space="preserve">do ano anterior, </w:t>
      </w:r>
      <w:r w:rsidR="00FA50D8" w:rsidRPr="0034064D">
        <w:rPr>
          <w:rFonts w:ascii="Arial" w:eastAsia="Arial Unicode MS" w:hAnsi="Arial" w:cs="Arial"/>
          <w:sz w:val="20"/>
          <w:szCs w:val="20"/>
        </w:rPr>
        <w:t xml:space="preserve">que pode ser demonstrada conforme </w:t>
      </w:r>
    </w:p>
    <w:p w14:paraId="6FB86C93" w14:textId="0A8051B0" w:rsidR="001A146D" w:rsidRDefault="001A146D" w:rsidP="00FA50D8">
      <w:pPr>
        <w:spacing w:after="40"/>
        <w:rPr>
          <w:rFonts w:ascii="Arial" w:eastAsia="Arial Unicode MS" w:hAnsi="Arial" w:cs="Arial"/>
          <w:sz w:val="20"/>
          <w:szCs w:val="20"/>
        </w:rPr>
      </w:pPr>
      <w:r>
        <w:rPr>
          <w:rFonts w:ascii="Arial" w:eastAsia="Arial Unicode MS" w:hAnsi="Arial" w:cs="Arial"/>
          <w:sz w:val="20"/>
          <w:szCs w:val="20"/>
        </w:rPr>
        <w:t>tabela abaixo:</w:t>
      </w:r>
    </w:p>
    <w:p w14:paraId="77CA77DE" w14:textId="1DA79981" w:rsidR="009604FD" w:rsidRDefault="00783A58" w:rsidP="00FA50D8">
      <w:pPr>
        <w:spacing w:after="40"/>
        <w:rPr>
          <w:rFonts w:ascii="Arial" w:eastAsia="Arial Unicode MS" w:hAnsi="Arial" w:cs="Arial"/>
          <w:sz w:val="20"/>
          <w:szCs w:val="20"/>
        </w:rPr>
      </w:pPr>
      <w:r w:rsidRPr="00783A58">
        <w:rPr>
          <w:rFonts w:ascii="Arial" w:eastAsia="Arial Unicode MS" w:hAnsi="Arial" w:cs="Arial"/>
          <w:noProof/>
          <w:sz w:val="20"/>
          <w:szCs w:val="20"/>
        </w:rPr>
        <w:drawing>
          <wp:inline distT="0" distB="0" distL="0" distR="0" wp14:anchorId="7F5B65A1" wp14:editId="2DAB3F49">
            <wp:extent cx="5353050" cy="2981325"/>
            <wp:effectExtent l="0" t="0" r="0" b="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53050" cy="2981325"/>
                    </a:xfrm>
                    <a:prstGeom prst="rect">
                      <a:avLst/>
                    </a:prstGeom>
                    <a:noFill/>
                    <a:ln>
                      <a:noFill/>
                    </a:ln>
                  </pic:spPr>
                </pic:pic>
              </a:graphicData>
            </a:graphic>
          </wp:inline>
        </w:drawing>
      </w:r>
    </w:p>
    <w:p w14:paraId="4D7B129C" w14:textId="77777777" w:rsidR="00EC0A78" w:rsidRDefault="00EC0A78" w:rsidP="00FA50D8">
      <w:pPr>
        <w:spacing w:after="40"/>
        <w:rPr>
          <w:rFonts w:ascii="Arial" w:eastAsia="Arial Unicode MS" w:hAnsi="Arial" w:cs="Arial"/>
          <w:sz w:val="20"/>
          <w:szCs w:val="20"/>
        </w:rPr>
      </w:pPr>
    </w:p>
    <w:p w14:paraId="6B18CBE0" w14:textId="244FAD8A" w:rsidR="00FA50D8" w:rsidRPr="0034064D" w:rsidRDefault="00FA50D8" w:rsidP="00FA50D8">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w:t>
      </w:r>
      <w:proofErr w:type="gramStart"/>
      <w:r w:rsidRPr="0034064D">
        <w:rPr>
          <w:rFonts w:ascii="Arial" w:eastAsia="Arial Unicode MS" w:hAnsi="Arial" w:cs="Arial"/>
          <w:sz w:val="20"/>
          <w:szCs w:val="20"/>
        </w:rPr>
        <w:t xml:space="preserve">pela </w:t>
      </w:r>
      <w:r w:rsidR="009604FD">
        <w:rPr>
          <w:rFonts w:ascii="Arial" w:eastAsia="Arial Unicode MS" w:hAnsi="Arial" w:cs="Arial"/>
          <w:sz w:val="20"/>
          <w:szCs w:val="20"/>
        </w:rPr>
        <w:t>aumento</w:t>
      </w:r>
      <w:proofErr w:type="gramEnd"/>
      <w:r w:rsidR="00D43CA1">
        <w:rPr>
          <w:rFonts w:ascii="Arial" w:eastAsia="Arial Unicode MS" w:hAnsi="Arial" w:cs="Arial"/>
          <w:sz w:val="20"/>
          <w:szCs w:val="20"/>
        </w:rPr>
        <w:t xml:space="preserve"> em mais de R$ </w:t>
      </w:r>
      <w:r w:rsidR="00783A58">
        <w:rPr>
          <w:rFonts w:ascii="Arial" w:eastAsia="Arial Unicode MS" w:hAnsi="Arial" w:cs="Arial"/>
          <w:sz w:val="20"/>
          <w:szCs w:val="20"/>
        </w:rPr>
        <w:t>800</w:t>
      </w:r>
      <w:r w:rsidR="00D43CA1">
        <w:rPr>
          <w:rFonts w:ascii="Arial" w:eastAsia="Arial Unicode MS" w:hAnsi="Arial" w:cs="Arial"/>
          <w:sz w:val="20"/>
          <w:szCs w:val="20"/>
        </w:rPr>
        <w:t xml:space="preserve"> mil na </w:t>
      </w:r>
      <w:r w:rsidRPr="0034064D">
        <w:rPr>
          <w:rFonts w:ascii="Arial" w:eastAsia="Arial Unicode MS" w:hAnsi="Arial" w:cs="Arial"/>
          <w:sz w:val="20"/>
          <w:szCs w:val="20"/>
        </w:rPr>
        <w:t xml:space="preserve">arrecadação </w:t>
      </w:r>
      <w:r>
        <w:rPr>
          <w:rFonts w:ascii="Arial" w:eastAsia="Arial Unicode MS" w:hAnsi="Arial" w:cs="Arial"/>
          <w:sz w:val="20"/>
          <w:szCs w:val="20"/>
        </w:rPr>
        <w:t xml:space="preserve">de Receita </w:t>
      </w:r>
      <w:r w:rsidR="009604FD">
        <w:rPr>
          <w:rFonts w:ascii="Arial" w:eastAsia="Arial Unicode MS" w:hAnsi="Arial" w:cs="Arial"/>
          <w:sz w:val="20"/>
          <w:szCs w:val="20"/>
        </w:rPr>
        <w:t>Agropecuária</w:t>
      </w:r>
      <w:r>
        <w:rPr>
          <w:rFonts w:ascii="Arial" w:eastAsia="Arial Unicode MS" w:hAnsi="Arial" w:cs="Arial"/>
          <w:sz w:val="20"/>
          <w:szCs w:val="20"/>
        </w:rPr>
        <w:t xml:space="preserve">, </w:t>
      </w:r>
      <w:r w:rsidR="00D43CA1">
        <w:rPr>
          <w:rFonts w:ascii="Arial" w:eastAsia="Arial Unicode MS" w:hAnsi="Arial" w:cs="Arial"/>
          <w:sz w:val="20"/>
          <w:szCs w:val="20"/>
        </w:rPr>
        <w:t xml:space="preserve">que no mesmo período do exercício anterior foi </w:t>
      </w:r>
      <w:r w:rsidR="009604FD">
        <w:rPr>
          <w:rFonts w:ascii="Arial" w:eastAsia="Arial Unicode MS" w:hAnsi="Arial" w:cs="Arial"/>
          <w:sz w:val="20"/>
          <w:szCs w:val="20"/>
        </w:rPr>
        <w:t xml:space="preserve">menor em razão da época </w:t>
      </w:r>
      <w:r w:rsidR="00783A58">
        <w:rPr>
          <w:rFonts w:ascii="Arial" w:eastAsia="Arial Unicode MS" w:hAnsi="Arial" w:cs="Arial"/>
          <w:sz w:val="20"/>
          <w:szCs w:val="20"/>
        </w:rPr>
        <w:t xml:space="preserve">e condições de mercado mais favoráveis </w:t>
      </w:r>
      <w:r w:rsidR="009604FD">
        <w:rPr>
          <w:rFonts w:ascii="Arial" w:eastAsia="Arial Unicode MS" w:hAnsi="Arial" w:cs="Arial"/>
          <w:sz w:val="20"/>
          <w:szCs w:val="20"/>
        </w:rPr>
        <w:t>em que foram comercializados os produtos agrícolas</w:t>
      </w:r>
      <w:r w:rsidR="001929E9">
        <w:rPr>
          <w:rFonts w:ascii="Arial" w:eastAsia="Arial Unicode MS" w:hAnsi="Arial" w:cs="Arial"/>
          <w:sz w:val="20"/>
          <w:szCs w:val="20"/>
        </w:rPr>
        <w:t>.</w:t>
      </w:r>
      <w:r w:rsidR="00D43CA1">
        <w:rPr>
          <w:rFonts w:ascii="Arial" w:eastAsia="Arial Unicode MS" w:hAnsi="Arial" w:cs="Arial"/>
          <w:sz w:val="20"/>
          <w:szCs w:val="20"/>
        </w:rPr>
        <w:t xml:space="preserve"> </w:t>
      </w:r>
    </w:p>
    <w:p w14:paraId="31524D48" w14:textId="4CAEB0BD"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006B0EDC">
        <w:rPr>
          <w:rFonts w:ascii="Arial" w:eastAsia="Arial Unicode MS" w:hAnsi="Arial" w:cs="Arial"/>
          <w:sz w:val="20"/>
          <w:szCs w:val="20"/>
        </w:rPr>
        <w:t>92</w:t>
      </w:r>
      <w:r w:rsidRPr="00150CBC">
        <w:rPr>
          <w:rFonts w:ascii="Arial" w:eastAsia="Arial Unicode MS" w:hAnsi="Arial" w:cs="Arial"/>
          <w:sz w:val="20"/>
          <w:szCs w:val="20"/>
        </w:rPr>
        <w:t>%</w:t>
      </w:r>
      <w:r w:rsidRPr="0034064D">
        <w:rPr>
          <w:rFonts w:ascii="Arial" w:eastAsia="Arial Unicode MS" w:hAnsi="Arial" w:cs="Arial"/>
          <w:sz w:val="20"/>
          <w:szCs w:val="20"/>
        </w:rPr>
        <w:t xml:space="preserve"> das receitas arrecadadas até o </w:t>
      </w:r>
      <w:r w:rsidR="00876321">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D43CA1">
        <w:rPr>
          <w:rFonts w:ascii="Arial" w:eastAsia="Arial Unicode MS" w:hAnsi="Arial" w:cs="Arial"/>
          <w:sz w:val="20"/>
          <w:szCs w:val="20"/>
        </w:rPr>
        <w:t>2</w:t>
      </w:r>
      <w:r w:rsidR="006B0EDC">
        <w:rPr>
          <w:rFonts w:ascii="Arial" w:eastAsia="Arial Unicode MS" w:hAnsi="Arial" w:cs="Arial"/>
          <w:sz w:val="20"/>
          <w:szCs w:val="20"/>
        </w:rPr>
        <w:t>1</w:t>
      </w:r>
      <w:r w:rsidRPr="0034064D">
        <w:rPr>
          <w:rFonts w:ascii="Arial" w:eastAsia="Arial Unicode MS" w:hAnsi="Arial" w:cs="Arial"/>
          <w:sz w:val="20"/>
          <w:szCs w:val="20"/>
        </w:rPr>
        <w:t xml:space="preserve">, ou seja, </w:t>
      </w:r>
      <w:r w:rsidRPr="00150CBC">
        <w:rPr>
          <w:rFonts w:ascii="Arial" w:eastAsia="Arial Unicode MS" w:hAnsi="Arial" w:cs="Arial"/>
          <w:sz w:val="20"/>
          <w:szCs w:val="20"/>
        </w:rPr>
        <w:t xml:space="preserve">R$ </w:t>
      </w:r>
      <w:r w:rsidR="00876321">
        <w:rPr>
          <w:rFonts w:ascii="Arial" w:eastAsia="Arial Unicode MS" w:hAnsi="Arial" w:cs="Arial"/>
          <w:sz w:val="20"/>
          <w:szCs w:val="20"/>
        </w:rPr>
        <w:t>1,08</w:t>
      </w:r>
      <w:r w:rsidR="00D43CA1">
        <w:rPr>
          <w:rFonts w:ascii="Arial" w:eastAsia="Arial Unicode MS" w:hAnsi="Arial" w:cs="Arial"/>
          <w:sz w:val="20"/>
          <w:szCs w:val="20"/>
        </w:rPr>
        <w:t xml:space="preserve"> </w:t>
      </w:r>
      <w:r w:rsidRPr="00150CBC">
        <w:rPr>
          <w:rFonts w:ascii="Arial" w:eastAsia="Arial Unicode MS" w:hAnsi="Arial" w:cs="Arial"/>
          <w:sz w:val="20"/>
          <w:szCs w:val="20"/>
        </w:rPr>
        <w:t>mil</w:t>
      </w:r>
      <w:r w:rsidR="00876321">
        <w:rPr>
          <w:rFonts w:ascii="Arial" w:eastAsia="Arial Unicode MS" w:hAnsi="Arial" w:cs="Arial"/>
          <w:sz w:val="20"/>
          <w:szCs w:val="20"/>
        </w:rPr>
        <w:t>hão</w:t>
      </w:r>
      <w:r w:rsidRPr="0034064D">
        <w:rPr>
          <w:rFonts w:ascii="Arial" w:eastAsia="Arial Unicode MS" w:hAnsi="Arial" w:cs="Arial"/>
          <w:sz w:val="20"/>
          <w:szCs w:val="20"/>
        </w:rPr>
        <w:t>, refere-se à re</w:t>
      </w:r>
      <w:r>
        <w:rPr>
          <w:rFonts w:ascii="Arial" w:eastAsia="Arial Unicode MS" w:hAnsi="Arial" w:cs="Arial"/>
          <w:sz w:val="20"/>
          <w:szCs w:val="20"/>
        </w:rPr>
        <w:t xml:space="preserve">alização de Receita </w:t>
      </w:r>
      <w:r w:rsidR="00D43CA1">
        <w:rPr>
          <w:rFonts w:ascii="Arial" w:eastAsia="Arial Unicode MS" w:hAnsi="Arial" w:cs="Arial"/>
          <w:sz w:val="20"/>
          <w:szCs w:val="20"/>
        </w:rPr>
        <w:t xml:space="preserve">Agropecuária relativa </w:t>
      </w:r>
      <w:r w:rsidR="000831F3">
        <w:rPr>
          <w:rFonts w:ascii="Arial" w:eastAsia="Arial Unicode MS" w:hAnsi="Arial" w:cs="Arial"/>
          <w:sz w:val="20"/>
          <w:szCs w:val="20"/>
        </w:rPr>
        <w:t>a receitas da produção vegetal e produção animal</w:t>
      </w:r>
      <w:r w:rsidR="008F080C">
        <w:rPr>
          <w:rFonts w:ascii="Arial" w:eastAsia="Arial Unicode MS" w:hAnsi="Arial" w:cs="Arial"/>
          <w:sz w:val="20"/>
          <w:szCs w:val="20"/>
        </w:rPr>
        <w:t xml:space="preserve"> e derivados</w:t>
      </w:r>
      <w:r w:rsidR="00876321">
        <w:rPr>
          <w:rFonts w:ascii="Arial" w:eastAsia="Arial Unicode MS" w:hAnsi="Arial" w:cs="Arial"/>
          <w:sz w:val="20"/>
          <w:szCs w:val="20"/>
        </w:rPr>
        <w:t xml:space="preserve"> nos Campus Sertão, Bento Gonçalves e Ibirubá</w:t>
      </w:r>
      <w:r w:rsidR="000831F3">
        <w:rPr>
          <w:rFonts w:ascii="Arial" w:eastAsia="Arial Unicode MS" w:hAnsi="Arial" w:cs="Arial"/>
          <w:sz w:val="20"/>
          <w:szCs w:val="20"/>
        </w:rPr>
        <w:t>.</w:t>
      </w:r>
    </w:p>
    <w:p w14:paraId="3D6B9534" w14:textId="4D4C81C3"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Pela tabela anterior, pode ser percebido que, até o </w:t>
      </w:r>
      <w:r w:rsidR="001929E9">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8F080C">
        <w:rPr>
          <w:rFonts w:ascii="Arial" w:eastAsia="Arial Unicode MS" w:hAnsi="Arial" w:cs="Arial"/>
          <w:sz w:val="20"/>
          <w:szCs w:val="20"/>
        </w:rPr>
        <w:t>2</w:t>
      </w:r>
      <w:r w:rsidR="006B0EDC">
        <w:rPr>
          <w:rFonts w:ascii="Arial" w:eastAsia="Arial Unicode MS" w:hAnsi="Arial" w:cs="Arial"/>
          <w:sz w:val="20"/>
          <w:szCs w:val="20"/>
        </w:rPr>
        <w:t>1</w:t>
      </w:r>
      <w:r>
        <w:rPr>
          <w:rFonts w:ascii="Arial" w:eastAsia="Arial Unicode MS" w:hAnsi="Arial" w:cs="Arial"/>
          <w:sz w:val="20"/>
          <w:szCs w:val="20"/>
        </w:rPr>
        <w:t>, a arrecadação da</w:t>
      </w:r>
      <w:r w:rsidRPr="0034064D">
        <w:rPr>
          <w:rFonts w:ascii="Arial" w:eastAsia="Arial Unicode MS" w:hAnsi="Arial" w:cs="Arial"/>
          <w:sz w:val="20"/>
          <w:szCs w:val="20"/>
        </w:rPr>
        <w:t xml:space="preserve"> Receita </w:t>
      </w:r>
      <w:r>
        <w:rPr>
          <w:rFonts w:ascii="Arial" w:eastAsia="Arial Unicode MS" w:hAnsi="Arial" w:cs="Arial"/>
          <w:sz w:val="20"/>
          <w:szCs w:val="20"/>
        </w:rPr>
        <w:t xml:space="preserve">de </w:t>
      </w:r>
      <w:r w:rsidR="006B0EDC">
        <w:rPr>
          <w:rFonts w:ascii="Arial" w:eastAsia="Arial Unicode MS" w:hAnsi="Arial" w:cs="Arial"/>
          <w:sz w:val="20"/>
          <w:szCs w:val="20"/>
        </w:rPr>
        <w:t xml:space="preserve">outras receitas correntes </w:t>
      </w:r>
      <w:r w:rsidR="008F080C">
        <w:rPr>
          <w:rFonts w:ascii="Arial" w:eastAsia="Arial Unicode MS" w:hAnsi="Arial" w:cs="Arial"/>
          <w:sz w:val="20"/>
          <w:szCs w:val="20"/>
        </w:rPr>
        <w:t>cresceu</w:t>
      </w:r>
      <w:r w:rsidRPr="0034064D">
        <w:rPr>
          <w:rFonts w:ascii="Arial" w:eastAsia="Arial Unicode MS" w:hAnsi="Arial" w:cs="Arial"/>
          <w:sz w:val="20"/>
          <w:szCs w:val="20"/>
        </w:rPr>
        <w:t xml:space="preserve"> em cerca de </w:t>
      </w:r>
      <w:r w:rsidRPr="00150CBC">
        <w:rPr>
          <w:rFonts w:ascii="Arial" w:eastAsia="Arial Unicode MS" w:hAnsi="Arial" w:cs="Arial"/>
          <w:sz w:val="20"/>
          <w:szCs w:val="20"/>
        </w:rPr>
        <w:t xml:space="preserve">R$ </w:t>
      </w:r>
      <w:r w:rsidR="001929E9">
        <w:rPr>
          <w:rFonts w:ascii="Arial" w:eastAsia="Arial Unicode MS" w:hAnsi="Arial" w:cs="Arial"/>
          <w:sz w:val="20"/>
          <w:szCs w:val="20"/>
        </w:rPr>
        <w:t>140</w:t>
      </w:r>
      <w:r w:rsidRPr="00150CBC">
        <w:rPr>
          <w:rFonts w:ascii="Arial" w:eastAsia="Arial Unicode MS" w:hAnsi="Arial" w:cs="Arial"/>
          <w:sz w:val="20"/>
          <w:szCs w:val="20"/>
        </w:rPr>
        <w:t xml:space="preserve"> mil </w:t>
      </w:r>
      <w:r w:rsidRPr="0034064D">
        <w:rPr>
          <w:rFonts w:ascii="Arial" w:eastAsia="Arial Unicode MS" w:hAnsi="Arial" w:cs="Arial"/>
          <w:sz w:val="20"/>
          <w:szCs w:val="20"/>
        </w:rPr>
        <w:t>em relação ao mesmo período de 20</w:t>
      </w:r>
      <w:r w:rsidR="006B0EDC">
        <w:rPr>
          <w:rFonts w:ascii="Arial" w:eastAsia="Arial Unicode MS" w:hAnsi="Arial" w:cs="Arial"/>
          <w:sz w:val="20"/>
          <w:szCs w:val="20"/>
        </w:rPr>
        <w:t>20</w:t>
      </w:r>
      <w:r w:rsidRPr="0034064D">
        <w:rPr>
          <w:rFonts w:ascii="Arial" w:eastAsia="Arial Unicode MS" w:hAnsi="Arial" w:cs="Arial"/>
          <w:sz w:val="20"/>
          <w:szCs w:val="20"/>
        </w:rPr>
        <w:t xml:space="preserve">, </w:t>
      </w:r>
      <w:r w:rsidR="008F080C">
        <w:rPr>
          <w:rFonts w:ascii="Arial" w:eastAsia="Arial Unicode MS" w:hAnsi="Arial" w:cs="Arial"/>
          <w:sz w:val="20"/>
          <w:szCs w:val="20"/>
        </w:rPr>
        <w:t xml:space="preserve">corresponde a </w:t>
      </w:r>
      <w:proofErr w:type="gramStart"/>
      <w:r w:rsidR="001929E9">
        <w:rPr>
          <w:rFonts w:ascii="Arial" w:eastAsia="Arial Unicode MS" w:hAnsi="Arial" w:cs="Arial"/>
          <w:sz w:val="20"/>
          <w:szCs w:val="20"/>
        </w:rPr>
        <w:t xml:space="preserve">segunda </w:t>
      </w:r>
      <w:r w:rsidR="008F080C">
        <w:rPr>
          <w:rFonts w:ascii="Arial" w:eastAsia="Arial Unicode MS" w:hAnsi="Arial" w:cs="Arial"/>
          <w:sz w:val="20"/>
          <w:szCs w:val="20"/>
        </w:rPr>
        <w:t xml:space="preserve"> maior</w:t>
      </w:r>
      <w:proofErr w:type="gramEnd"/>
      <w:r w:rsidR="008F080C">
        <w:rPr>
          <w:rFonts w:ascii="Arial" w:eastAsia="Arial Unicode MS" w:hAnsi="Arial" w:cs="Arial"/>
          <w:sz w:val="20"/>
          <w:szCs w:val="20"/>
        </w:rPr>
        <w:t xml:space="preserve"> arrecadação do IFRS, representando </w:t>
      </w:r>
      <w:r w:rsidRPr="0034064D">
        <w:rPr>
          <w:rFonts w:ascii="Arial" w:eastAsia="Arial Unicode MS" w:hAnsi="Arial" w:cs="Arial"/>
          <w:sz w:val="20"/>
          <w:szCs w:val="20"/>
        </w:rPr>
        <w:t xml:space="preserve">aproximadamente </w:t>
      </w:r>
      <w:r w:rsidR="001929E9">
        <w:rPr>
          <w:rFonts w:ascii="Arial" w:eastAsia="Arial Unicode MS" w:hAnsi="Arial" w:cs="Arial"/>
          <w:sz w:val="20"/>
          <w:szCs w:val="20"/>
        </w:rPr>
        <w:t>11</w:t>
      </w:r>
      <w:r w:rsidRPr="00150CBC">
        <w:rPr>
          <w:rFonts w:ascii="Arial" w:eastAsia="Arial Unicode MS" w:hAnsi="Arial" w:cs="Arial"/>
          <w:sz w:val="20"/>
          <w:szCs w:val="20"/>
        </w:rPr>
        <w:t>%</w:t>
      </w:r>
      <w:r>
        <w:rPr>
          <w:rFonts w:ascii="Arial" w:eastAsia="Arial Unicode MS" w:hAnsi="Arial" w:cs="Arial"/>
          <w:sz w:val="20"/>
          <w:szCs w:val="20"/>
        </w:rPr>
        <w:t xml:space="preserve"> </w:t>
      </w:r>
      <w:r w:rsidR="008F080C">
        <w:rPr>
          <w:rFonts w:ascii="Arial" w:eastAsia="Arial Unicode MS" w:hAnsi="Arial" w:cs="Arial"/>
          <w:sz w:val="20"/>
          <w:szCs w:val="20"/>
        </w:rPr>
        <w:t>da arrecadação total</w:t>
      </w:r>
      <w:r w:rsidR="001929E9">
        <w:rPr>
          <w:rFonts w:ascii="Arial" w:eastAsia="Arial Unicode MS" w:hAnsi="Arial" w:cs="Arial"/>
          <w:sz w:val="20"/>
          <w:szCs w:val="20"/>
        </w:rPr>
        <w:t>, com destaque para restituição de despesas de exercícios anteriores no montante de R$ 133 mil</w:t>
      </w:r>
      <w:r>
        <w:rPr>
          <w:rFonts w:ascii="Arial" w:eastAsia="Arial Unicode MS" w:hAnsi="Arial" w:cs="Arial"/>
          <w:sz w:val="20"/>
          <w:szCs w:val="20"/>
        </w:rPr>
        <w:t xml:space="preserve">. </w:t>
      </w:r>
    </w:p>
    <w:p w14:paraId="6347C1C2" w14:textId="1FC149BF"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Na tabela a seguir, é evidenciada a composição da arrecadação de Receita </w:t>
      </w:r>
      <w:r w:rsidR="008F080C">
        <w:rPr>
          <w:rFonts w:ascii="Arial" w:eastAsia="Arial Unicode MS" w:hAnsi="Arial" w:cs="Arial"/>
          <w:sz w:val="20"/>
          <w:szCs w:val="20"/>
        </w:rPr>
        <w:t xml:space="preserve">Agropecuária e de </w:t>
      </w:r>
      <w:r w:rsidR="006B0EDC">
        <w:rPr>
          <w:rFonts w:ascii="Arial" w:eastAsia="Arial Unicode MS" w:hAnsi="Arial" w:cs="Arial"/>
          <w:sz w:val="20"/>
          <w:szCs w:val="20"/>
        </w:rPr>
        <w:t>Outras Receitas Correntes</w:t>
      </w:r>
      <w:r w:rsidRPr="0034064D">
        <w:rPr>
          <w:rFonts w:ascii="Arial" w:eastAsia="Arial Unicode MS" w:hAnsi="Arial" w:cs="Arial"/>
          <w:sz w:val="20"/>
          <w:szCs w:val="20"/>
        </w:rPr>
        <w:t>, tendo como base os fatos geradores desta arrecadação.</w:t>
      </w:r>
      <w:r w:rsidR="008F080C">
        <w:rPr>
          <w:rFonts w:ascii="Arial" w:eastAsia="Arial Unicode MS" w:hAnsi="Arial" w:cs="Arial"/>
          <w:sz w:val="20"/>
          <w:szCs w:val="20"/>
        </w:rPr>
        <w:t xml:space="preserve"> </w:t>
      </w:r>
    </w:p>
    <w:p w14:paraId="5536EA38" w14:textId="0964CA10" w:rsidR="001929E9" w:rsidRDefault="001929E9" w:rsidP="00FA50D8">
      <w:pPr>
        <w:spacing w:after="40"/>
        <w:rPr>
          <w:rFonts w:ascii="Arial" w:eastAsia="Arial Unicode MS" w:hAnsi="Arial" w:cs="Arial"/>
          <w:sz w:val="20"/>
          <w:szCs w:val="20"/>
        </w:rPr>
      </w:pPr>
      <w:r w:rsidRPr="001929E9">
        <w:rPr>
          <w:rFonts w:ascii="Arial" w:eastAsia="Arial Unicode MS" w:hAnsi="Arial" w:cs="Arial"/>
          <w:noProof/>
          <w:sz w:val="20"/>
          <w:szCs w:val="20"/>
        </w:rPr>
        <w:drawing>
          <wp:inline distT="0" distB="0" distL="0" distR="0" wp14:anchorId="3D029287" wp14:editId="0CAAA411">
            <wp:extent cx="5353050" cy="1609725"/>
            <wp:effectExtent l="0" t="0" r="0" b="0"/>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422FF0D7" w14:textId="268199A2" w:rsidR="00EF27D2" w:rsidRDefault="00EF27D2" w:rsidP="00FA50D8">
      <w:pPr>
        <w:spacing w:after="40"/>
        <w:rPr>
          <w:rFonts w:ascii="Arial" w:eastAsia="Arial Unicode MS" w:hAnsi="Arial" w:cs="Arial"/>
          <w:sz w:val="20"/>
          <w:szCs w:val="20"/>
        </w:rPr>
      </w:pPr>
    </w:p>
    <w:p w14:paraId="3F518F21" w14:textId="44D8C1F2" w:rsidR="00C90552" w:rsidRDefault="00C90552" w:rsidP="00FA50D8">
      <w:pPr>
        <w:spacing w:after="40"/>
        <w:rPr>
          <w:rFonts w:ascii="Arial" w:eastAsia="Arial Unicode MS" w:hAnsi="Arial" w:cs="Arial"/>
          <w:sz w:val="20"/>
          <w:szCs w:val="20"/>
        </w:rPr>
      </w:pPr>
      <w:r w:rsidRPr="00C90552">
        <w:rPr>
          <w:rFonts w:ascii="Arial" w:eastAsia="Arial Unicode MS" w:hAnsi="Arial" w:cs="Arial"/>
          <w:noProof/>
          <w:sz w:val="20"/>
          <w:szCs w:val="20"/>
        </w:rPr>
        <w:lastRenderedPageBreak/>
        <w:drawing>
          <wp:inline distT="0" distB="0" distL="0" distR="0" wp14:anchorId="49AE29ED" wp14:editId="2A98D965">
            <wp:extent cx="5353050" cy="1838325"/>
            <wp:effectExtent l="0" t="0" r="0"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53050" cy="1838325"/>
                    </a:xfrm>
                    <a:prstGeom prst="rect">
                      <a:avLst/>
                    </a:prstGeom>
                    <a:noFill/>
                    <a:ln>
                      <a:noFill/>
                    </a:ln>
                  </pic:spPr>
                </pic:pic>
              </a:graphicData>
            </a:graphic>
          </wp:inline>
        </w:drawing>
      </w:r>
    </w:p>
    <w:p w14:paraId="5C85599F" w14:textId="77777777" w:rsidR="00CD73D6" w:rsidRDefault="00CD73D6" w:rsidP="00FA50D8">
      <w:pPr>
        <w:spacing w:after="40"/>
        <w:rPr>
          <w:rFonts w:ascii="Arial" w:eastAsia="Arial Unicode MS" w:hAnsi="Arial" w:cs="Arial"/>
          <w:b/>
          <w:sz w:val="20"/>
          <w:szCs w:val="20"/>
        </w:rPr>
      </w:pPr>
    </w:p>
    <w:p w14:paraId="5EF17D15" w14:textId="50CCD146"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Despesas</w:t>
      </w:r>
    </w:p>
    <w:p w14:paraId="71587F5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6B194D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44CB53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475B73BC"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A73C1F9" w14:textId="158276AC" w:rsidR="00FA50D8" w:rsidRPr="0034064D" w:rsidRDefault="005D44DB" w:rsidP="00FA50D8">
      <w:pPr>
        <w:spacing w:after="40"/>
        <w:rPr>
          <w:rFonts w:ascii="Arial" w:eastAsia="Arial Unicode MS" w:hAnsi="Arial" w:cs="Arial"/>
          <w:sz w:val="20"/>
          <w:szCs w:val="20"/>
        </w:rPr>
      </w:pPr>
      <w:r>
        <w:rPr>
          <w:rFonts w:ascii="Arial" w:eastAsia="Arial Unicode MS" w:hAnsi="Arial" w:cs="Arial"/>
          <w:sz w:val="20"/>
          <w:szCs w:val="20"/>
        </w:rPr>
        <w:t>O</w:t>
      </w:r>
      <w:r w:rsidR="00FA50D8" w:rsidRPr="0034064D">
        <w:rPr>
          <w:rFonts w:ascii="Arial" w:eastAsia="Arial Unicode MS" w:hAnsi="Arial" w:cs="Arial"/>
          <w:sz w:val="20"/>
          <w:szCs w:val="20"/>
        </w:rPr>
        <w:t xml:space="preserve"> empenho de despesas no período em análise montou a quantia aproximada de R$ </w:t>
      </w:r>
      <w:r w:rsidR="006F1948">
        <w:rPr>
          <w:rFonts w:ascii="Arial" w:eastAsia="Arial Unicode MS" w:hAnsi="Arial" w:cs="Arial"/>
          <w:sz w:val="20"/>
          <w:szCs w:val="20"/>
        </w:rPr>
        <w:t>400</w:t>
      </w:r>
      <w:r w:rsidR="00FA50D8" w:rsidRPr="0034064D">
        <w:rPr>
          <w:rFonts w:ascii="Arial" w:eastAsia="Arial Unicode MS" w:hAnsi="Arial" w:cs="Arial"/>
          <w:sz w:val="20"/>
          <w:szCs w:val="20"/>
        </w:rPr>
        <w:t xml:space="preserve"> milhões, enquanto que no mesmo período de 20</w:t>
      </w:r>
      <w:r w:rsidR="007D2E74">
        <w:rPr>
          <w:rFonts w:ascii="Arial" w:eastAsia="Arial Unicode MS" w:hAnsi="Arial" w:cs="Arial"/>
          <w:sz w:val="20"/>
          <w:szCs w:val="20"/>
        </w:rPr>
        <w:t>20</w:t>
      </w:r>
      <w:r w:rsidR="00FA50D8" w:rsidRPr="0034064D">
        <w:rPr>
          <w:rFonts w:ascii="Arial" w:eastAsia="Arial Unicode MS" w:hAnsi="Arial" w:cs="Arial"/>
          <w:sz w:val="20"/>
          <w:szCs w:val="20"/>
        </w:rPr>
        <w:t xml:space="preserve">, tal fase da execução da despesa pública montou a cifra de R$ </w:t>
      </w:r>
      <w:r w:rsidR="006F1948">
        <w:rPr>
          <w:rFonts w:ascii="Arial" w:eastAsia="Arial Unicode MS" w:hAnsi="Arial" w:cs="Arial"/>
          <w:sz w:val="20"/>
          <w:szCs w:val="20"/>
        </w:rPr>
        <w:t>407</w:t>
      </w:r>
      <w:r w:rsidR="00FA50D8" w:rsidRPr="0034064D">
        <w:rPr>
          <w:rFonts w:ascii="Arial" w:eastAsia="Arial Unicode MS" w:hAnsi="Arial" w:cs="Arial"/>
          <w:sz w:val="20"/>
          <w:szCs w:val="20"/>
        </w:rPr>
        <w:t xml:space="preserve"> milhões.</w:t>
      </w:r>
    </w:p>
    <w:p w14:paraId="65E53CA7" w14:textId="0764940A"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As despesas correntes representam </w:t>
      </w:r>
      <w:r w:rsidR="006F1948">
        <w:rPr>
          <w:rFonts w:ascii="Arial" w:eastAsia="Arial Unicode MS" w:hAnsi="Arial" w:cs="Arial"/>
          <w:sz w:val="20"/>
          <w:szCs w:val="20"/>
        </w:rPr>
        <w:t xml:space="preserve">praticamente </w:t>
      </w:r>
      <w:r w:rsidR="007D2E74">
        <w:rPr>
          <w:rFonts w:ascii="Arial" w:eastAsia="Arial Unicode MS" w:hAnsi="Arial" w:cs="Arial"/>
          <w:sz w:val="20"/>
          <w:szCs w:val="20"/>
        </w:rPr>
        <w:t>100</w:t>
      </w:r>
      <w:r>
        <w:rPr>
          <w:rFonts w:ascii="Arial" w:eastAsia="Arial Unicode MS" w:hAnsi="Arial" w:cs="Arial"/>
          <w:sz w:val="20"/>
          <w:szCs w:val="20"/>
        </w:rPr>
        <w:t>% do montante empenhado no exercício</w:t>
      </w:r>
      <w:r w:rsidR="007D2E74">
        <w:rPr>
          <w:rFonts w:ascii="Arial" w:eastAsia="Arial Unicode MS" w:hAnsi="Arial" w:cs="Arial"/>
          <w:sz w:val="20"/>
          <w:szCs w:val="20"/>
        </w:rPr>
        <w:t xml:space="preserve"> em razão de que houve </w:t>
      </w:r>
      <w:r w:rsidR="00934C75">
        <w:rPr>
          <w:rFonts w:ascii="Arial" w:eastAsia="Arial Unicode MS" w:hAnsi="Arial" w:cs="Arial"/>
          <w:sz w:val="20"/>
          <w:szCs w:val="20"/>
        </w:rPr>
        <w:t>no semestre o pedido de alterações orçamentarias de correntes para capital no montante de R$ 1,59 milhão, disponibilizados no final do semestre, não havendo tempo hábil para sua aplicação.</w:t>
      </w:r>
    </w:p>
    <w:p w14:paraId="47D1CFBE" w14:textId="470A8DD6" w:rsidR="006F1948" w:rsidRDefault="006F1948" w:rsidP="00FA50D8">
      <w:pPr>
        <w:spacing w:after="40"/>
        <w:rPr>
          <w:rFonts w:ascii="Arial" w:eastAsia="Arial Unicode MS" w:hAnsi="Arial" w:cs="Arial"/>
          <w:sz w:val="20"/>
          <w:szCs w:val="20"/>
        </w:rPr>
      </w:pPr>
      <w:r w:rsidRPr="006F1948">
        <w:rPr>
          <w:rFonts w:ascii="Arial" w:eastAsia="Arial Unicode MS" w:hAnsi="Arial" w:cs="Arial"/>
          <w:noProof/>
          <w:sz w:val="20"/>
          <w:szCs w:val="20"/>
        </w:rPr>
        <w:drawing>
          <wp:inline distT="0" distB="0" distL="0" distR="0" wp14:anchorId="23BC1797" wp14:editId="6C2448D2">
            <wp:extent cx="5353050" cy="1609725"/>
            <wp:effectExtent l="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4D4EF8D9" w14:textId="6FBDF74E" w:rsidR="00DC3105" w:rsidRDefault="00DC3105" w:rsidP="00FA50D8">
      <w:pPr>
        <w:spacing w:after="40"/>
        <w:rPr>
          <w:rFonts w:ascii="Arial" w:eastAsia="Arial Unicode MS" w:hAnsi="Arial" w:cs="Arial"/>
          <w:sz w:val="20"/>
          <w:szCs w:val="20"/>
        </w:rPr>
      </w:pPr>
    </w:p>
    <w:p w14:paraId="127BA15A" w14:textId="074E3AD8"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w:t>
      </w:r>
      <w:r w:rsidRPr="00D27F5A">
        <w:rPr>
          <w:rFonts w:ascii="Arial" w:eastAsia="Arial Unicode MS" w:hAnsi="Arial" w:cs="Arial"/>
          <w:sz w:val="20"/>
          <w:szCs w:val="20"/>
        </w:rPr>
        <w:t xml:space="preserve">R$ </w:t>
      </w:r>
      <w:r w:rsidR="007D2E74">
        <w:rPr>
          <w:rFonts w:ascii="Arial" w:eastAsia="Arial Unicode MS" w:hAnsi="Arial" w:cs="Arial"/>
          <w:sz w:val="20"/>
          <w:szCs w:val="20"/>
        </w:rPr>
        <w:t>188</w:t>
      </w:r>
      <w:r w:rsidR="008E1C59">
        <w:rPr>
          <w:rFonts w:ascii="Arial" w:eastAsia="Arial Unicode MS" w:hAnsi="Arial" w:cs="Arial"/>
          <w:sz w:val="20"/>
          <w:szCs w:val="20"/>
        </w:rPr>
        <w:t xml:space="preserve"> </w:t>
      </w:r>
      <w:r w:rsidRPr="00D27F5A">
        <w:rPr>
          <w:rFonts w:ascii="Arial" w:eastAsia="Arial Unicode MS" w:hAnsi="Arial" w:cs="Arial"/>
          <w:sz w:val="20"/>
          <w:szCs w:val="20"/>
        </w:rPr>
        <w:t>milhões</w:t>
      </w:r>
      <w:r w:rsidRPr="0034064D">
        <w:rPr>
          <w:rFonts w:ascii="Arial" w:eastAsia="Arial Unicode MS" w:hAnsi="Arial" w:cs="Arial"/>
          <w:sz w:val="20"/>
          <w:szCs w:val="20"/>
        </w:rPr>
        <w:t>.</w:t>
      </w:r>
    </w:p>
    <w:p w14:paraId="5F342A63" w14:textId="2952E908" w:rsidR="00C62974" w:rsidRDefault="00C62974" w:rsidP="00FA50D8">
      <w:pPr>
        <w:spacing w:after="40"/>
        <w:rPr>
          <w:rFonts w:ascii="Arial" w:eastAsia="Arial Unicode MS" w:hAnsi="Arial" w:cs="Arial"/>
          <w:sz w:val="20"/>
          <w:szCs w:val="20"/>
        </w:rPr>
      </w:pPr>
      <w:r w:rsidRPr="00C62974">
        <w:rPr>
          <w:rFonts w:ascii="Arial" w:eastAsia="Arial Unicode MS" w:hAnsi="Arial" w:cs="Arial"/>
          <w:noProof/>
          <w:sz w:val="20"/>
          <w:szCs w:val="20"/>
        </w:rPr>
        <w:drawing>
          <wp:inline distT="0" distB="0" distL="0" distR="0" wp14:anchorId="35A73EE0" wp14:editId="6C879B04">
            <wp:extent cx="5353050" cy="1609725"/>
            <wp:effectExtent l="0" t="0" r="0" b="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1453F974" w14:textId="528A3DFA"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1C787F6E" w14:textId="3B5261A0" w:rsidR="00B442AE" w:rsidRDefault="00B442AE" w:rsidP="00FA50D8">
      <w:pPr>
        <w:spacing w:after="40"/>
        <w:rPr>
          <w:rFonts w:ascii="Arial" w:eastAsia="Arial Unicode MS" w:hAnsi="Arial" w:cs="Arial"/>
          <w:sz w:val="20"/>
          <w:szCs w:val="20"/>
        </w:rPr>
      </w:pPr>
      <w:r w:rsidRPr="00B442AE">
        <w:rPr>
          <w:rFonts w:ascii="Arial" w:eastAsia="Arial Unicode MS" w:hAnsi="Arial" w:cs="Arial"/>
          <w:noProof/>
          <w:sz w:val="20"/>
          <w:szCs w:val="20"/>
        </w:rPr>
        <w:lastRenderedPageBreak/>
        <w:drawing>
          <wp:inline distT="0" distB="0" distL="0" distR="0" wp14:anchorId="37A36815" wp14:editId="2A52A0F4">
            <wp:extent cx="6479540" cy="2793365"/>
            <wp:effectExtent l="0" t="0" r="0" b="6985"/>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79540" cy="2793365"/>
                    </a:xfrm>
                    <a:prstGeom prst="rect">
                      <a:avLst/>
                    </a:prstGeom>
                    <a:noFill/>
                    <a:ln>
                      <a:noFill/>
                    </a:ln>
                  </pic:spPr>
                </pic:pic>
              </a:graphicData>
            </a:graphic>
          </wp:inline>
        </w:drawing>
      </w:r>
    </w:p>
    <w:p w14:paraId="727CC279" w14:textId="77DC6B9C" w:rsidR="001E3847" w:rsidRDefault="001E3847" w:rsidP="00FA50D8">
      <w:pPr>
        <w:spacing w:after="40"/>
        <w:rPr>
          <w:rFonts w:ascii="Arial" w:eastAsia="Arial Unicode MS" w:hAnsi="Arial" w:cs="Arial"/>
          <w:sz w:val="20"/>
          <w:szCs w:val="20"/>
        </w:rPr>
      </w:pPr>
    </w:p>
    <w:p w14:paraId="2960B0A6" w14:textId="40D06A74"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7D65911D" w14:textId="3A144C02" w:rsidR="00FA50D8" w:rsidRPr="007D0ABB" w:rsidRDefault="00FA50D8" w:rsidP="00FA50D8">
      <w:pPr>
        <w:spacing w:after="40"/>
        <w:rPr>
          <w:rFonts w:ascii="Arial" w:eastAsia="Arial Unicode MS" w:hAnsi="Arial" w:cs="Arial"/>
          <w:sz w:val="20"/>
          <w:szCs w:val="20"/>
        </w:rPr>
      </w:pPr>
      <w:r w:rsidRPr="007D0ABB">
        <w:rPr>
          <w:rFonts w:ascii="Arial" w:eastAsia="Arial Unicode MS" w:hAnsi="Arial" w:cs="Arial"/>
          <w:sz w:val="20"/>
          <w:szCs w:val="20"/>
        </w:rPr>
        <w:t xml:space="preserve">Pela tabela acima, percebe-se que o grupo de natureza da despesa “Pessoal e Encargos Sociais” teve um </w:t>
      </w:r>
      <w:r w:rsidR="001E3847">
        <w:rPr>
          <w:rFonts w:ascii="Arial" w:eastAsia="Arial Unicode MS" w:hAnsi="Arial" w:cs="Arial"/>
          <w:sz w:val="20"/>
          <w:szCs w:val="20"/>
        </w:rPr>
        <w:t xml:space="preserve">decréscimo </w:t>
      </w:r>
      <w:r w:rsidRPr="007D0ABB">
        <w:rPr>
          <w:rFonts w:ascii="Arial" w:eastAsia="Arial Unicode MS" w:hAnsi="Arial" w:cs="Arial"/>
          <w:sz w:val="20"/>
          <w:szCs w:val="20"/>
        </w:rPr>
        <w:t xml:space="preserve">de cerca de </w:t>
      </w:r>
      <w:r w:rsidR="00A35787">
        <w:rPr>
          <w:rFonts w:ascii="Arial" w:eastAsia="Arial Unicode MS" w:hAnsi="Arial" w:cs="Arial"/>
          <w:sz w:val="20"/>
          <w:szCs w:val="20"/>
        </w:rPr>
        <w:t>3</w:t>
      </w:r>
      <w:r w:rsidRPr="007D0ABB">
        <w:rPr>
          <w:rFonts w:ascii="Arial" w:eastAsia="Arial Unicode MS" w:hAnsi="Arial" w:cs="Arial"/>
          <w:sz w:val="20"/>
          <w:szCs w:val="20"/>
        </w:rPr>
        <w:t xml:space="preserve">% até o </w:t>
      </w:r>
      <w:r w:rsidR="00A35787">
        <w:rPr>
          <w:rFonts w:ascii="Arial" w:eastAsia="Arial Unicode MS" w:hAnsi="Arial" w:cs="Arial"/>
          <w:sz w:val="20"/>
          <w:szCs w:val="20"/>
        </w:rPr>
        <w:t>segundo</w:t>
      </w:r>
      <w:r w:rsidR="001E3847">
        <w:rPr>
          <w:rFonts w:ascii="Arial" w:eastAsia="Arial Unicode MS" w:hAnsi="Arial" w:cs="Arial"/>
          <w:sz w:val="20"/>
          <w:szCs w:val="20"/>
        </w:rPr>
        <w:t xml:space="preserve"> trimestre</w:t>
      </w:r>
      <w:r w:rsidRPr="007D0ABB">
        <w:rPr>
          <w:rFonts w:ascii="Arial" w:eastAsia="Arial Unicode MS" w:hAnsi="Arial" w:cs="Arial"/>
          <w:sz w:val="20"/>
          <w:szCs w:val="20"/>
        </w:rPr>
        <w:t xml:space="preserve"> de 20</w:t>
      </w:r>
      <w:r w:rsidR="002F28FE">
        <w:rPr>
          <w:rFonts w:ascii="Arial" w:eastAsia="Arial Unicode MS" w:hAnsi="Arial" w:cs="Arial"/>
          <w:sz w:val="20"/>
          <w:szCs w:val="20"/>
        </w:rPr>
        <w:t>2</w:t>
      </w:r>
      <w:r w:rsidR="001E3847">
        <w:rPr>
          <w:rFonts w:ascii="Arial" w:eastAsia="Arial Unicode MS" w:hAnsi="Arial" w:cs="Arial"/>
          <w:sz w:val="20"/>
          <w:szCs w:val="20"/>
        </w:rPr>
        <w:t>1</w:t>
      </w:r>
      <w:r w:rsidRPr="007D0ABB">
        <w:rPr>
          <w:rFonts w:ascii="Arial" w:eastAsia="Arial Unicode MS" w:hAnsi="Arial" w:cs="Arial"/>
          <w:sz w:val="20"/>
          <w:szCs w:val="20"/>
        </w:rPr>
        <w:t xml:space="preserve"> em relação ao mesmo período de 20</w:t>
      </w:r>
      <w:r w:rsidR="001E3847">
        <w:rPr>
          <w:rFonts w:ascii="Arial" w:eastAsia="Arial Unicode MS" w:hAnsi="Arial" w:cs="Arial"/>
          <w:sz w:val="20"/>
          <w:szCs w:val="20"/>
        </w:rPr>
        <w:t>20</w:t>
      </w:r>
      <w:r w:rsidRPr="007D0ABB">
        <w:rPr>
          <w:rFonts w:ascii="Arial" w:eastAsia="Arial Unicode MS" w:hAnsi="Arial" w:cs="Arial"/>
          <w:sz w:val="20"/>
          <w:szCs w:val="20"/>
        </w:rPr>
        <w:t xml:space="preserve">, evidenciando uma </w:t>
      </w:r>
      <w:r w:rsidR="001E3847">
        <w:rPr>
          <w:rFonts w:ascii="Arial" w:eastAsia="Arial Unicode MS" w:hAnsi="Arial" w:cs="Arial"/>
          <w:sz w:val="20"/>
          <w:szCs w:val="20"/>
        </w:rPr>
        <w:t>in</w:t>
      </w:r>
      <w:r w:rsidRPr="007D0ABB">
        <w:rPr>
          <w:rFonts w:ascii="Arial" w:eastAsia="Arial Unicode MS" w:hAnsi="Arial" w:cs="Arial"/>
          <w:sz w:val="20"/>
          <w:szCs w:val="20"/>
        </w:rPr>
        <w:t xml:space="preserve">volução no empenho de despesas da ordem de R$ </w:t>
      </w:r>
      <w:r w:rsidR="00B8161A">
        <w:rPr>
          <w:rFonts w:ascii="Arial" w:eastAsia="Arial Unicode MS" w:hAnsi="Arial" w:cs="Arial"/>
          <w:sz w:val="20"/>
          <w:szCs w:val="20"/>
        </w:rPr>
        <w:t>13</w:t>
      </w:r>
      <w:r w:rsidRPr="007D0ABB">
        <w:rPr>
          <w:rFonts w:ascii="Arial" w:eastAsia="Arial Unicode MS" w:hAnsi="Arial" w:cs="Arial"/>
          <w:sz w:val="20"/>
          <w:szCs w:val="20"/>
        </w:rPr>
        <w:t xml:space="preserve"> milhões</w:t>
      </w:r>
      <w:r w:rsidR="008E08DC">
        <w:rPr>
          <w:rFonts w:ascii="Arial" w:eastAsia="Arial Unicode MS" w:hAnsi="Arial" w:cs="Arial"/>
          <w:sz w:val="20"/>
          <w:szCs w:val="20"/>
        </w:rPr>
        <w:t xml:space="preserve">. Destacamos as despesas </w:t>
      </w:r>
      <w:proofErr w:type="gramStart"/>
      <w:r w:rsidR="008E08DC">
        <w:rPr>
          <w:rFonts w:ascii="Arial" w:eastAsia="Arial Unicode MS" w:hAnsi="Arial" w:cs="Arial"/>
          <w:sz w:val="20"/>
          <w:szCs w:val="20"/>
        </w:rPr>
        <w:t xml:space="preserve">com </w:t>
      </w:r>
      <w:r w:rsidRPr="007D0ABB">
        <w:rPr>
          <w:rFonts w:ascii="Arial" w:eastAsia="Arial Unicode MS" w:hAnsi="Arial" w:cs="Arial"/>
          <w:sz w:val="20"/>
          <w:szCs w:val="20"/>
        </w:rPr>
        <w:t xml:space="preserve"> vencimentos</w:t>
      </w:r>
      <w:proofErr w:type="gramEnd"/>
      <w:r w:rsidRPr="007D0ABB">
        <w:rPr>
          <w:rFonts w:ascii="Arial" w:eastAsia="Arial Unicode MS" w:hAnsi="Arial" w:cs="Arial"/>
          <w:sz w:val="20"/>
          <w:szCs w:val="20"/>
        </w:rPr>
        <w:t xml:space="preserve"> e vantagens fixas – pessoal civil (</w:t>
      </w:r>
      <w:r w:rsidR="008E08DC">
        <w:rPr>
          <w:rFonts w:ascii="Arial" w:eastAsia="Arial Unicode MS" w:hAnsi="Arial" w:cs="Arial"/>
          <w:sz w:val="20"/>
          <w:szCs w:val="20"/>
        </w:rPr>
        <w:t xml:space="preserve">-) </w:t>
      </w:r>
      <w:r w:rsidRPr="007D0ABB">
        <w:rPr>
          <w:rFonts w:ascii="Arial" w:eastAsia="Arial Unicode MS" w:hAnsi="Arial" w:cs="Arial"/>
          <w:sz w:val="20"/>
          <w:szCs w:val="20"/>
        </w:rPr>
        <w:t xml:space="preserve"> R$ </w:t>
      </w:r>
      <w:r w:rsidR="00B8161A">
        <w:rPr>
          <w:rFonts w:ascii="Arial" w:eastAsia="Arial Unicode MS" w:hAnsi="Arial" w:cs="Arial"/>
          <w:sz w:val="20"/>
          <w:szCs w:val="20"/>
        </w:rPr>
        <w:t>30</w:t>
      </w:r>
      <w:r w:rsidRPr="007D0ABB">
        <w:rPr>
          <w:rFonts w:ascii="Arial" w:eastAsia="Arial Unicode MS" w:hAnsi="Arial" w:cs="Arial"/>
          <w:sz w:val="20"/>
          <w:szCs w:val="20"/>
        </w:rPr>
        <w:t xml:space="preserve"> milhões), </w:t>
      </w:r>
      <w:r w:rsidR="00B8161A">
        <w:rPr>
          <w:rFonts w:ascii="Arial" w:eastAsia="Arial Unicode MS" w:hAnsi="Arial" w:cs="Arial"/>
          <w:sz w:val="20"/>
          <w:szCs w:val="20"/>
        </w:rPr>
        <w:t xml:space="preserve">combinado com os aumentos verificados em </w:t>
      </w:r>
      <w:r w:rsidRPr="007D0ABB">
        <w:rPr>
          <w:rFonts w:ascii="Arial" w:eastAsia="Arial Unicode MS" w:hAnsi="Arial" w:cs="Arial"/>
          <w:sz w:val="20"/>
          <w:szCs w:val="20"/>
        </w:rPr>
        <w:t xml:space="preserve">Obrigações Patronais – Operações </w:t>
      </w:r>
      <w:proofErr w:type="spellStart"/>
      <w:r w:rsidRPr="007D0ABB">
        <w:rPr>
          <w:rFonts w:ascii="Arial" w:eastAsia="Arial Unicode MS" w:hAnsi="Arial" w:cs="Arial"/>
          <w:sz w:val="20"/>
          <w:szCs w:val="20"/>
        </w:rPr>
        <w:t>Intra-Orçamentárias</w:t>
      </w:r>
      <w:proofErr w:type="spellEnd"/>
      <w:r w:rsidR="00B8161A">
        <w:rPr>
          <w:rFonts w:ascii="Arial" w:eastAsia="Arial Unicode MS" w:hAnsi="Arial" w:cs="Arial"/>
          <w:sz w:val="20"/>
          <w:szCs w:val="20"/>
        </w:rPr>
        <w:t>,</w:t>
      </w:r>
      <w:r w:rsidRPr="007D0ABB">
        <w:rPr>
          <w:rFonts w:ascii="Arial" w:eastAsia="Arial Unicode MS" w:hAnsi="Arial" w:cs="Arial"/>
          <w:sz w:val="20"/>
          <w:szCs w:val="20"/>
        </w:rPr>
        <w:t xml:space="preserve"> R$ </w:t>
      </w:r>
      <w:r w:rsidR="008E08DC">
        <w:rPr>
          <w:rFonts w:ascii="Arial" w:eastAsia="Arial Unicode MS" w:hAnsi="Arial" w:cs="Arial"/>
          <w:sz w:val="20"/>
          <w:szCs w:val="20"/>
        </w:rPr>
        <w:t>11</w:t>
      </w:r>
      <w:r w:rsidRPr="007D0ABB">
        <w:rPr>
          <w:rFonts w:ascii="Arial" w:eastAsia="Arial Unicode MS" w:hAnsi="Arial" w:cs="Arial"/>
          <w:sz w:val="20"/>
          <w:szCs w:val="20"/>
        </w:rPr>
        <w:t xml:space="preserve"> milhões</w:t>
      </w:r>
      <w:r w:rsidR="00B8161A">
        <w:rPr>
          <w:rFonts w:ascii="Arial" w:eastAsia="Arial Unicode MS" w:hAnsi="Arial" w:cs="Arial"/>
          <w:sz w:val="20"/>
          <w:szCs w:val="20"/>
        </w:rPr>
        <w:t xml:space="preserve"> e </w:t>
      </w:r>
      <w:r w:rsidR="002F28FE">
        <w:rPr>
          <w:rFonts w:ascii="Arial" w:eastAsia="Arial Unicode MS" w:hAnsi="Arial" w:cs="Arial"/>
          <w:sz w:val="20"/>
          <w:szCs w:val="20"/>
        </w:rPr>
        <w:t xml:space="preserve">Aposentadoria RPPS e Reserva Remunerada </w:t>
      </w:r>
      <w:r w:rsidR="00B8161A">
        <w:rPr>
          <w:rFonts w:ascii="Arial" w:eastAsia="Arial Unicode MS" w:hAnsi="Arial" w:cs="Arial"/>
          <w:sz w:val="20"/>
          <w:szCs w:val="20"/>
        </w:rPr>
        <w:t xml:space="preserve">em </w:t>
      </w:r>
      <w:r w:rsidR="002F28FE">
        <w:rPr>
          <w:rFonts w:ascii="Arial" w:eastAsia="Arial Unicode MS" w:hAnsi="Arial" w:cs="Arial"/>
          <w:sz w:val="20"/>
          <w:szCs w:val="20"/>
        </w:rPr>
        <w:t xml:space="preserve">R$ </w:t>
      </w:r>
      <w:r w:rsidR="00B8161A">
        <w:rPr>
          <w:rFonts w:ascii="Arial" w:eastAsia="Arial Unicode MS" w:hAnsi="Arial" w:cs="Arial"/>
          <w:sz w:val="20"/>
          <w:szCs w:val="20"/>
        </w:rPr>
        <w:t>5,87</w:t>
      </w:r>
      <w:r w:rsidR="002F28FE">
        <w:rPr>
          <w:rFonts w:ascii="Arial" w:eastAsia="Arial Unicode MS" w:hAnsi="Arial" w:cs="Arial"/>
          <w:sz w:val="20"/>
          <w:szCs w:val="20"/>
        </w:rPr>
        <w:t xml:space="preserve"> mil</w:t>
      </w:r>
      <w:r w:rsidR="00B8161A">
        <w:rPr>
          <w:rFonts w:ascii="Arial" w:eastAsia="Arial Unicode MS" w:hAnsi="Arial" w:cs="Arial"/>
          <w:sz w:val="20"/>
          <w:szCs w:val="20"/>
        </w:rPr>
        <w:t>hões</w:t>
      </w:r>
      <w:r w:rsidRPr="007D0ABB">
        <w:rPr>
          <w:rFonts w:ascii="Arial" w:eastAsia="Arial Unicode MS" w:hAnsi="Arial" w:cs="Arial"/>
          <w:sz w:val="20"/>
          <w:szCs w:val="20"/>
        </w:rPr>
        <w:t xml:space="preserve">, </w:t>
      </w:r>
      <w:r w:rsidR="00B8161A">
        <w:rPr>
          <w:rFonts w:ascii="Arial" w:eastAsia="Arial Unicode MS" w:hAnsi="Arial" w:cs="Arial"/>
          <w:sz w:val="20"/>
          <w:szCs w:val="20"/>
        </w:rPr>
        <w:t xml:space="preserve">se comparados com o mesmo período do exercício anterior </w:t>
      </w:r>
      <w:r w:rsidRPr="007D0ABB">
        <w:rPr>
          <w:rFonts w:ascii="Arial" w:eastAsia="Arial Unicode MS" w:hAnsi="Arial" w:cs="Arial"/>
          <w:sz w:val="20"/>
          <w:szCs w:val="20"/>
        </w:rPr>
        <w:t>que perfazem, também, o grupo de despesas com maior participação no rol de empenhos de Pessoal e Encargos Sociais, conforme evidenciado no gráfico abaixo:</w:t>
      </w:r>
    </w:p>
    <w:p w14:paraId="4BC8A932" w14:textId="77777777" w:rsidR="00FA50D8" w:rsidRDefault="00FA50D8" w:rsidP="00FA50D8">
      <w:pPr>
        <w:spacing w:after="40"/>
        <w:rPr>
          <w:rFonts w:ascii="Arial" w:eastAsia="Arial Unicode MS" w:hAnsi="Arial" w:cs="Arial"/>
          <w:sz w:val="20"/>
          <w:szCs w:val="20"/>
        </w:rPr>
      </w:pPr>
    </w:p>
    <w:p w14:paraId="6CBCC5B8" w14:textId="6EF1C2BC" w:rsidR="00CD73D6" w:rsidRPr="001C6AF6" w:rsidRDefault="00CD73D6" w:rsidP="00FA50D8">
      <w:pPr>
        <w:spacing w:after="40"/>
        <w:rPr>
          <w:rFonts w:ascii="Arial" w:eastAsia="Arial Unicode MS" w:hAnsi="Arial" w:cs="Arial"/>
          <w:sz w:val="20"/>
          <w:szCs w:val="20"/>
        </w:rPr>
        <w:sectPr w:rsidR="00CD73D6" w:rsidRPr="001C6AF6" w:rsidSect="00E576AD">
          <w:type w:val="continuous"/>
          <w:pgSz w:w="11906" w:h="16838"/>
          <w:pgMar w:top="1021" w:right="851" w:bottom="851" w:left="851" w:header="709" w:footer="0" w:gutter="0"/>
          <w:cols w:space="708"/>
          <w:docGrid w:linePitch="360"/>
        </w:sectPr>
      </w:pPr>
    </w:p>
    <w:p w14:paraId="20FA1B0F" w14:textId="1E570135" w:rsidR="00FA50D8" w:rsidRDefault="00FA50D8" w:rsidP="00FA50D8">
      <w:pPr>
        <w:spacing w:after="40"/>
        <w:rPr>
          <w:rFonts w:ascii="Arial" w:eastAsia="Arial Unicode MS" w:hAnsi="Arial" w:cs="Arial"/>
          <w:b/>
          <w:sz w:val="20"/>
          <w:szCs w:val="20"/>
        </w:rPr>
      </w:pPr>
      <w:r w:rsidRPr="00F416F2">
        <w:rPr>
          <w:rFonts w:ascii="Arial" w:eastAsia="Arial Unicode MS" w:hAnsi="Arial" w:cs="Arial"/>
          <w:b/>
          <w:sz w:val="20"/>
          <w:szCs w:val="20"/>
        </w:rPr>
        <w:t xml:space="preserve">Venc. e Vantagens Fixas, </w:t>
      </w:r>
      <w:r>
        <w:rPr>
          <w:rFonts w:ascii="Arial" w:eastAsia="Arial Unicode MS" w:hAnsi="Arial" w:cs="Arial"/>
          <w:b/>
          <w:sz w:val="20"/>
          <w:szCs w:val="20"/>
        </w:rPr>
        <w:t xml:space="preserve">Obrigações Patronais – Op. </w:t>
      </w:r>
      <w:proofErr w:type="spellStart"/>
      <w:r>
        <w:rPr>
          <w:rFonts w:ascii="Arial" w:eastAsia="Arial Unicode MS" w:hAnsi="Arial" w:cs="Arial"/>
          <w:b/>
          <w:sz w:val="20"/>
          <w:szCs w:val="20"/>
        </w:rPr>
        <w:t>Intra-Orçamentárias</w:t>
      </w:r>
      <w:proofErr w:type="spellEnd"/>
      <w:r w:rsidRPr="00F416F2">
        <w:rPr>
          <w:rFonts w:ascii="Arial" w:eastAsia="Arial Unicode MS" w:hAnsi="Arial" w:cs="Arial"/>
          <w:b/>
          <w:sz w:val="20"/>
          <w:szCs w:val="20"/>
        </w:rPr>
        <w:t xml:space="preserve"> e Aposentadorias do RPPS, Res. Remunerada e Ref. Militar.</w:t>
      </w:r>
    </w:p>
    <w:p w14:paraId="0AD60854" w14:textId="77777777" w:rsidR="00B8161A" w:rsidRDefault="00B8161A" w:rsidP="00FA50D8">
      <w:pPr>
        <w:spacing w:after="40"/>
        <w:rPr>
          <w:rFonts w:ascii="Arial" w:eastAsia="Arial Unicode MS" w:hAnsi="Arial" w:cs="Arial"/>
          <w:b/>
          <w:sz w:val="20"/>
          <w:szCs w:val="20"/>
        </w:rPr>
      </w:pPr>
    </w:p>
    <w:p w14:paraId="28E47107" w14:textId="78F65CE7" w:rsidR="00B8161A" w:rsidRDefault="00B8161A" w:rsidP="00FA50D8">
      <w:pPr>
        <w:spacing w:after="40"/>
        <w:rPr>
          <w:rFonts w:ascii="Arial" w:eastAsia="Arial Unicode MS" w:hAnsi="Arial" w:cs="Arial"/>
          <w:b/>
          <w:sz w:val="20"/>
          <w:szCs w:val="20"/>
        </w:rPr>
      </w:pPr>
      <w:r w:rsidRPr="00B8161A">
        <w:rPr>
          <w:rFonts w:ascii="Arial" w:eastAsia="Arial Unicode MS" w:hAnsi="Arial" w:cs="Arial"/>
          <w:b/>
          <w:noProof/>
          <w:sz w:val="20"/>
          <w:szCs w:val="20"/>
        </w:rPr>
        <w:drawing>
          <wp:inline distT="0" distB="0" distL="0" distR="0" wp14:anchorId="6A52521D" wp14:editId="4BEDB2EF">
            <wp:extent cx="6391275" cy="2752725"/>
            <wp:effectExtent l="0" t="0" r="9525" b="9525"/>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391275" cy="2752725"/>
                    </a:xfrm>
                    <a:prstGeom prst="rect">
                      <a:avLst/>
                    </a:prstGeom>
                    <a:noFill/>
                    <a:ln>
                      <a:noFill/>
                    </a:ln>
                  </pic:spPr>
                </pic:pic>
              </a:graphicData>
            </a:graphic>
          </wp:inline>
        </w:drawing>
      </w:r>
    </w:p>
    <w:p w14:paraId="104C8077" w14:textId="41273319" w:rsidR="004F2EEF" w:rsidRDefault="004F2EEF" w:rsidP="00FA50D8">
      <w:pPr>
        <w:spacing w:after="40"/>
        <w:rPr>
          <w:rFonts w:ascii="Arial" w:eastAsia="Arial Unicode MS" w:hAnsi="Arial" w:cs="Arial"/>
          <w:b/>
          <w:sz w:val="20"/>
          <w:szCs w:val="20"/>
        </w:rPr>
      </w:pPr>
    </w:p>
    <w:p w14:paraId="02727DCB" w14:textId="1111EE19"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A variação total das três naturezas de despesas supracitadas soma</w:t>
      </w:r>
      <w:r w:rsidR="00316E6B">
        <w:rPr>
          <w:rFonts w:ascii="Arial" w:eastAsia="Arial Unicode MS" w:hAnsi="Arial" w:cs="Arial"/>
          <w:sz w:val="20"/>
          <w:szCs w:val="20"/>
        </w:rPr>
        <w:t xml:space="preserve"> (-)</w:t>
      </w:r>
      <w:r w:rsidRPr="006631B3">
        <w:rPr>
          <w:rFonts w:ascii="Arial" w:eastAsia="Arial Unicode MS" w:hAnsi="Arial" w:cs="Arial"/>
          <w:sz w:val="20"/>
          <w:szCs w:val="20"/>
        </w:rPr>
        <w:t xml:space="preserve"> R$ </w:t>
      </w:r>
      <w:r w:rsidR="00B8161A">
        <w:rPr>
          <w:rFonts w:ascii="Arial" w:eastAsia="Arial Unicode MS" w:hAnsi="Arial" w:cs="Arial"/>
          <w:sz w:val="20"/>
          <w:szCs w:val="20"/>
        </w:rPr>
        <w:t>13</w:t>
      </w:r>
      <w:r w:rsidRPr="006631B3">
        <w:rPr>
          <w:rFonts w:ascii="Arial" w:eastAsia="Arial Unicode MS" w:hAnsi="Arial" w:cs="Arial"/>
          <w:sz w:val="20"/>
          <w:szCs w:val="20"/>
        </w:rPr>
        <w:t xml:space="preserve"> milhões</w:t>
      </w:r>
      <w:r w:rsidR="00752C54">
        <w:rPr>
          <w:rFonts w:ascii="Arial" w:eastAsia="Arial Unicode MS" w:hAnsi="Arial" w:cs="Arial"/>
          <w:sz w:val="20"/>
          <w:szCs w:val="20"/>
        </w:rPr>
        <w:t>.</w:t>
      </w:r>
    </w:p>
    <w:p w14:paraId="7D5087C5" w14:textId="77777777" w:rsidR="00FA50D8" w:rsidRPr="006631B3" w:rsidRDefault="00FA50D8" w:rsidP="00FA50D8">
      <w:pPr>
        <w:spacing w:after="40"/>
        <w:rPr>
          <w:rFonts w:ascii="Arial" w:eastAsia="Arial Unicode MS" w:hAnsi="Arial" w:cs="Arial"/>
          <w:sz w:val="20"/>
          <w:szCs w:val="20"/>
        </w:rPr>
      </w:pPr>
    </w:p>
    <w:p w14:paraId="20B5B8F6" w14:textId="375E7E76" w:rsidR="00EC4EC5"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Em relação às despesas empenhadas com outras despesas correntes, observa-se um </w:t>
      </w:r>
      <w:r w:rsidR="00F51D8D">
        <w:rPr>
          <w:rFonts w:ascii="Arial" w:eastAsia="Arial Unicode MS" w:hAnsi="Arial" w:cs="Arial"/>
          <w:sz w:val="20"/>
          <w:szCs w:val="20"/>
        </w:rPr>
        <w:t>a</w:t>
      </w:r>
      <w:r w:rsidR="00D81423">
        <w:rPr>
          <w:rFonts w:ascii="Arial" w:eastAsia="Arial Unicode MS" w:hAnsi="Arial" w:cs="Arial"/>
          <w:sz w:val="20"/>
          <w:szCs w:val="20"/>
        </w:rPr>
        <w:t>créscimo</w:t>
      </w:r>
      <w:r w:rsidRPr="006631B3">
        <w:rPr>
          <w:rFonts w:ascii="Arial" w:eastAsia="Arial Unicode MS" w:hAnsi="Arial" w:cs="Arial"/>
          <w:sz w:val="20"/>
          <w:szCs w:val="20"/>
        </w:rPr>
        <w:t xml:space="preserve"> de aproximadamente R$ </w:t>
      </w:r>
      <w:r w:rsidR="00AB0C8C">
        <w:rPr>
          <w:rFonts w:ascii="Arial" w:eastAsia="Arial Unicode MS" w:hAnsi="Arial" w:cs="Arial"/>
          <w:sz w:val="20"/>
          <w:szCs w:val="20"/>
        </w:rPr>
        <w:t xml:space="preserve">3,52 </w:t>
      </w:r>
      <w:proofErr w:type="gramStart"/>
      <w:r w:rsidR="00AB0C8C">
        <w:rPr>
          <w:rFonts w:ascii="Arial" w:eastAsia="Arial Unicode MS" w:hAnsi="Arial" w:cs="Arial"/>
          <w:sz w:val="20"/>
          <w:szCs w:val="20"/>
        </w:rPr>
        <w:t>milhões</w:t>
      </w:r>
      <w:r w:rsidRPr="006631B3">
        <w:rPr>
          <w:rFonts w:ascii="Arial" w:eastAsia="Arial Unicode MS" w:hAnsi="Arial" w:cs="Arial"/>
          <w:sz w:val="20"/>
          <w:szCs w:val="20"/>
        </w:rPr>
        <w:t xml:space="preserve">  equivalendo</w:t>
      </w:r>
      <w:proofErr w:type="gramEnd"/>
      <w:r w:rsidRPr="006631B3">
        <w:rPr>
          <w:rFonts w:ascii="Arial" w:eastAsia="Arial Unicode MS" w:hAnsi="Arial" w:cs="Arial"/>
          <w:sz w:val="20"/>
          <w:szCs w:val="20"/>
        </w:rPr>
        <w:t xml:space="preserve"> a </w:t>
      </w:r>
      <w:r w:rsidR="00643596">
        <w:rPr>
          <w:rFonts w:ascii="Arial" w:eastAsia="Arial Unicode MS" w:hAnsi="Arial" w:cs="Arial"/>
          <w:sz w:val="20"/>
          <w:szCs w:val="20"/>
        </w:rPr>
        <w:t>mais</w:t>
      </w:r>
      <w:r w:rsidRPr="006631B3">
        <w:rPr>
          <w:rFonts w:ascii="Arial" w:eastAsia="Arial Unicode MS" w:hAnsi="Arial" w:cs="Arial"/>
          <w:sz w:val="20"/>
          <w:szCs w:val="20"/>
        </w:rPr>
        <w:t xml:space="preserve"> </w:t>
      </w:r>
      <w:r w:rsidR="00AB0C8C">
        <w:rPr>
          <w:rFonts w:ascii="Arial" w:eastAsia="Arial Unicode MS" w:hAnsi="Arial" w:cs="Arial"/>
          <w:sz w:val="20"/>
          <w:szCs w:val="20"/>
        </w:rPr>
        <w:t>8</w:t>
      </w:r>
      <w:r w:rsidRPr="006631B3">
        <w:rPr>
          <w:rFonts w:ascii="Arial" w:eastAsia="Arial Unicode MS" w:hAnsi="Arial" w:cs="Arial"/>
          <w:sz w:val="20"/>
          <w:szCs w:val="20"/>
        </w:rPr>
        <w:t xml:space="preserve">%, quando comparado como o mesmo período do exercício anterior.  Destacam-se as despesas </w:t>
      </w:r>
      <w:proofErr w:type="gramStart"/>
      <w:r w:rsidRPr="006631B3">
        <w:rPr>
          <w:rFonts w:ascii="Arial" w:eastAsia="Arial Unicode MS" w:hAnsi="Arial" w:cs="Arial"/>
          <w:sz w:val="20"/>
          <w:szCs w:val="20"/>
        </w:rPr>
        <w:t>com</w:t>
      </w:r>
      <w:r w:rsidR="00EC4EC5">
        <w:rPr>
          <w:rFonts w:ascii="Arial" w:eastAsia="Arial Unicode MS" w:hAnsi="Arial" w:cs="Arial"/>
          <w:sz w:val="20"/>
          <w:szCs w:val="20"/>
        </w:rPr>
        <w:t xml:space="preserve">  </w:t>
      </w:r>
      <w:r w:rsidR="00D81423">
        <w:rPr>
          <w:rFonts w:ascii="Arial" w:eastAsia="Arial Unicode MS" w:hAnsi="Arial" w:cs="Arial"/>
          <w:sz w:val="20"/>
          <w:szCs w:val="20"/>
        </w:rPr>
        <w:t>Auxílio</w:t>
      </w:r>
      <w:proofErr w:type="gramEnd"/>
      <w:r w:rsidR="00D81423">
        <w:rPr>
          <w:rFonts w:ascii="Arial" w:eastAsia="Arial Unicode MS" w:hAnsi="Arial" w:cs="Arial"/>
          <w:sz w:val="20"/>
          <w:szCs w:val="20"/>
        </w:rPr>
        <w:t xml:space="preserve">-Alimentação Civis, cujos empenhos no período somaram R$ </w:t>
      </w:r>
      <w:r w:rsidR="00EC4EC5">
        <w:rPr>
          <w:rFonts w:ascii="Arial" w:eastAsia="Arial Unicode MS" w:hAnsi="Arial" w:cs="Arial"/>
          <w:sz w:val="20"/>
          <w:szCs w:val="20"/>
        </w:rPr>
        <w:t>11,</w:t>
      </w:r>
      <w:r w:rsidR="000F2A93">
        <w:rPr>
          <w:rFonts w:ascii="Arial" w:eastAsia="Arial Unicode MS" w:hAnsi="Arial" w:cs="Arial"/>
          <w:sz w:val="20"/>
          <w:szCs w:val="20"/>
        </w:rPr>
        <w:t>72</w:t>
      </w:r>
      <w:r w:rsidR="00D81423">
        <w:rPr>
          <w:rFonts w:ascii="Arial" w:eastAsia="Arial Unicode MS" w:hAnsi="Arial" w:cs="Arial"/>
          <w:sz w:val="20"/>
          <w:szCs w:val="20"/>
        </w:rPr>
        <w:t xml:space="preserve"> milhões,</w:t>
      </w:r>
      <w:r w:rsidRPr="006631B3">
        <w:rPr>
          <w:rFonts w:ascii="Arial" w:eastAsia="Arial Unicode MS" w:hAnsi="Arial" w:cs="Arial"/>
          <w:sz w:val="20"/>
          <w:szCs w:val="20"/>
        </w:rPr>
        <w:t xml:space="preserve"> </w:t>
      </w:r>
      <w:r w:rsidR="00DD6091">
        <w:rPr>
          <w:rFonts w:ascii="Arial" w:eastAsia="Arial Unicode MS" w:hAnsi="Arial" w:cs="Arial"/>
          <w:sz w:val="20"/>
          <w:szCs w:val="20"/>
        </w:rPr>
        <w:t xml:space="preserve"> </w:t>
      </w:r>
      <w:r w:rsidR="00AB0C8C">
        <w:rPr>
          <w:rFonts w:ascii="Arial" w:eastAsia="Arial Unicode MS" w:hAnsi="Arial" w:cs="Arial"/>
          <w:sz w:val="20"/>
          <w:szCs w:val="20"/>
        </w:rPr>
        <w:t xml:space="preserve">Bolsas de Estudo no País R$ </w:t>
      </w:r>
      <w:r w:rsidR="00AB0C8C">
        <w:rPr>
          <w:rFonts w:ascii="Arial" w:eastAsia="Arial Unicode MS" w:hAnsi="Arial" w:cs="Arial"/>
          <w:sz w:val="20"/>
          <w:szCs w:val="20"/>
        </w:rPr>
        <w:t>5,20</w:t>
      </w:r>
      <w:r w:rsidR="00AB0C8C">
        <w:rPr>
          <w:rFonts w:ascii="Arial" w:eastAsia="Arial Unicode MS" w:hAnsi="Arial" w:cs="Arial"/>
          <w:sz w:val="20"/>
          <w:szCs w:val="20"/>
        </w:rPr>
        <w:t xml:space="preserve"> milhões</w:t>
      </w:r>
      <w:r w:rsidR="00AB0C8C">
        <w:rPr>
          <w:rFonts w:ascii="Arial" w:eastAsia="Arial Unicode MS" w:hAnsi="Arial" w:cs="Arial"/>
          <w:sz w:val="20"/>
          <w:szCs w:val="20"/>
        </w:rPr>
        <w:t xml:space="preserve">, </w:t>
      </w:r>
      <w:r w:rsidR="00E23E9C">
        <w:rPr>
          <w:rFonts w:ascii="Arial" w:eastAsia="Arial Unicode MS" w:hAnsi="Arial" w:cs="Arial"/>
          <w:sz w:val="20"/>
          <w:szCs w:val="20"/>
        </w:rPr>
        <w:t xml:space="preserve">Ressarcimento de Assistência Médica Odontológica R$ </w:t>
      </w:r>
      <w:r w:rsidR="00EC4EC5">
        <w:rPr>
          <w:rFonts w:ascii="Arial" w:eastAsia="Arial Unicode MS" w:hAnsi="Arial" w:cs="Arial"/>
          <w:sz w:val="20"/>
          <w:szCs w:val="20"/>
        </w:rPr>
        <w:t>4,</w:t>
      </w:r>
      <w:r w:rsidR="00AB0C8C">
        <w:rPr>
          <w:rFonts w:ascii="Arial" w:eastAsia="Arial Unicode MS" w:hAnsi="Arial" w:cs="Arial"/>
          <w:sz w:val="20"/>
          <w:szCs w:val="20"/>
        </w:rPr>
        <w:t>42</w:t>
      </w:r>
      <w:r w:rsidR="00E23E9C">
        <w:rPr>
          <w:rFonts w:ascii="Arial" w:eastAsia="Arial Unicode MS" w:hAnsi="Arial" w:cs="Arial"/>
          <w:sz w:val="20"/>
          <w:szCs w:val="20"/>
        </w:rPr>
        <w:t xml:space="preserve"> milhões</w:t>
      </w:r>
      <w:r w:rsidR="00AB0C8C">
        <w:rPr>
          <w:rFonts w:ascii="Arial" w:eastAsia="Arial Unicode MS" w:hAnsi="Arial" w:cs="Arial"/>
          <w:sz w:val="20"/>
          <w:szCs w:val="20"/>
        </w:rPr>
        <w:t xml:space="preserve"> e Serviços de Vigilância Ostensiva Monitorada</w:t>
      </w:r>
      <w:r w:rsidR="000F2A93">
        <w:rPr>
          <w:rFonts w:ascii="Arial" w:eastAsia="Arial Unicode MS" w:hAnsi="Arial" w:cs="Arial"/>
          <w:sz w:val="20"/>
          <w:szCs w:val="20"/>
        </w:rPr>
        <w:t xml:space="preserve">, </w:t>
      </w:r>
      <w:r w:rsidRPr="006631B3">
        <w:rPr>
          <w:rFonts w:ascii="Arial" w:eastAsia="Arial Unicode MS" w:hAnsi="Arial" w:cs="Arial"/>
          <w:sz w:val="20"/>
          <w:szCs w:val="20"/>
        </w:rPr>
        <w:t xml:space="preserve">que somam </w:t>
      </w:r>
      <w:r w:rsidR="00AB0C8C">
        <w:rPr>
          <w:rFonts w:ascii="Arial" w:eastAsia="Arial Unicode MS" w:hAnsi="Arial" w:cs="Arial"/>
          <w:sz w:val="20"/>
          <w:szCs w:val="20"/>
        </w:rPr>
        <w:t>54</w:t>
      </w:r>
      <w:r w:rsidRPr="006631B3">
        <w:rPr>
          <w:rFonts w:ascii="Arial" w:eastAsia="Arial Unicode MS" w:hAnsi="Arial" w:cs="Arial"/>
          <w:sz w:val="20"/>
          <w:szCs w:val="20"/>
        </w:rPr>
        <w:t xml:space="preserve">% do total empenhado e que correspondem às maiores despesas do período em valores absolutos. </w:t>
      </w:r>
    </w:p>
    <w:p w14:paraId="68D1415C" w14:textId="6016E0DC" w:rsidR="00546FBD"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lastRenderedPageBreak/>
        <w:t>Por outro lado, podemos destacar também algumas despesas que tiveram a maior variação percentual no período, como por exemplo,</w:t>
      </w:r>
      <w:r w:rsidR="00D7747B">
        <w:rPr>
          <w:rFonts w:ascii="Arial" w:eastAsia="Arial Unicode MS" w:hAnsi="Arial" w:cs="Arial"/>
          <w:sz w:val="20"/>
          <w:szCs w:val="20"/>
        </w:rPr>
        <w:t xml:space="preserve"> </w:t>
      </w:r>
      <w:r w:rsidR="000F2A93">
        <w:rPr>
          <w:rFonts w:ascii="Arial" w:eastAsia="Arial Unicode MS" w:hAnsi="Arial" w:cs="Arial"/>
          <w:sz w:val="20"/>
          <w:szCs w:val="20"/>
        </w:rPr>
        <w:t xml:space="preserve">Auxílio Creche – </w:t>
      </w:r>
      <w:proofErr w:type="gramStart"/>
      <w:r w:rsidR="000F2A93">
        <w:rPr>
          <w:rFonts w:ascii="Arial" w:eastAsia="Arial Unicode MS" w:hAnsi="Arial" w:cs="Arial"/>
          <w:sz w:val="20"/>
          <w:szCs w:val="20"/>
        </w:rPr>
        <w:t xml:space="preserve">Civil, </w:t>
      </w:r>
      <w:r w:rsidR="00E23E9C">
        <w:rPr>
          <w:rFonts w:ascii="Arial" w:eastAsia="Arial Unicode MS" w:hAnsi="Arial" w:cs="Arial"/>
          <w:sz w:val="20"/>
          <w:szCs w:val="20"/>
        </w:rPr>
        <w:t xml:space="preserve"> no</w:t>
      </w:r>
      <w:proofErr w:type="gramEnd"/>
      <w:r w:rsidR="00E23E9C">
        <w:rPr>
          <w:rFonts w:ascii="Arial" w:eastAsia="Arial Unicode MS" w:hAnsi="Arial" w:cs="Arial"/>
          <w:sz w:val="20"/>
          <w:szCs w:val="20"/>
        </w:rPr>
        <w:t xml:space="preserve"> montante de R$ </w:t>
      </w:r>
      <w:r w:rsidR="000F2A93">
        <w:rPr>
          <w:rFonts w:ascii="Arial" w:eastAsia="Arial Unicode MS" w:hAnsi="Arial" w:cs="Arial"/>
          <w:sz w:val="20"/>
          <w:szCs w:val="20"/>
        </w:rPr>
        <w:t>1,97milhões</w:t>
      </w:r>
      <w:r w:rsidR="00E23E9C">
        <w:rPr>
          <w:rFonts w:ascii="Arial" w:eastAsia="Arial Unicode MS" w:hAnsi="Arial" w:cs="Arial"/>
          <w:sz w:val="20"/>
          <w:szCs w:val="20"/>
        </w:rPr>
        <w:t xml:space="preserve">, variação percentual de </w:t>
      </w:r>
      <w:r w:rsidR="000F2A93">
        <w:rPr>
          <w:rFonts w:ascii="Arial" w:eastAsia="Arial Unicode MS" w:hAnsi="Arial" w:cs="Arial"/>
          <w:sz w:val="20"/>
          <w:szCs w:val="20"/>
        </w:rPr>
        <w:t>87</w:t>
      </w:r>
      <w:r w:rsidR="00E23E9C">
        <w:rPr>
          <w:rFonts w:ascii="Arial" w:eastAsia="Arial Unicode MS" w:hAnsi="Arial" w:cs="Arial"/>
          <w:sz w:val="20"/>
          <w:szCs w:val="20"/>
        </w:rPr>
        <w:t>%, pel</w:t>
      </w:r>
      <w:r w:rsidR="00B43A53">
        <w:rPr>
          <w:rFonts w:ascii="Arial" w:eastAsia="Arial Unicode MS" w:hAnsi="Arial" w:cs="Arial"/>
          <w:sz w:val="20"/>
          <w:szCs w:val="20"/>
        </w:rPr>
        <w:t xml:space="preserve">a </w:t>
      </w:r>
      <w:r w:rsidR="000F2A93">
        <w:rPr>
          <w:rFonts w:ascii="Arial" w:eastAsia="Arial Unicode MS" w:hAnsi="Arial" w:cs="Arial"/>
          <w:sz w:val="20"/>
          <w:szCs w:val="20"/>
        </w:rPr>
        <w:t xml:space="preserve">concessão do auxílio aos servidores IFRS e </w:t>
      </w:r>
      <w:r w:rsidR="00AB0C8C">
        <w:rPr>
          <w:rFonts w:ascii="Arial" w:eastAsia="Arial Unicode MS" w:hAnsi="Arial" w:cs="Arial"/>
          <w:sz w:val="20"/>
          <w:szCs w:val="20"/>
        </w:rPr>
        <w:t>manutenção e conservação de bens imóveis</w:t>
      </w:r>
      <w:r w:rsidR="000F2A93">
        <w:rPr>
          <w:rFonts w:ascii="Arial" w:eastAsia="Arial Unicode MS" w:hAnsi="Arial" w:cs="Arial"/>
          <w:sz w:val="20"/>
          <w:szCs w:val="20"/>
        </w:rPr>
        <w:t xml:space="preserve">, no montante de R$ </w:t>
      </w:r>
      <w:r w:rsidR="00AB0C8C">
        <w:rPr>
          <w:rFonts w:ascii="Arial" w:eastAsia="Arial Unicode MS" w:hAnsi="Arial" w:cs="Arial"/>
          <w:sz w:val="20"/>
          <w:szCs w:val="20"/>
        </w:rPr>
        <w:t>1,31</w:t>
      </w:r>
      <w:r w:rsidR="000F2A93">
        <w:rPr>
          <w:rFonts w:ascii="Arial" w:eastAsia="Arial Unicode MS" w:hAnsi="Arial" w:cs="Arial"/>
          <w:sz w:val="20"/>
          <w:szCs w:val="20"/>
        </w:rPr>
        <w:t xml:space="preserve"> mil</w:t>
      </w:r>
      <w:r w:rsidR="00AB0C8C">
        <w:rPr>
          <w:rFonts w:ascii="Arial" w:eastAsia="Arial Unicode MS" w:hAnsi="Arial" w:cs="Arial"/>
          <w:sz w:val="20"/>
          <w:szCs w:val="20"/>
        </w:rPr>
        <w:t>hões</w:t>
      </w:r>
      <w:r w:rsidR="000F2A93">
        <w:rPr>
          <w:rFonts w:ascii="Arial" w:eastAsia="Arial Unicode MS" w:hAnsi="Arial" w:cs="Arial"/>
          <w:sz w:val="20"/>
          <w:szCs w:val="20"/>
        </w:rPr>
        <w:t xml:space="preserve">, variação percentual de </w:t>
      </w:r>
      <w:r w:rsidR="00AB0C8C">
        <w:rPr>
          <w:rFonts w:ascii="Arial" w:eastAsia="Arial Unicode MS" w:hAnsi="Arial" w:cs="Arial"/>
          <w:sz w:val="20"/>
          <w:szCs w:val="20"/>
        </w:rPr>
        <w:t>67</w:t>
      </w:r>
      <w:r w:rsidR="000F2A93">
        <w:rPr>
          <w:rFonts w:ascii="Arial" w:eastAsia="Arial Unicode MS" w:hAnsi="Arial" w:cs="Arial"/>
          <w:sz w:val="20"/>
          <w:szCs w:val="20"/>
        </w:rPr>
        <w:t>%.</w:t>
      </w:r>
    </w:p>
    <w:p w14:paraId="4363DC3D" w14:textId="28386179" w:rsidR="00FA50D8" w:rsidRDefault="00AE4817" w:rsidP="00FA50D8">
      <w:pPr>
        <w:spacing w:after="40"/>
        <w:rPr>
          <w:rFonts w:ascii="Arial" w:eastAsia="Arial Unicode MS" w:hAnsi="Arial" w:cs="Arial"/>
          <w:sz w:val="20"/>
          <w:szCs w:val="20"/>
        </w:rPr>
      </w:pPr>
      <w:r>
        <w:rPr>
          <w:rFonts w:ascii="Arial" w:eastAsia="Arial Unicode MS" w:hAnsi="Arial" w:cs="Arial"/>
          <w:sz w:val="20"/>
          <w:szCs w:val="20"/>
        </w:rPr>
        <w:t>Observa-se o decréscimo de gastos em diversas rubricas de despesa</w:t>
      </w:r>
      <w:r w:rsidR="00541414">
        <w:rPr>
          <w:rFonts w:ascii="Arial" w:eastAsia="Arial Unicode MS" w:hAnsi="Arial" w:cs="Arial"/>
          <w:sz w:val="20"/>
          <w:szCs w:val="20"/>
        </w:rPr>
        <w:t xml:space="preserve">s como as de </w:t>
      </w:r>
      <w:r w:rsidR="00664699">
        <w:rPr>
          <w:rFonts w:ascii="Arial" w:eastAsia="Arial Unicode MS" w:hAnsi="Arial" w:cs="Arial"/>
          <w:sz w:val="20"/>
          <w:szCs w:val="20"/>
        </w:rPr>
        <w:t xml:space="preserve">auxílio </w:t>
      </w:r>
      <w:proofErr w:type="gramStart"/>
      <w:r w:rsidR="00664699">
        <w:rPr>
          <w:rFonts w:ascii="Arial" w:eastAsia="Arial Unicode MS" w:hAnsi="Arial" w:cs="Arial"/>
          <w:sz w:val="20"/>
          <w:szCs w:val="20"/>
        </w:rPr>
        <w:t xml:space="preserve">transporte </w:t>
      </w:r>
      <w:r w:rsidR="00ED5049">
        <w:rPr>
          <w:rFonts w:ascii="Arial" w:eastAsia="Arial Unicode MS" w:hAnsi="Arial" w:cs="Arial"/>
          <w:sz w:val="20"/>
          <w:szCs w:val="20"/>
        </w:rPr>
        <w:t xml:space="preserve"> com</w:t>
      </w:r>
      <w:proofErr w:type="gramEnd"/>
      <w:r w:rsidR="00ED5049">
        <w:rPr>
          <w:rFonts w:ascii="Arial" w:eastAsia="Arial Unicode MS" w:hAnsi="Arial" w:cs="Arial"/>
          <w:sz w:val="20"/>
          <w:szCs w:val="20"/>
        </w:rPr>
        <w:t xml:space="preserve"> variação percentual de -</w:t>
      </w:r>
      <w:r w:rsidR="00664699">
        <w:rPr>
          <w:rFonts w:ascii="Arial" w:eastAsia="Arial Unicode MS" w:hAnsi="Arial" w:cs="Arial"/>
          <w:sz w:val="20"/>
          <w:szCs w:val="20"/>
        </w:rPr>
        <w:t>43</w:t>
      </w:r>
      <w:r w:rsidR="00ED5049">
        <w:rPr>
          <w:rFonts w:ascii="Arial" w:eastAsia="Arial Unicode MS" w:hAnsi="Arial" w:cs="Arial"/>
          <w:sz w:val="20"/>
          <w:szCs w:val="20"/>
        </w:rPr>
        <w:t>%, limpeza e conservação, com variação percentual de -</w:t>
      </w:r>
      <w:r w:rsidR="00664699">
        <w:rPr>
          <w:rFonts w:ascii="Arial" w:eastAsia="Arial Unicode MS" w:hAnsi="Arial" w:cs="Arial"/>
          <w:sz w:val="20"/>
          <w:szCs w:val="20"/>
        </w:rPr>
        <w:t>20</w:t>
      </w:r>
      <w:r w:rsidR="00ED5049">
        <w:rPr>
          <w:rFonts w:ascii="Arial" w:eastAsia="Arial Unicode MS" w:hAnsi="Arial" w:cs="Arial"/>
          <w:sz w:val="20"/>
          <w:szCs w:val="20"/>
        </w:rPr>
        <w:t>%, serviços de energia elétrica, com variação percentual de -</w:t>
      </w:r>
      <w:r w:rsidR="00664699">
        <w:rPr>
          <w:rFonts w:ascii="Arial" w:eastAsia="Arial Unicode MS" w:hAnsi="Arial" w:cs="Arial"/>
          <w:sz w:val="20"/>
          <w:szCs w:val="20"/>
        </w:rPr>
        <w:t>13</w:t>
      </w:r>
      <w:r w:rsidR="00ED5049">
        <w:rPr>
          <w:rFonts w:ascii="Arial" w:eastAsia="Arial Unicode MS" w:hAnsi="Arial" w:cs="Arial"/>
          <w:sz w:val="20"/>
          <w:szCs w:val="20"/>
        </w:rPr>
        <w:t>% e serviços de água e esgoto, com variação percentual de -</w:t>
      </w:r>
      <w:r w:rsidR="00664699">
        <w:rPr>
          <w:rFonts w:ascii="Arial" w:eastAsia="Arial Unicode MS" w:hAnsi="Arial" w:cs="Arial"/>
          <w:sz w:val="20"/>
          <w:szCs w:val="20"/>
        </w:rPr>
        <w:t>29</w:t>
      </w:r>
      <w:r w:rsidR="00ED5049">
        <w:rPr>
          <w:rFonts w:ascii="Arial" w:eastAsia="Arial Unicode MS" w:hAnsi="Arial" w:cs="Arial"/>
          <w:sz w:val="20"/>
          <w:szCs w:val="20"/>
        </w:rPr>
        <w:t xml:space="preserve">%. </w:t>
      </w:r>
      <w:r>
        <w:rPr>
          <w:rFonts w:ascii="Arial" w:eastAsia="Arial Unicode MS" w:hAnsi="Arial" w:cs="Arial"/>
          <w:sz w:val="20"/>
          <w:szCs w:val="20"/>
        </w:rPr>
        <w:t>provocadas em parte pela política de liberação de recursos de limites orçamentários e também em decorrência das medidas adotadas pelo IFRS para combate à pandemia COVID-19, com destaque para a suspensão das aulas e também pela implantação do trabalho remoto.</w:t>
      </w:r>
    </w:p>
    <w:p w14:paraId="16002CB3" w14:textId="27E0FD10" w:rsidR="002F3407" w:rsidRDefault="002F3407" w:rsidP="00FA50D8">
      <w:pPr>
        <w:spacing w:after="40"/>
        <w:rPr>
          <w:rFonts w:ascii="Arial" w:eastAsia="Arial Unicode MS" w:hAnsi="Arial" w:cs="Arial"/>
          <w:sz w:val="20"/>
          <w:szCs w:val="20"/>
        </w:rPr>
      </w:pPr>
      <w:r w:rsidRPr="002F3407">
        <w:rPr>
          <w:rFonts w:ascii="Arial" w:eastAsia="Arial Unicode MS" w:hAnsi="Arial" w:cs="Arial"/>
          <w:noProof/>
          <w:sz w:val="20"/>
          <w:szCs w:val="20"/>
        </w:rPr>
        <w:drawing>
          <wp:inline distT="0" distB="0" distL="0" distR="0" wp14:anchorId="7C0D1ED6" wp14:editId="415678B4">
            <wp:extent cx="6479540" cy="7094855"/>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9540" cy="7094855"/>
                    </a:xfrm>
                    <a:prstGeom prst="rect">
                      <a:avLst/>
                    </a:prstGeom>
                    <a:noFill/>
                    <a:ln>
                      <a:noFill/>
                    </a:ln>
                  </pic:spPr>
                </pic:pic>
              </a:graphicData>
            </a:graphic>
          </wp:inline>
        </w:drawing>
      </w:r>
    </w:p>
    <w:p w14:paraId="723329A8" w14:textId="62342BC4" w:rsidR="00FB6F8F" w:rsidRDefault="00FB6F8F" w:rsidP="00FA50D8">
      <w:pPr>
        <w:spacing w:after="40"/>
        <w:rPr>
          <w:rFonts w:ascii="Arial" w:eastAsia="Arial Unicode MS" w:hAnsi="Arial" w:cs="Arial"/>
          <w:sz w:val="20"/>
          <w:szCs w:val="20"/>
        </w:rPr>
      </w:pPr>
    </w:p>
    <w:p w14:paraId="47592AC5" w14:textId="5BB80A0D" w:rsidR="00000539" w:rsidRDefault="00D42983" w:rsidP="00FA50D8">
      <w:pPr>
        <w:spacing w:after="40"/>
        <w:rPr>
          <w:rFonts w:ascii="Arial" w:eastAsia="Arial Unicode MS" w:hAnsi="Arial" w:cs="Arial"/>
          <w:color w:val="000000" w:themeColor="text1"/>
          <w:sz w:val="20"/>
          <w:szCs w:val="20"/>
        </w:rPr>
      </w:pPr>
      <w:r w:rsidRPr="00EC0A78">
        <w:rPr>
          <w:rFonts w:ascii="Arial" w:eastAsia="Arial Unicode MS" w:hAnsi="Arial" w:cs="Arial"/>
          <w:color w:val="000000" w:themeColor="text1"/>
          <w:sz w:val="20"/>
          <w:szCs w:val="20"/>
        </w:rPr>
        <w:t>E</w:t>
      </w:r>
      <w:r w:rsidR="00FA50D8" w:rsidRPr="00EC0A78">
        <w:rPr>
          <w:rFonts w:ascii="Arial" w:eastAsia="Arial Unicode MS" w:hAnsi="Arial" w:cs="Arial"/>
          <w:color w:val="000000" w:themeColor="text1"/>
          <w:sz w:val="20"/>
          <w:szCs w:val="20"/>
        </w:rPr>
        <w:t xml:space="preserve">m relação </w:t>
      </w:r>
      <w:r w:rsidRPr="00EC0A78">
        <w:rPr>
          <w:rFonts w:ascii="Arial" w:eastAsia="Arial Unicode MS" w:hAnsi="Arial" w:cs="Arial"/>
          <w:color w:val="000000" w:themeColor="text1"/>
          <w:sz w:val="20"/>
          <w:szCs w:val="20"/>
        </w:rPr>
        <w:t xml:space="preserve">aos </w:t>
      </w:r>
      <w:r w:rsidR="008D0F60" w:rsidRPr="00EC0A78">
        <w:rPr>
          <w:rFonts w:ascii="Arial" w:eastAsia="Arial Unicode MS" w:hAnsi="Arial" w:cs="Arial"/>
          <w:color w:val="000000" w:themeColor="text1"/>
          <w:sz w:val="20"/>
          <w:szCs w:val="20"/>
        </w:rPr>
        <w:t xml:space="preserve">recursos orçamentários </w:t>
      </w:r>
      <w:r w:rsidR="00AB5CC5">
        <w:rPr>
          <w:rFonts w:ascii="Arial" w:eastAsia="Arial Unicode MS" w:hAnsi="Arial" w:cs="Arial"/>
          <w:color w:val="000000" w:themeColor="text1"/>
          <w:sz w:val="20"/>
          <w:szCs w:val="20"/>
        </w:rPr>
        <w:t xml:space="preserve">destinados </w:t>
      </w:r>
      <w:r w:rsidR="005B5C3E">
        <w:rPr>
          <w:rFonts w:ascii="Arial" w:eastAsia="Arial Unicode MS" w:hAnsi="Arial" w:cs="Arial"/>
          <w:color w:val="000000" w:themeColor="text1"/>
          <w:sz w:val="20"/>
          <w:szCs w:val="20"/>
        </w:rPr>
        <w:t>à</w:t>
      </w:r>
      <w:r w:rsidR="00FA50D8" w:rsidRPr="00EC0A78">
        <w:rPr>
          <w:rFonts w:ascii="Arial" w:eastAsia="Arial Unicode MS" w:hAnsi="Arial" w:cs="Arial"/>
          <w:color w:val="000000" w:themeColor="text1"/>
          <w:sz w:val="20"/>
          <w:szCs w:val="20"/>
        </w:rPr>
        <w:t xml:space="preserve"> Investimentos</w:t>
      </w:r>
      <w:r w:rsidR="008D0F60" w:rsidRPr="00EC0A78">
        <w:rPr>
          <w:rFonts w:ascii="Arial" w:eastAsia="Arial Unicode MS" w:hAnsi="Arial" w:cs="Arial"/>
          <w:color w:val="000000" w:themeColor="text1"/>
          <w:sz w:val="20"/>
          <w:szCs w:val="20"/>
        </w:rPr>
        <w:t xml:space="preserve"> </w:t>
      </w:r>
      <w:r w:rsidR="002F3407">
        <w:rPr>
          <w:rFonts w:ascii="Arial" w:eastAsia="Arial Unicode MS" w:hAnsi="Arial" w:cs="Arial"/>
          <w:color w:val="000000" w:themeColor="text1"/>
          <w:sz w:val="20"/>
          <w:szCs w:val="20"/>
        </w:rPr>
        <w:t xml:space="preserve">houve o encaminhamento de solicitações de alterações orçamentárias de despesas correntes para investimentos., sendo R$ 1,40 milhões da fonte do tesouro e R$ 190 mil da fonte de recursos próprios, totalizando R$ 1,59 milhões. O orçamento de investimentos foi </w:t>
      </w:r>
      <w:r w:rsidR="002F3407">
        <w:rPr>
          <w:rFonts w:ascii="Arial" w:eastAsia="Arial Unicode MS" w:hAnsi="Arial" w:cs="Arial"/>
          <w:color w:val="000000" w:themeColor="text1"/>
          <w:sz w:val="20"/>
          <w:szCs w:val="20"/>
        </w:rPr>
        <w:lastRenderedPageBreak/>
        <w:t xml:space="preserve">disponibilizado aos Campus </w:t>
      </w:r>
      <w:r w:rsidR="00511A1D">
        <w:rPr>
          <w:rFonts w:ascii="Arial" w:eastAsia="Arial Unicode MS" w:hAnsi="Arial" w:cs="Arial"/>
          <w:color w:val="000000" w:themeColor="text1"/>
          <w:sz w:val="20"/>
          <w:szCs w:val="20"/>
        </w:rPr>
        <w:t xml:space="preserve">ao final do segundo trimestre, não havendo tempo hábil para sua aplicação, o que justifica a execução de pequeno valor no trimestre, como segue no demonstrativo abaixo. </w:t>
      </w:r>
    </w:p>
    <w:p w14:paraId="3E667E26" w14:textId="51863BB9" w:rsidR="00511A1D" w:rsidRDefault="00A06FD2" w:rsidP="00FA50D8">
      <w:pPr>
        <w:spacing w:after="40"/>
        <w:rPr>
          <w:rFonts w:ascii="Arial" w:eastAsia="Arial Unicode MS" w:hAnsi="Arial" w:cs="Arial"/>
          <w:color w:val="000000" w:themeColor="text1"/>
          <w:sz w:val="20"/>
          <w:szCs w:val="20"/>
        </w:rPr>
      </w:pPr>
      <w:r w:rsidRPr="00A06FD2">
        <w:rPr>
          <w:rFonts w:ascii="Arial" w:eastAsia="Arial Unicode MS" w:hAnsi="Arial" w:cs="Arial"/>
          <w:noProof/>
          <w:color w:val="000000" w:themeColor="text1"/>
          <w:sz w:val="20"/>
          <w:szCs w:val="20"/>
        </w:rPr>
        <w:drawing>
          <wp:inline distT="0" distB="0" distL="0" distR="0" wp14:anchorId="69E15219" wp14:editId="606F1B7E">
            <wp:extent cx="6479540" cy="2779395"/>
            <wp:effectExtent l="0" t="0" r="0" b="1905"/>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79540" cy="2779395"/>
                    </a:xfrm>
                    <a:prstGeom prst="rect">
                      <a:avLst/>
                    </a:prstGeom>
                    <a:noFill/>
                    <a:ln>
                      <a:noFill/>
                    </a:ln>
                  </pic:spPr>
                </pic:pic>
              </a:graphicData>
            </a:graphic>
          </wp:inline>
        </w:drawing>
      </w:r>
    </w:p>
    <w:p w14:paraId="6610852D" w14:textId="77777777" w:rsidR="00EC0A78" w:rsidRPr="00EC0A78" w:rsidRDefault="00EC0A78" w:rsidP="00FA50D8">
      <w:pPr>
        <w:spacing w:after="40"/>
        <w:rPr>
          <w:rFonts w:ascii="Arial" w:eastAsia="Arial Unicode MS" w:hAnsi="Arial" w:cs="Arial"/>
          <w:color w:val="000000" w:themeColor="text1"/>
          <w:sz w:val="20"/>
          <w:szCs w:val="20"/>
        </w:rPr>
      </w:pPr>
    </w:p>
    <w:p w14:paraId="4529A039" w14:textId="0F9DDFF6"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623916BB" w14:textId="77777777" w:rsidR="00FA50D8" w:rsidRPr="006F5B28" w:rsidRDefault="00FA50D8" w:rsidP="00FA50D8">
      <w:pPr>
        <w:spacing w:after="40"/>
        <w:jc w:val="both"/>
        <w:rPr>
          <w:rFonts w:ascii="Arial" w:eastAsia="Arial Unicode MS" w:hAnsi="Arial" w:cs="Arial"/>
          <w:b/>
          <w:sz w:val="20"/>
          <w:szCs w:val="20"/>
        </w:rPr>
      </w:pPr>
      <w:r w:rsidRPr="006F5B28">
        <w:rPr>
          <w:rFonts w:ascii="Arial" w:eastAsia="Arial Unicode MS" w:hAnsi="Arial" w:cs="Arial"/>
          <w:b/>
          <w:sz w:val="20"/>
          <w:szCs w:val="20"/>
        </w:rPr>
        <w:t>Restos a Pagar</w:t>
      </w:r>
    </w:p>
    <w:p w14:paraId="4329EB09" w14:textId="6208AAD4"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Conforme evidenciado na tabela abaixo, a grande maioria dos Restos a Pagar Processados do Instituto Federal de Educação, Ciência e Tecnologia do RS são relativas a  Despesas  Correntes, com destaque para Pessoal e Encargos Sociais R$ </w:t>
      </w:r>
      <w:r w:rsidR="00793AA6">
        <w:rPr>
          <w:rFonts w:ascii="Arial" w:eastAsia="Arial Unicode MS" w:hAnsi="Arial" w:cs="Arial"/>
          <w:sz w:val="20"/>
          <w:szCs w:val="20"/>
        </w:rPr>
        <w:t>24,75</w:t>
      </w:r>
      <w:r>
        <w:rPr>
          <w:rFonts w:ascii="Arial" w:eastAsia="Arial Unicode MS" w:hAnsi="Arial" w:cs="Arial"/>
          <w:sz w:val="20"/>
          <w:szCs w:val="20"/>
        </w:rPr>
        <w:t xml:space="preserve"> milhões, que correspondem a </w:t>
      </w:r>
      <w:r w:rsidR="00753DE7">
        <w:rPr>
          <w:rFonts w:ascii="Arial" w:eastAsia="Arial Unicode MS" w:hAnsi="Arial" w:cs="Arial"/>
          <w:sz w:val="20"/>
          <w:szCs w:val="20"/>
        </w:rPr>
        <w:t xml:space="preserve">aproximadamente </w:t>
      </w:r>
      <w:r w:rsidR="00793AA6">
        <w:rPr>
          <w:rFonts w:ascii="Arial" w:eastAsia="Arial Unicode MS" w:hAnsi="Arial" w:cs="Arial"/>
          <w:sz w:val="20"/>
          <w:szCs w:val="20"/>
        </w:rPr>
        <w:t>90</w:t>
      </w:r>
      <w:r>
        <w:rPr>
          <w:rFonts w:ascii="Arial" w:eastAsia="Arial Unicode MS" w:hAnsi="Arial" w:cs="Arial"/>
          <w:sz w:val="20"/>
          <w:szCs w:val="20"/>
        </w:rPr>
        <w:t xml:space="preserve">% dos valores inscritos em restos processados em razão de que a folha de pagamento e encargos apesar de pagos no próprio exercício só são quitados efetivamente no exercício seguinte pelo  trâmite de processamento no SIAFI. Já as Outras Despesas Correntes </w:t>
      </w:r>
      <w:r w:rsidR="00C00905">
        <w:rPr>
          <w:rFonts w:ascii="Arial" w:eastAsia="Arial Unicode MS" w:hAnsi="Arial" w:cs="Arial"/>
          <w:sz w:val="20"/>
          <w:szCs w:val="20"/>
        </w:rPr>
        <w:t xml:space="preserve">no montante de </w:t>
      </w:r>
      <w:r>
        <w:rPr>
          <w:rFonts w:ascii="Arial" w:eastAsia="Arial Unicode MS" w:hAnsi="Arial" w:cs="Arial"/>
          <w:sz w:val="20"/>
          <w:szCs w:val="20"/>
        </w:rPr>
        <w:t xml:space="preserve">R$ </w:t>
      </w:r>
      <w:r w:rsidR="00793AA6">
        <w:rPr>
          <w:rFonts w:ascii="Arial" w:eastAsia="Arial Unicode MS" w:hAnsi="Arial" w:cs="Arial"/>
          <w:sz w:val="20"/>
          <w:szCs w:val="20"/>
        </w:rPr>
        <w:t>2,15</w:t>
      </w:r>
      <w:r>
        <w:rPr>
          <w:rFonts w:ascii="Arial" w:eastAsia="Arial Unicode MS" w:hAnsi="Arial" w:cs="Arial"/>
          <w:sz w:val="20"/>
          <w:szCs w:val="20"/>
        </w:rPr>
        <w:t xml:space="preserve"> milhões, representam </w:t>
      </w:r>
      <w:r w:rsidR="00753DE7">
        <w:rPr>
          <w:rFonts w:ascii="Arial" w:eastAsia="Arial Unicode MS" w:hAnsi="Arial" w:cs="Arial"/>
          <w:sz w:val="20"/>
          <w:szCs w:val="20"/>
        </w:rPr>
        <w:t xml:space="preserve">aproximadamente </w:t>
      </w:r>
      <w:r w:rsidR="00793AA6">
        <w:rPr>
          <w:rFonts w:ascii="Arial" w:eastAsia="Arial Unicode MS" w:hAnsi="Arial" w:cs="Arial"/>
          <w:sz w:val="20"/>
          <w:szCs w:val="20"/>
        </w:rPr>
        <w:t>7,86</w:t>
      </w:r>
      <w:r>
        <w:rPr>
          <w:rFonts w:ascii="Arial" w:eastAsia="Arial Unicode MS" w:hAnsi="Arial" w:cs="Arial"/>
          <w:sz w:val="20"/>
          <w:szCs w:val="20"/>
        </w:rPr>
        <w:t xml:space="preserve">% dos valores processados inscritos e referem-se especialmente a benefícios decorrentes da despesa com pessoal como auxílio alimentação, ressarcimentos do plano de saúde, auxílio transporte e de compromissos assumidos pela prestação de serviços de terceiros, (vigilância, limpeza, energia, comunicação, etc...).,  e os Investimentos R$ </w:t>
      </w:r>
      <w:r w:rsidR="00793AA6">
        <w:rPr>
          <w:rFonts w:ascii="Arial" w:eastAsia="Arial Unicode MS" w:hAnsi="Arial" w:cs="Arial"/>
          <w:sz w:val="20"/>
          <w:szCs w:val="20"/>
        </w:rPr>
        <w:t>368</w:t>
      </w:r>
      <w:r>
        <w:rPr>
          <w:rFonts w:ascii="Arial" w:eastAsia="Arial Unicode MS" w:hAnsi="Arial" w:cs="Arial"/>
          <w:sz w:val="20"/>
          <w:szCs w:val="20"/>
        </w:rPr>
        <w:t xml:space="preserve"> mil, que representam </w:t>
      </w:r>
      <w:r w:rsidR="00793AA6">
        <w:rPr>
          <w:rFonts w:ascii="Arial" w:eastAsia="Arial Unicode MS" w:hAnsi="Arial" w:cs="Arial"/>
          <w:sz w:val="20"/>
          <w:szCs w:val="20"/>
        </w:rPr>
        <w:t>1,35</w:t>
      </w:r>
      <w:r>
        <w:rPr>
          <w:rFonts w:ascii="Arial" w:eastAsia="Arial Unicode MS" w:hAnsi="Arial" w:cs="Arial"/>
          <w:sz w:val="20"/>
          <w:szCs w:val="20"/>
        </w:rPr>
        <w:t>% do montante e referem-se a obras e instalações e aquisição de equipamentos e materiais permanentes. Observe-se que no exercício de 20</w:t>
      </w:r>
      <w:r w:rsidR="006169D2">
        <w:rPr>
          <w:rFonts w:ascii="Arial" w:eastAsia="Arial Unicode MS" w:hAnsi="Arial" w:cs="Arial"/>
          <w:sz w:val="20"/>
          <w:szCs w:val="20"/>
        </w:rPr>
        <w:t>2</w:t>
      </w:r>
      <w:r w:rsidR="00793AA6">
        <w:rPr>
          <w:rFonts w:ascii="Arial" w:eastAsia="Arial Unicode MS" w:hAnsi="Arial" w:cs="Arial"/>
          <w:sz w:val="20"/>
          <w:szCs w:val="20"/>
        </w:rPr>
        <w:t>1</w:t>
      </w:r>
      <w:r>
        <w:rPr>
          <w:rFonts w:ascii="Arial" w:eastAsia="Arial Unicode MS" w:hAnsi="Arial" w:cs="Arial"/>
          <w:sz w:val="20"/>
          <w:szCs w:val="20"/>
        </w:rPr>
        <w:t xml:space="preserve"> o IFRS pagou o valor de R$ </w:t>
      </w:r>
      <w:r w:rsidR="00793AA6">
        <w:rPr>
          <w:rFonts w:ascii="Arial" w:eastAsia="Arial Unicode MS" w:hAnsi="Arial" w:cs="Arial"/>
          <w:sz w:val="20"/>
          <w:szCs w:val="20"/>
        </w:rPr>
        <w:t>27,</w:t>
      </w:r>
      <w:r w:rsidR="0036293D">
        <w:rPr>
          <w:rFonts w:ascii="Arial" w:eastAsia="Arial Unicode MS" w:hAnsi="Arial" w:cs="Arial"/>
          <w:sz w:val="20"/>
          <w:szCs w:val="20"/>
        </w:rPr>
        <w:t>25</w:t>
      </w:r>
      <w:r>
        <w:rPr>
          <w:rFonts w:ascii="Arial" w:eastAsia="Arial Unicode MS" w:hAnsi="Arial" w:cs="Arial"/>
          <w:sz w:val="20"/>
          <w:szCs w:val="20"/>
        </w:rPr>
        <w:t xml:space="preserve"> milhões de Restos a Pagar Processados, equivalentes a 99,</w:t>
      </w:r>
      <w:r w:rsidR="0036293D">
        <w:rPr>
          <w:rFonts w:ascii="Arial" w:eastAsia="Arial Unicode MS" w:hAnsi="Arial" w:cs="Arial"/>
          <w:sz w:val="20"/>
          <w:szCs w:val="20"/>
        </w:rPr>
        <w:t>89</w:t>
      </w:r>
      <w:r>
        <w:rPr>
          <w:rFonts w:ascii="Arial" w:eastAsia="Arial Unicode MS" w:hAnsi="Arial" w:cs="Arial"/>
          <w:sz w:val="20"/>
          <w:szCs w:val="20"/>
        </w:rPr>
        <w:t xml:space="preserve">% do montante processado inscrito, o que evidencia a busca permanente do IFRS em quitar os compromissos assumidos com seus fornecedores. </w:t>
      </w:r>
    </w:p>
    <w:p w14:paraId="3A2A8FB6" w14:textId="207C3614"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Quanto aos Restos a Pagar Não Processados, </w:t>
      </w:r>
      <w:r w:rsidR="006F4FC6">
        <w:rPr>
          <w:rFonts w:ascii="Arial" w:eastAsia="Arial Unicode MS" w:hAnsi="Arial" w:cs="Arial"/>
          <w:sz w:val="20"/>
          <w:szCs w:val="20"/>
        </w:rPr>
        <w:t>39,81</w:t>
      </w:r>
      <w:r>
        <w:rPr>
          <w:rFonts w:ascii="Arial" w:eastAsia="Arial Unicode MS" w:hAnsi="Arial" w:cs="Arial"/>
          <w:sz w:val="20"/>
          <w:szCs w:val="20"/>
        </w:rPr>
        <w:t>% referem-se Outras Despesas Correntes equivalentes a R$ 1</w:t>
      </w:r>
      <w:r w:rsidR="006169D2">
        <w:rPr>
          <w:rFonts w:ascii="Arial" w:eastAsia="Arial Unicode MS" w:hAnsi="Arial" w:cs="Arial"/>
          <w:sz w:val="20"/>
          <w:szCs w:val="20"/>
        </w:rPr>
        <w:t>2,4</w:t>
      </w:r>
      <w:r w:rsidR="006F4FC6">
        <w:rPr>
          <w:rFonts w:ascii="Arial" w:eastAsia="Arial Unicode MS" w:hAnsi="Arial" w:cs="Arial"/>
          <w:sz w:val="20"/>
          <w:szCs w:val="20"/>
        </w:rPr>
        <w:t xml:space="preserve">6 </w:t>
      </w:r>
      <w:r>
        <w:rPr>
          <w:rFonts w:ascii="Arial" w:eastAsia="Arial Unicode MS" w:hAnsi="Arial" w:cs="Arial"/>
          <w:sz w:val="20"/>
          <w:szCs w:val="20"/>
        </w:rPr>
        <w:t xml:space="preserve">milhões, composto principalmente pela aquisição de diversos materiais de consumo e também pela contratação de serviços de terceiros pessoa jurídica. </w:t>
      </w:r>
      <w:r w:rsidR="006F4FC6">
        <w:rPr>
          <w:rFonts w:ascii="Arial" w:eastAsia="Arial Unicode MS" w:hAnsi="Arial" w:cs="Arial"/>
          <w:sz w:val="20"/>
          <w:szCs w:val="20"/>
        </w:rPr>
        <w:t>39,92</w:t>
      </w:r>
      <w:r>
        <w:rPr>
          <w:rFonts w:ascii="Arial" w:eastAsia="Arial Unicode MS" w:hAnsi="Arial" w:cs="Arial"/>
          <w:sz w:val="20"/>
          <w:szCs w:val="20"/>
        </w:rPr>
        <w:t xml:space="preserve">% dos valores inscritos em não processados referem-se a Investimentos equivalentes a R$ </w:t>
      </w:r>
      <w:r w:rsidR="006F4FC6">
        <w:rPr>
          <w:rFonts w:ascii="Arial" w:eastAsia="Arial Unicode MS" w:hAnsi="Arial" w:cs="Arial"/>
          <w:sz w:val="20"/>
          <w:szCs w:val="20"/>
        </w:rPr>
        <w:t>12,49</w:t>
      </w:r>
      <w:r>
        <w:rPr>
          <w:rFonts w:ascii="Arial" w:eastAsia="Arial Unicode MS" w:hAnsi="Arial" w:cs="Arial"/>
          <w:sz w:val="20"/>
          <w:szCs w:val="20"/>
        </w:rPr>
        <w:t xml:space="preserve"> milhões, composto por obras e instalações e equipamentos e materiais permanentes e </w:t>
      </w:r>
      <w:r w:rsidR="006F4FC6">
        <w:rPr>
          <w:rFonts w:ascii="Arial" w:eastAsia="Arial Unicode MS" w:hAnsi="Arial" w:cs="Arial"/>
          <w:sz w:val="20"/>
          <w:szCs w:val="20"/>
        </w:rPr>
        <w:t>20,11</w:t>
      </w:r>
      <w:r>
        <w:rPr>
          <w:rFonts w:ascii="Arial" w:eastAsia="Arial Unicode MS" w:hAnsi="Arial" w:cs="Arial"/>
          <w:sz w:val="20"/>
          <w:szCs w:val="20"/>
        </w:rPr>
        <w:t xml:space="preserve">% refere-se a valores de Restos a Pagar </w:t>
      </w:r>
      <w:r w:rsidR="00545DDE">
        <w:rPr>
          <w:rFonts w:ascii="Arial" w:eastAsia="Arial Unicode MS" w:hAnsi="Arial" w:cs="Arial"/>
          <w:sz w:val="20"/>
          <w:szCs w:val="20"/>
        </w:rPr>
        <w:t xml:space="preserve">Não Processados </w:t>
      </w:r>
      <w:r>
        <w:rPr>
          <w:rFonts w:ascii="Arial" w:eastAsia="Arial Unicode MS" w:hAnsi="Arial" w:cs="Arial"/>
          <w:sz w:val="20"/>
          <w:szCs w:val="20"/>
        </w:rPr>
        <w:t xml:space="preserve">Reinscritos, que correspondem </w:t>
      </w:r>
      <w:proofErr w:type="gramStart"/>
      <w:r>
        <w:rPr>
          <w:rFonts w:ascii="Arial" w:eastAsia="Arial Unicode MS" w:hAnsi="Arial" w:cs="Arial"/>
          <w:sz w:val="20"/>
          <w:szCs w:val="20"/>
        </w:rPr>
        <w:t>a  R</w:t>
      </w:r>
      <w:proofErr w:type="gramEnd"/>
      <w:r>
        <w:rPr>
          <w:rFonts w:ascii="Arial" w:eastAsia="Arial Unicode MS" w:hAnsi="Arial" w:cs="Arial"/>
          <w:sz w:val="20"/>
          <w:szCs w:val="20"/>
        </w:rPr>
        <w:t xml:space="preserve">$ </w:t>
      </w:r>
      <w:r w:rsidR="00545DDE">
        <w:rPr>
          <w:rFonts w:ascii="Arial" w:eastAsia="Arial Unicode MS" w:hAnsi="Arial" w:cs="Arial"/>
          <w:sz w:val="20"/>
          <w:szCs w:val="20"/>
        </w:rPr>
        <w:t>1,40</w:t>
      </w:r>
      <w:r>
        <w:rPr>
          <w:rFonts w:ascii="Arial" w:eastAsia="Arial Unicode MS" w:hAnsi="Arial" w:cs="Arial"/>
          <w:sz w:val="20"/>
          <w:szCs w:val="20"/>
        </w:rPr>
        <w:t xml:space="preserve"> milhões. Ao longo do exercício de 20</w:t>
      </w:r>
      <w:r w:rsidR="00545DDE">
        <w:rPr>
          <w:rFonts w:ascii="Arial" w:eastAsia="Arial Unicode MS" w:hAnsi="Arial" w:cs="Arial"/>
          <w:sz w:val="20"/>
          <w:szCs w:val="20"/>
        </w:rPr>
        <w:t>2</w:t>
      </w:r>
      <w:r w:rsidR="006F4FC6">
        <w:rPr>
          <w:rFonts w:ascii="Arial" w:eastAsia="Arial Unicode MS" w:hAnsi="Arial" w:cs="Arial"/>
          <w:sz w:val="20"/>
          <w:szCs w:val="20"/>
        </w:rPr>
        <w:t>1</w:t>
      </w:r>
      <w:r>
        <w:rPr>
          <w:rFonts w:ascii="Arial" w:eastAsia="Arial Unicode MS" w:hAnsi="Arial" w:cs="Arial"/>
          <w:sz w:val="20"/>
          <w:szCs w:val="20"/>
        </w:rPr>
        <w:t xml:space="preserve"> o IFRS pagou o montante de R$ </w:t>
      </w:r>
      <w:r w:rsidR="0036293D">
        <w:rPr>
          <w:rFonts w:ascii="Arial" w:eastAsia="Arial Unicode MS" w:hAnsi="Arial" w:cs="Arial"/>
          <w:sz w:val="20"/>
          <w:szCs w:val="20"/>
        </w:rPr>
        <w:t>14,95</w:t>
      </w:r>
      <w:r>
        <w:rPr>
          <w:rFonts w:ascii="Arial" w:eastAsia="Arial Unicode MS" w:hAnsi="Arial" w:cs="Arial"/>
          <w:sz w:val="20"/>
          <w:szCs w:val="20"/>
        </w:rPr>
        <w:t xml:space="preserve"> milhões em Restos Não Processados, equivalentes a </w:t>
      </w:r>
      <w:r w:rsidR="0036293D">
        <w:rPr>
          <w:rFonts w:ascii="Arial" w:eastAsia="Arial Unicode MS" w:hAnsi="Arial" w:cs="Arial"/>
          <w:sz w:val="20"/>
          <w:szCs w:val="20"/>
        </w:rPr>
        <w:t>47,78</w:t>
      </w:r>
      <w:r>
        <w:rPr>
          <w:rFonts w:ascii="Arial" w:eastAsia="Arial Unicode MS" w:hAnsi="Arial" w:cs="Arial"/>
          <w:sz w:val="20"/>
          <w:szCs w:val="20"/>
        </w:rPr>
        <w:t xml:space="preserve">% dos compromissos assumidos, restando o montante de R$ </w:t>
      </w:r>
      <w:r w:rsidR="0036293D">
        <w:rPr>
          <w:rFonts w:ascii="Arial" w:eastAsia="Arial Unicode MS" w:hAnsi="Arial" w:cs="Arial"/>
          <w:sz w:val="20"/>
          <w:szCs w:val="20"/>
        </w:rPr>
        <w:t>13,28</w:t>
      </w:r>
      <w:r>
        <w:rPr>
          <w:rFonts w:ascii="Arial" w:eastAsia="Arial Unicode MS" w:hAnsi="Arial" w:cs="Arial"/>
          <w:sz w:val="20"/>
          <w:szCs w:val="20"/>
        </w:rPr>
        <w:t xml:space="preserve"> milhões para serem pagos, o que equivale a </w:t>
      </w:r>
      <w:r w:rsidR="0036293D">
        <w:rPr>
          <w:rFonts w:ascii="Arial" w:eastAsia="Arial Unicode MS" w:hAnsi="Arial" w:cs="Arial"/>
          <w:sz w:val="20"/>
          <w:szCs w:val="20"/>
        </w:rPr>
        <w:t>45,60</w:t>
      </w:r>
      <w:r>
        <w:rPr>
          <w:rFonts w:ascii="Arial" w:eastAsia="Arial Unicode MS" w:hAnsi="Arial" w:cs="Arial"/>
          <w:sz w:val="20"/>
          <w:szCs w:val="20"/>
        </w:rPr>
        <w:t>% do total inscrito</w:t>
      </w:r>
      <w:r w:rsidR="00992D93">
        <w:rPr>
          <w:rFonts w:ascii="Arial" w:eastAsia="Arial Unicode MS" w:hAnsi="Arial" w:cs="Arial"/>
          <w:sz w:val="20"/>
          <w:szCs w:val="20"/>
        </w:rPr>
        <w:t xml:space="preserve">, já descontando os valores cancelados no exercício e que correspondem a </w:t>
      </w:r>
      <w:r w:rsidR="0036293D">
        <w:rPr>
          <w:rFonts w:ascii="Arial" w:eastAsia="Arial Unicode MS" w:hAnsi="Arial" w:cs="Arial"/>
          <w:sz w:val="20"/>
          <w:szCs w:val="20"/>
        </w:rPr>
        <w:t>6,63</w:t>
      </w:r>
      <w:r w:rsidR="00992D93">
        <w:rPr>
          <w:rFonts w:ascii="Arial" w:eastAsia="Arial Unicode MS" w:hAnsi="Arial" w:cs="Arial"/>
          <w:sz w:val="20"/>
          <w:szCs w:val="20"/>
        </w:rPr>
        <w:t>%, equivalentes a R$</w:t>
      </w:r>
      <w:r w:rsidR="006F4FC6">
        <w:rPr>
          <w:rFonts w:ascii="Arial" w:eastAsia="Arial Unicode MS" w:hAnsi="Arial" w:cs="Arial"/>
          <w:sz w:val="20"/>
          <w:szCs w:val="20"/>
        </w:rPr>
        <w:t xml:space="preserve"> </w:t>
      </w:r>
      <w:r w:rsidR="0036293D">
        <w:rPr>
          <w:rFonts w:ascii="Arial" w:eastAsia="Arial Unicode MS" w:hAnsi="Arial" w:cs="Arial"/>
          <w:sz w:val="20"/>
          <w:szCs w:val="20"/>
        </w:rPr>
        <w:t>2,07 milhões</w:t>
      </w:r>
      <w:r w:rsidR="00183E94">
        <w:rPr>
          <w:rFonts w:ascii="Arial" w:eastAsia="Arial Unicode MS" w:hAnsi="Arial" w:cs="Arial"/>
          <w:sz w:val="20"/>
          <w:szCs w:val="20"/>
        </w:rPr>
        <w:t>.</w:t>
      </w:r>
    </w:p>
    <w:p w14:paraId="383FD39A" w14:textId="181DD226" w:rsidR="0036293D" w:rsidRDefault="0036293D" w:rsidP="00FA50D8">
      <w:pPr>
        <w:spacing w:after="40"/>
        <w:rPr>
          <w:rFonts w:ascii="Arial" w:eastAsia="Arial Unicode MS" w:hAnsi="Arial" w:cs="Arial"/>
          <w:sz w:val="20"/>
          <w:szCs w:val="20"/>
        </w:rPr>
      </w:pPr>
      <w:r w:rsidRPr="0036293D">
        <w:rPr>
          <w:rFonts w:ascii="Arial" w:eastAsia="Arial Unicode MS" w:hAnsi="Arial" w:cs="Arial"/>
          <w:noProof/>
          <w:sz w:val="20"/>
          <w:szCs w:val="20"/>
        </w:rPr>
        <w:drawing>
          <wp:inline distT="0" distB="0" distL="0" distR="0" wp14:anchorId="3361E9E3" wp14:editId="4A1D74F8">
            <wp:extent cx="6479540" cy="2355215"/>
            <wp:effectExtent l="0" t="0" r="0" b="0"/>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9540" cy="2355215"/>
                    </a:xfrm>
                    <a:prstGeom prst="rect">
                      <a:avLst/>
                    </a:prstGeom>
                    <a:noFill/>
                    <a:ln>
                      <a:noFill/>
                    </a:ln>
                  </pic:spPr>
                </pic:pic>
              </a:graphicData>
            </a:graphic>
          </wp:inline>
        </w:drawing>
      </w:r>
    </w:p>
    <w:p w14:paraId="5B43EFBF" w14:textId="7E2324F9"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lastRenderedPageBreak/>
        <w:t>Restos a Pagar Processados</w:t>
      </w:r>
    </w:p>
    <w:p w14:paraId="254E58E6" w14:textId="6A876249" w:rsidR="0036293D" w:rsidRDefault="0036293D" w:rsidP="00FA50D8">
      <w:pPr>
        <w:spacing w:after="40"/>
        <w:rPr>
          <w:rFonts w:ascii="Arial" w:eastAsia="Arial Unicode MS" w:hAnsi="Arial" w:cs="Arial"/>
          <w:b/>
          <w:sz w:val="20"/>
          <w:szCs w:val="20"/>
        </w:rPr>
      </w:pPr>
      <w:r w:rsidRPr="0036293D">
        <w:rPr>
          <w:rFonts w:ascii="Arial" w:eastAsia="Arial Unicode MS" w:hAnsi="Arial" w:cs="Arial"/>
          <w:b/>
          <w:noProof/>
          <w:sz w:val="20"/>
          <w:szCs w:val="20"/>
        </w:rPr>
        <w:drawing>
          <wp:inline distT="0" distB="0" distL="0" distR="0" wp14:anchorId="57690725" wp14:editId="73A70C14">
            <wp:extent cx="4581525" cy="2752725"/>
            <wp:effectExtent l="0" t="0" r="9525" b="9525"/>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08ACD6B8" w14:textId="41962408" w:rsidR="00183E94" w:rsidRDefault="00183E94" w:rsidP="00FA50D8">
      <w:pPr>
        <w:spacing w:after="40"/>
        <w:rPr>
          <w:rFonts w:ascii="Arial" w:eastAsia="Arial Unicode MS" w:hAnsi="Arial" w:cs="Arial"/>
          <w:b/>
          <w:sz w:val="20"/>
          <w:szCs w:val="20"/>
        </w:rPr>
      </w:pPr>
    </w:p>
    <w:p w14:paraId="7EFEAC1F" w14:textId="77777777" w:rsidR="00FA50D8" w:rsidRDefault="00FA50D8" w:rsidP="00FA50D8">
      <w:pPr>
        <w:spacing w:after="40"/>
        <w:jc w:val="center"/>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20BA61BE" w14:textId="66D270A5" w:rsidR="00EF15FF" w:rsidRDefault="00FA50D8" w:rsidP="007A19D5">
      <w:pPr>
        <w:spacing w:after="40"/>
        <w:rPr>
          <w:rFonts w:ascii="Arial" w:eastAsia="Arial Unicode MS" w:hAnsi="Arial" w:cs="Arial"/>
          <w:b/>
          <w:sz w:val="20"/>
          <w:szCs w:val="20"/>
        </w:rPr>
      </w:pPr>
      <w:r w:rsidRPr="000C545F">
        <w:rPr>
          <w:rFonts w:ascii="Arial" w:eastAsia="Arial Unicode MS" w:hAnsi="Arial" w:cs="Arial"/>
          <w:b/>
          <w:sz w:val="20"/>
          <w:szCs w:val="20"/>
        </w:rPr>
        <w:t>Restos a Pagar Não Processados</w:t>
      </w:r>
    </w:p>
    <w:p w14:paraId="323859E3" w14:textId="40F980AE" w:rsidR="0036293D" w:rsidRDefault="0036293D" w:rsidP="007A19D5">
      <w:pPr>
        <w:spacing w:after="40"/>
        <w:rPr>
          <w:rFonts w:ascii="Arial" w:eastAsia="Arial Unicode MS" w:hAnsi="Arial" w:cs="Arial"/>
          <w:b/>
          <w:sz w:val="20"/>
          <w:szCs w:val="20"/>
        </w:rPr>
      </w:pPr>
      <w:r w:rsidRPr="0036293D">
        <w:rPr>
          <w:rFonts w:ascii="Arial" w:eastAsia="Arial Unicode MS" w:hAnsi="Arial" w:cs="Arial"/>
          <w:b/>
          <w:noProof/>
          <w:sz w:val="20"/>
          <w:szCs w:val="20"/>
        </w:rPr>
        <w:drawing>
          <wp:inline distT="0" distB="0" distL="0" distR="0" wp14:anchorId="03E14AD6" wp14:editId="35B6CD94">
            <wp:extent cx="4581525" cy="2752725"/>
            <wp:effectExtent l="0" t="0" r="9525" b="9525"/>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3C08072" w14:textId="4624EB8B" w:rsidR="00EF15FF" w:rsidRDefault="00EF15FF" w:rsidP="007A19D5">
      <w:pPr>
        <w:spacing w:after="40"/>
        <w:rPr>
          <w:rFonts w:ascii="Arial" w:eastAsia="Arial Unicode MS" w:hAnsi="Arial" w:cs="Arial"/>
          <w:b/>
          <w:sz w:val="20"/>
          <w:szCs w:val="20"/>
        </w:rPr>
      </w:pPr>
    </w:p>
    <w:p w14:paraId="2F15D9F0" w14:textId="0D007471" w:rsidR="000C545F" w:rsidRDefault="000C545F" w:rsidP="007A19D5">
      <w:pPr>
        <w:spacing w:after="40"/>
        <w:rPr>
          <w:rFonts w:ascii="Arial" w:eastAsia="Arial Unicode MS" w:hAnsi="Arial" w:cs="Arial"/>
          <w:sz w:val="20"/>
          <w:szCs w:val="20"/>
        </w:rPr>
      </w:pPr>
    </w:p>
    <w:p w14:paraId="70354EA1" w14:textId="4C607DBE" w:rsidR="00D208DE" w:rsidRPr="0034064D" w:rsidRDefault="00D208DE" w:rsidP="00D208DE">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12</w:t>
      </w:r>
      <w:r w:rsidRPr="0034064D">
        <w:rPr>
          <w:rFonts w:ascii="Arial" w:eastAsia="Arial Unicode MS" w:hAnsi="Arial" w:cs="Arial"/>
          <w:b/>
          <w:color w:val="C45911" w:themeColor="accent2" w:themeShade="BF"/>
          <w:sz w:val="24"/>
          <w:szCs w:val="24"/>
        </w:rPr>
        <w:t xml:space="preserve"> – </w:t>
      </w:r>
      <w:r>
        <w:rPr>
          <w:rFonts w:ascii="Arial" w:eastAsia="Arial Unicode MS" w:hAnsi="Arial" w:cs="Arial"/>
          <w:b/>
          <w:color w:val="C45911" w:themeColor="accent2" w:themeShade="BF"/>
          <w:sz w:val="24"/>
          <w:szCs w:val="24"/>
        </w:rPr>
        <w:t>Despesas com Enfrentamento Calamidade Pública – COVID-19</w:t>
      </w:r>
    </w:p>
    <w:p w14:paraId="2636690C" w14:textId="4F42AD0C" w:rsidR="00DF0B61" w:rsidRDefault="008E1718" w:rsidP="008E1718">
      <w:pPr>
        <w:spacing w:after="40"/>
        <w:rPr>
          <w:rFonts w:ascii="Arial" w:eastAsia="Arial Unicode MS" w:hAnsi="Arial" w:cs="Arial"/>
          <w:sz w:val="20"/>
          <w:szCs w:val="20"/>
        </w:rPr>
      </w:pPr>
      <w:r>
        <w:rPr>
          <w:rFonts w:ascii="Arial" w:eastAsia="Arial Unicode MS" w:hAnsi="Arial" w:cs="Arial"/>
          <w:sz w:val="20"/>
          <w:szCs w:val="20"/>
        </w:rPr>
        <w:t xml:space="preserve">Não houve despesas </w:t>
      </w:r>
      <w:r w:rsidR="001535F7">
        <w:rPr>
          <w:rFonts w:ascii="Arial" w:eastAsia="Arial Unicode MS" w:hAnsi="Arial" w:cs="Arial"/>
          <w:sz w:val="20"/>
          <w:szCs w:val="20"/>
        </w:rPr>
        <w:t xml:space="preserve">relevantes </w:t>
      </w:r>
      <w:r>
        <w:rPr>
          <w:rFonts w:ascii="Arial" w:eastAsia="Arial Unicode MS" w:hAnsi="Arial" w:cs="Arial"/>
          <w:sz w:val="20"/>
          <w:szCs w:val="20"/>
        </w:rPr>
        <w:t>com ações p</w:t>
      </w:r>
      <w:r w:rsidR="00D208DE">
        <w:rPr>
          <w:rFonts w:ascii="Arial" w:eastAsia="Arial Unicode MS" w:hAnsi="Arial" w:cs="Arial"/>
          <w:sz w:val="20"/>
          <w:szCs w:val="20"/>
        </w:rPr>
        <w:t xml:space="preserve">ara fazer frente </w:t>
      </w:r>
      <w:r w:rsidR="005B5C3E">
        <w:rPr>
          <w:rFonts w:ascii="Arial" w:eastAsia="Arial Unicode MS" w:hAnsi="Arial" w:cs="Arial"/>
          <w:sz w:val="20"/>
          <w:szCs w:val="20"/>
        </w:rPr>
        <w:t>à</w:t>
      </w:r>
      <w:r w:rsidR="00D208DE">
        <w:rPr>
          <w:rFonts w:ascii="Arial" w:eastAsia="Arial Unicode MS" w:hAnsi="Arial" w:cs="Arial"/>
          <w:sz w:val="20"/>
          <w:szCs w:val="20"/>
        </w:rPr>
        <w:t>s despesas relacionadas ao enfrentamento à calamidade pública decorrentes da COVID-19</w:t>
      </w:r>
      <w:r>
        <w:rPr>
          <w:rFonts w:ascii="Arial" w:eastAsia="Arial Unicode MS" w:hAnsi="Arial" w:cs="Arial"/>
          <w:sz w:val="20"/>
          <w:szCs w:val="20"/>
        </w:rPr>
        <w:t xml:space="preserve"> durante o </w:t>
      </w:r>
      <w:r w:rsidR="0036293D">
        <w:rPr>
          <w:rFonts w:ascii="Arial" w:eastAsia="Arial Unicode MS" w:hAnsi="Arial" w:cs="Arial"/>
          <w:sz w:val="20"/>
          <w:szCs w:val="20"/>
        </w:rPr>
        <w:t>segundo</w:t>
      </w:r>
      <w:r>
        <w:rPr>
          <w:rFonts w:ascii="Arial" w:eastAsia="Arial Unicode MS" w:hAnsi="Arial" w:cs="Arial"/>
          <w:sz w:val="20"/>
          <w:szCs w:val="20"/>
        </w:rPr>
        <w:t xml:space="preserve"> trimestre/2021.</w:t>
      </w:r>
    </w:p>
    <w:p w14:paraId="4EB59C71" w14:textId="77777777" w:rsidR="00DF0B61" w:rsidRDefault="00DF0B61" w:rsidP="00D208DE">
      <w:pPr>
        <w:spacing w:after="40"/>
        <w:rPr>
          <w:rFonts w:ascii="Arial" w:eastAsia="Arial Unicode MS" w:hAnsi="Arial" w:cs="Arial"/>
          <w:sz w:val="20"/>
          <w:szCs w:val="20"/>
        </w:rPr>
      </w:pPr>
    </w:p>
    <w:p w14:paraId="4A510695" w14:textId="77777777" w:rsidR="00DF0B61" w:rsidRDefault="00DF0B61" w:rsidP="00D208DE">
      <w:pPr>
        <w:spacing w:after="40"/>
        <w:rPr>
          <w:rFonts w:ascii="Arial" w:eastAsia="Arial Unicode MS" w:hAnsi="Arial" w:cs="Arial"/>
          <w:sz w:val="20"/>
          <w:szCs w:val="20"/>
        </w:rPr>
      </w:pPr>
    </w:p>
    <w:p w14:paraId="657FBAFC" w14:textId="77777777" w:rsidR="00D208DE" w:rsidRPr="00533035" w:rsidRDefault="00D208DE" w:rsidP="007A19D5">
      <w:pPr>
        <w:spacing w:after="40"/>
        <w:rPr>
          <w:rFonts w:ascii="Arial" w:eastAsia="Arial Unicode MS" w:hAnsi="Arial" w:cs="Arial"/>
          <w:sz w:val="20"/>
          <w:szCs w:val="20"/>
        </w:rPr>
      </w:pPr>
    </w:p>
    <w:sectPr w:rsidR="00D208DE" w:rsidRPr="00533035" w:rsidSect="00E576AD">
      <w:type w:val="continuous"/>
      <w:pgSz w:w="11906" w:h="16838"/>
      <w:pgMar w:top="102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E4FD" w14:textId="77777777" w:rsidR="00543FB7" w:rsidRDefault="00543FB7" w:rsidP="00AC63FF">
      <w:pPr>
        <w:spacing w:after="0" w:line="240" w:lineRule="auto"/>
      </w:pPr>
      <w:r>
        <w:separator/>
      </w:r>
    </w:p>
  </w:endnote>
  <w:endnote w:type="continuationSeparator" w:id="0">
    <w:p w14:paraId="327FAE7D" w14:textId="77777777" w:rsidR="00543FB7" w:rsidRDefault="00543FB7"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773" w:type="dxa"/>
      <w:tblInd w:w="60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386A9E" w14:paraId="74448C52" w14:textId="77777777" w:rsidTr="008F1E64">
      <w:trPr>
        <w:trHeight w:val="421"/>
      </w:trPr>
      <w:tc>
        <w:tcPr>
          <w:tcW w:w="992" w:type="dxa"/>
          <w:shd w:val="clear" w:color="auto" w:fill="009999"/>
          <w:vAlign w:val="center"/>
        </w:tcPr>
        <w:p w14:paraId="58BF90FC" w14:textId="77777777" w:rsidR="00386A9E" w:rsidRPr="009C5B7B" w:rsidRDefault="00386A9E"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1D9EBD03" w:rsidR="00386A9E" w:rsidRDefault="00386A9E" w:rsidP="009462A5">
          <w:pPr>
            <w:pStyle w:val="Rodap"/>
            <w:tabs>
              <w:tab w:val="clear" w:pos="4252"/>
              <w:tab w:val="clear" w:pos="8504"/>
            </w:tabs>
            <w:rPr>
              <w:sz w:val="18"/>
              <w:szCs w:val="18"/>
            </w:rPr>
          </w:pPr>
          <w:r>
            <w:rPr>
              <w:sz w:val="18"/>
              <w:szCs w:val="18"/>
            </w:rPr>
            <w:t>Relatório Contábil</w:t>
          </w:r>
        </w:p>
      </w:tc>
      <w:tc>
        <w:tcPr>
          <w:tcW w:w="442" w:type="dxa"/>
          <w:vAlign w:val="center"/>
        </w:tcPr>
        <w:p w14:paraId="1010EC43" w14:textId="1BB5B3A2" w:rsidR="00386A9E" w:rsidRDefault="00386A9E"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20</w:t>
          </w:r>
          <w:r w:rsidRPr="002B53FF">
            <w:rPr>
              <w:sz w:val="18"/>
              <w:szCs w:val="18"/>
            </w:rPr>
            <w:fldChar w:fldCharType="end"/>
          </w:r>
        </w:p>
      </w:tc>
    </w:tr>
  </w:tbl>
  <w:p w14:paraId="04C818A8" w14:textId="77777777" w:rsidR="00386A9E" w:rsidRDefault="00386A9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2"/>
      <w:gridCol w:w="222"/>
      <w:gridCol w:w="308"/>
    </w:tblGrid>
    <w:tr w:rsidR="00386A9E" w14:paraId="46BADB0C" w14:textId="77777777" w:rsidTr="009C5B7B">
      <w:trPr>
        <w:trHeight w:val="421"/>
      </w:trPr>
      <w:tc>
        <w:tcPr>
          <w:tcW w:w="992" w:type="dxa"/>
          <w:shd w:val="clear" w:color="auto" w:fill="auto"/>
          <w:vAlign w:val="center"/>
        </w:tcPr>
        <w:p w14:paraId="7C9626A2" w14:textId="77777777" w:rsidR="00386A9E" w:rsidRPr="009C5B7B" w:rsidRDefault="00386A9E"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386A9E" w:rsidRDefault="00386A9E" w:rsidP="002B53FF">
          <w:pPr>
            <w:pStyle w:val="Rodap"/>
            <w:tabs>
              <w:tab w:val="clear" w:pos="4252"/>
              <w:tab w:val="clear" w:pos="8504"/>
            </w:tabs>
            <w:rPr>
              <w:sz w:val="18"/>
              <w:szCs w:val="18"/>
            </w:rPr>
          </w:pPr>
        </w:p>
      </w:tc>
      <w:tc>
        <w:tcPr>
          <w:tcW w:w="442" w:type="dxa"/>
          <w:vAlign w:val="center"/>
        </w:tcPr>
        <w:p w14:paraId="053B15AA" w14:textId="5A69F52D" w:rsidR="00386A9E" w:rsidRDefault="00386A9E"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19</w:t>
          </w:r>
          <w:r w:rsidRPr="002B53FF">
            <w:rPr>
              <w:sz w:val="18"/>
              <w:szCs w:val="18"/>
            </w:rPr>
            <w:fldChar w:fldCharType="end"/>
          </w:r>
        </w:p>
      </w:tc>
    </w:tr>
  </w:tbl>
  <w:p w14:paraId="09722F5C" w14:textId="77777777" w:rsidR="00386A9E" w:rsidRPr="00A73874" w:rsidRDefault="00386A9E" w:rsidP="002B53FF">
    <w:pPr>
      <w:pStyle w:val="Rodap"/>
      <w:tabs>
        <w:tab w:val="clear" w:pos="4252"/>
        <w:tab w:val="clear" w:pos="8504"/>
      </w:tabs>
      <w:jc w:val="right"/>
      <w:rPr>
        <w:sz w:val="18"/>
        <w:szCs w:val="18"/>
      </w:rPr>
    </w:pPr>
  </w:p>
  <w:p w14:paraId="7C8F8149" w14:textId="77777777" w:rsidR="00386A9E" w:rsidRDefault="00386A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544D" w14:textId="77777777" w:rsidR="00543FB7" w:rsidRDefault="00543FB7" w:rsidP="00AC63FF">
      <w:pPr>
        <w:spacing w:after="0" w:line="240" w:lineRule="auto"/>
      </w:pPr>
      <w:r>
        <w:separator/>
      </w:r>
    </w:p>
  </w:footnote>
  <w:footnote w:type="continuationSeparator" w:id="0">
    <w:p w14:paraId="5DA21F12" w14:textId="77777777" w:rsidR="00543FB7" w:rsidRDefault="00543FB7"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C09"/>
    <w:multiLevelType w:val="multilevel"/>
    <w:tmpl w:val="503676D8"/>
    <w:lvl w:ilvl="0">
      <w:start w:val="1"/>
      <w:numFmt w:val="lowerLetter"/>
      <w:lvlText w:val="(%1)"/>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DC0023E"/>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10B69C6"/>
    <w:multiLevelType w:val="hybridMultilevel"/>
    <w:tmpl w:val="B382F562"/>
    <w:lvl w:ilvl="0" w:tplc="AE3E1602">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7"/>
  </w:num>
  <w:num w:numId="5">
    <w:abstractNumId w:val="1"/>
  </w:num>
  <w:num w:numId="6">
    <w:abstractNumId w:val="5"/>
  </w:num>
  <w:num w:numId="7">
    <w:abstractNumId w:val="11"/>
  </w:num>
  <w:num w:numId="8">
    <w:abstractNumId w:val="4"/>
  </w:num>
  <w:num w:numId="9">
    <w:abstractNumId w:val="9"/>
  </w:num>
  <w:num w:numId="10">
    <w:abstractNumId w:val="10"/>
  </w:num>
  <w:num w:numId="11">
    <w:abstractNumId w:val="1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CD"/>
    <w:rsid w:val="00000222"/>
    <w:rsid w:val="00000310"/>
    <w:rsid w:val="00000539"/>
    <w:rsid w:val="00001A54"/>
    <w:rsid w:val="00002769"/>
    <w:rsid w:val="00002926"/>
    <w:rsid w:val="00004FBA"/>
    <w:rsid w:val="00006B51"/>
    <w:rsid w:val="00007B61"/>
    <w:rsid w:val="00012E6B"/>
    <w:rsid w:val="00015AC6"/>
    <w:rsid w:val="000217B5"/>
    <w:rsid w:val="000218E5"/>
    <w:rsid w:val="00024299"/>
    <w:rsid w:val="000338B8"/>
    <w:rsid w:val="000401C1"/>
    <w:rsid w:val="00040B55"/>
    <w:rsid w:val="00041201"/>
    <w:rsid w:val="000431FB"/>
    <w:rsid w:val="00043F0E"/>
    <w:rsid w:val="00045D11"/>
    <w:rsid w:val="0004649C"/>
    <w:rsid w:val="000474B7"/>
    <w:rsid w:val="0004765C"/>
    <w:rsid w:val="00047FFE"/>
    <w:rsid w:val="00051174"/>
    <w:rsid w:val="0005413C"/>
    <w:rsid w:val="0005486A"/>
    <w:rsid w:val="00057B49"/>
    <w:rsid w:val="00057E5B"/>
    <w:rsid w:val="00061057"/>
    <w:rsid w:val="00062418"/>
    <w:rsid w:val="000648C0"/>
    <w:rsid w:val="00067CFF"/>
    <w:rsid w:val="00067E45"/>
    <w:rsid w:val="00071250"/>
    <w:rsid w:val="00080DE8"/>
    <w:rsid w:val="00081305"/>
    <w:rsid w:val="000831F3"/>
    <w:rsid w:val="00083548"/>
    <w:rsid w:val="00085282"/>
    <w:rsid w:val="000869E0"/>
    <w:rsid w:val="000923C6"/>
    <w:rsid w:val="000945A4"/>
    <w:rsid w:val="000969AB"/>
    <w:rsid w:val="000A1C3D"/>
    <w:rsid w:val="000A4401"/>
    <w:rsid w:val="000B02A5"/>
    <w:rsid w:val="000B0FEE"/>
    <w:rsid w:val="000B1C2F"/>
    <w:rsid w:val="000B6B8C"/>
    <w:rsid w:val="000C0339"/>
    <w:rsid w:val="000C35BD"/>
    <w:rsid w:val="000C3A47"/>
    <w:rsid w:val="000C4079"/>
    <w:rsid w:val="000C50D0"/>
    <w:rsid w:val="000C545F"/>
    <w:rsid w:val="000D2995"/>
    <w:rsid w:val="000E3FB3"/>
    <w:rsid w:val="000E5373"/>
    <w:rsid w:val="000E7041"/>
    <w:rsid w:val="000E71FC"/>
    <w:rsid w:val="000E7D97"/>
    <w:rsid w:val="000F211F"/>
    <w:rsid w:val="000F2A93"/>
    <w:rsid w:val="000F6171"/>
    <w:rsid w:val="000F654F"/>
    <w:rsid w:val="000F68AF"/>
    <w:rsid w:val="000F7144"/>
    <w:rsid w:val="0010010B"/>
    <w:rsid w:val="00100793"/>
    <w:rsid w:val="00102F17"/>
    <w:rsid w:val="001035F5"/>
    <w:rsid w:val="00104FBE"/>
    <w:rsid w:val="00107E1E"/>
    <w:rsid w:val="001126B8"/>
    <w:rsid w:val="00115926"/>
    <w:rsid w:val="00127894"/>
    <w:rsid w:val="001360DB"/>
    <w:rsid w:val="0013723C"/>
    <w:rsid w:val="00137CCD"/>
    <w:rsid w:val="00143A10"/>
    <w:rsid w:val="00150CBC"/>
    <w:rsid w:val="0015202F"/>
    <w:rsid w:val="001535F7"/>
    <w:rsid w:val="001536FD"/>
    <w:rsid w:val="00154E3E"/>
    <w:rsid w:val="001558C6"/>
    <w:rsid w:val="001574C0"/>
    <w:rsid w:val="001577CC"/>
    <w:rsid w:val="00157F04"/>
    <w:rsid w:val="00160E7A"/>
    <w:rsid w:val="001610F3"/>
    <w:rsid w:val="00161CA4"/>
    <w:rsid w:val="00164FB4"/>
    <w:rsid w:val="00170F6E"/>
    <w:rsid w:val="001744D2"/>
    <w:rsid w:val="0017616F"/>
    <w:rsid w:val="001767F3"/>
    <w:rsid w:val="00182300"/>
    <w:rsid w:val="00183A74"/>
    <w:rsid w:val="00183E94"/>
    <w:rsid w:val="00184136"/>
    <w:rsid w:val="00186117"/>
    <w:rsid w:val="001905D5"/>
    <w:rsid w:val="001929E9"/>
    <w:rsid w:val="00193192"/>
    <w:rsid w:val="00194608"/>
    <w:rsid w:val="00194DCC"/>
    <w:rsid w:val="001951AF"/>
    <w:rsid w:val="00195E96"/>
    <w:rsid w:val="00196075"/>
    <w:rsid w:val="0019740A"/>
    <w:rsid w:val="001A0664"/>
    <w:rsid w:val="001A0BC1"/>
    <w:rsid w:val="001A146D"/>
    <w:rsid w:val="001A2937"/>
    <w:rsid w:val="001B3E00"/>
    <w:rsid w:val="001B45F5"/>
    <w:rsid w:val="001B7CE3"/>
    <w:rsid w:val="001C697A"/>
    <w:rsid w:val="001C6AF6"/>
    <w:rsid w:val="001C7D02"/>
    <w:rsid w:val="001D05AD"/>
    <w:rsid w:val="001D06CA"/>
    <w:rsid w:val="001D0F55"/>
    <w:rsid w:val="001E10C7"/>
    <w:rsid w:val="001E35C9"/>
    <w:rsid w:val="001E3847"/>
    <w:rsid w:val="001E6457"/>
    <w:rsid w:val="001F3950"/>
    <w:rsid w:val="001F5BB9"/>
    <w:rsid w:val="001F7B7F"/>
    <w:rsid w:val="00200428"/>
    <w:rsid w:val="00200863"/>
    <w:rsid w:val="00200D58"/>
    <w:rsid w:val="00203F5C"/>
    <w:rsid w:val="00206672"/>
    <w:rsid w:val="00215F93"/>
    <w:rsid w:val="00223E63"/>
    <w:rsid w:val="00226D54"/>
    <w:rsid w:val="00230C5D"/>
    <w:rsid w:val="0023179A"/>
    <w:rsid w:val="00232B25"/>
    <w:rsid w:val="00233AFC"/>
    <w:rsid w:val="00235E1B"/>
    <w:rsid w:val="00241A37"/>
    <w:rsid w:val="00246CFE"/>
    <w:rsid w:val="00247FD1"/>
    <w:rsid w:val="00250AFA"/>
    <w:rsid w:val="0025176D"/>
    <w:rsid w:val="00255673"/>
    <w:rsid w:val="00255705"/>
    <w:rsid w:val="00255FFC"/>
    <w:rsid w:val="002568A3"/>
    <w:rsid w:val="00256940"/>
    <w:rsid w:val="00256BFD"/>
    <w:rsid w:val="0026165C"/>
    <w:rsid w:val="002637B7"/>
    <w:rsid w:val="00266915"/>
    <w:rsid w:val="00267FCF"/>
    <w:rsid w:val="00272AEC"/>
    <w:rsid w:val="002738E2"/>
    <w:rsid w:val="00276886"/>
    <w:rsid w:val="00277932"/>
    <w:rsid w:val="00280481"/>
    <w:rsid w:val="00284AEB"/>
    <w:rsid w:val="0028512D"/>
    <w:rsid w:val="00291467"/>
    <w:rsid w:val="00293A77"/>
    <w:rsid w:val="00294B65"/>
    <w:rsid w:val="00295684"/>
    <w:rsid w:val="00296376"/>
    <w:rsid w:val="002A3837"/>
    <w:rsid w:val="002A7C59"/>
    <w:rsid w:val="002B1867"/>
    <w:rsid w:val="002B38A2"/>
    <w:rsid w:val="002B53FF"/>
    <w:rsid w:val="002B7F19"/>
    <w:rsid w:val="002B7F78"/>
    <w:rsid w:val="002C1DE1"/>
    <w:rsid w:val="002D5311"/>
    <w:rsid w:val="002D7393"/>
    <w:rsid w:val="002E567C"/>
    <w:rsid w:val="002E6953"/>
    <w:rsid w:val="002F28FE"/>
    <w:rsid w:val="002F3407"/>
    <w:rsid w:val="002F6E62"/>
    <w:rsid w:val="00301C12"/>
    <w:rsid w:val="003114B7"/>
    <w:rsid w:val="00313005"/>
    <w:rsid w:val="00313283"/>
    <w:rsid w:val="00316E6B"/>
    <w:rsid w:val="00317136"/>
    <w:rsid w:val="00321271"/>
    <w:rsid w:val="003216D5"/>
    <w:rsid w:val="00323367"/>
    <w:rsid w:val="003265F3"/>
    <w:rsid w:val="00326B0E"/>
    <w:rsid w:val="00330B3C"/>
    <w:rsid w:val="00330CC5"/>
    <w:rsid w:val="00336E24"/>
    <w:rsid w:val="00337D88"/>
    <w:rsid w:val="0034064D"/>
    <w:rsid w:val="0034086C"/>
    <w:rsid w:val="0034325A"/>
    <w:rsid w:val="00350213"/>
    <w:rsid w:val="00351483"/>
    <w:rsid w:val="00352C59"/>
    <w:rsid w:val="00353E0E"/>
    <w:rsid w:val="0035462D"/>
    <w:rsid w:val="003548FD"/>
    <w:rsid w:val="00354A3F"/>
    <w:rsid w:val="0036293D"/>
    <w:rsid w:val="00367DA4"/>
    <w:rsid w:val="0037102B"/>
    <w:rsid w:val="00371D61"/>
    <w:rsid w:val="003735F4"/>
    <w:rsid w:val="003750CE"/>
    <w:rsid w:val="00384404"/>
    <w:rsid w:val="00385C75"/>
    <w:rsid w:val="003864F1"/>
    <w:rsid w:val="00386A9E"/>
    <w:rsid w:val="00391706"/>
    <w:rsid w:val="003936A6"/>
    <w:rsid w:val="00397D04"/>
    <w:rsid w:val="003A15A0"/>
    <w:rsid w:val="003A255F"/>
    <w:rsid w:val="003B1292"/>
    <w:rsid w:val="003B29B8"/>
    <w:rsid w:val="003B49CE"/>
    <w:rsid w:val="003C08C7"/>
    <w:rsid w:val="003D0E29"/>
    <w:rsid w:val="003D1FBC"/>
    <w:rsid w:val="003D6EB0"/>
    <w:rsid w:val="003E2C50"/>
    <w:rsid w:val="003E43FF"/>
    <w:rsid w:val="003E6C52"/>
    <w:rsid w:val="003F1674"/>
    <w:rsid w:val="003F256B"/>
    <w:rsid w:val="003F2DB6"/>
    <w:rsid w:val="003F2FDA"/>
    <w:rsid w:val="003F341A"/>
    <w:rsid w:val="003F6A4F"/>
    <w:rsid w:val="003F721B"/>
    <w:rsid w:val="004006D5"/>
    <w:rsid w:val="00406449"/>
    <w:rsid w:val="004078AA"/>
    <w:rsid w:val="004111FC"/>
    <w:rsid w:val="00411FEC"/>
    <w:rsid w:val="004134BA"/>
    <w:rsid w:val="004152AB"/>
    <w:rsid w:val="004210AF"/>
    <w:rsid w:val="00423FC0"/>
    <w:rsid w:val="00425053"/>
    <w:rsid w:val="00433D43"/>
    <w:rsid w:val="00435C2D"/>
    <w:rsid w:val="00436BA4"/>
    <w:rsid w:val="00441F98"/>
    <w:rsid w:val="00443908"/>
    <w:rsid w:val="00444394"/>
    <w:rsid w:val="00445E93"/>
    <w:rsid w:val="004461AC"/>
    <w:rsid w:val="004463C6"/>
    <w:rsid w:val="00446D58"/>
    <w:rsid w:val="00450155"/>
    <w:rsid w:val="00451578"/>
    <w:rsid w:val="00452D5C"/>
    <w:rsid w:val="00455C37"/>
    <w:rsid w:val="00457367"/>
    <w:rsid w:val="0046073E"/>
    <w:rsid w:val="004610BE"/>
    <w:rsid w:val="0047106B"/>
    <w:rsid w:val="004725BC"/>
    <w:rsid w:val="00472D3C"/>
    <w:rsid w:val="0047599C"/>
    <w:rsid w:val="00481706"/>
    <w:rsid w:val="00483D6C"/>
    <w:rsid w:val="00484257"/>
    <w:rsid w:val="004868CD"/>
    <w:rsid w:val="00487828"/>
    <w:rsid w:val="00492507"/>
    <w:rsid w:val="00493D8A"/>
    <w:rsid w:val="004A12EC"/>
    <w:rsid w:val="004A30FB"/>
    <w:rsid w:val="004A5832"/>
    <w:rsid w:val="004A6918"/>
    <w:rsid w:val="004B100D"/>
    <w:rsid w:val="004B1DEA"/>
    <w:rsid w:val="004B5936"/>
    <w:rsid w:val="004B6577"/>
    <w:rsid w:val="004C0A93"/>
    <w:rsid w:val="004C27C4"/>
    <w:rsid w:val="004E57B3"/>
    <w:rsid w:val="004E66F7"/>
    <w:rsid w:val="004E67F5"/>
    <w:rsid w:val="004F2EEF"/>
    <w:rsid w:val="004F52C5"/>
    <w:rsid w:val="004F53A5"/>
    <w:rsid w:val="004F5480"/>
    <w:rsid w:val="004F5DE8"/>
    <w:rsid w:val="00500A3B"/>
    <w:rsid w:val="005034B1"/>
    <w:rsid w:val="00503EF7"/>
    <w:rsid w:val="0050412B"/>
    <w:rsid w:val="005110D6"/>
    <w:rsid w:val="00511A1D"/>
    <w:rsid w:val="0051773B"/>
    <w:rsid w:val="0052109E"/>
    <w:rsid w:val="005229A3"/>
    <w:rsid w:val="00522A33"/>
    <w:rsid w:val="005236B9"/>
    <w:rsid w:val="005301E0"/>
    <w:rsid w:val="00532E30"/>
    <w:rsid w:val="00533035"/>
    <w:rsid w:val="00541414"/>
    <w:rsid w:val="005418F3"/>
    <w:rsid w:val="005425B1"/>
    <w:rsid w:val="0054318E"/>
    <w:rsid w:val="005432E7"/>
    <w:rsid w:val="00543FB7"/>
    <w:rsid w:val="00545DDE"/>
    <w:rsid w:val="00546FBD"/>
    <w:rsid w:val="00551DB9"/>
    <w:rsid w:val="00554772"/>
    <w:rsid w:val="00556AC6"/>
    <w:rsid w:val="0056349A"/>
    <w:rsid w:val="00567B75"/>
    <w:rsid w:val="00571C29"/>
    <w:rsid w:val="00572CE1"/>
    <w:rsid w:val="00575BF0"/>
    <w:rsid w:val="005826CE"/>
    <w:rsid w:val="00582C4D"/>
    <w:rsid w:val="00582C54"/>
    <w:rsid w:val="0059492D"/>
    <w:rsid w:val="005975DA"/>
    <w:rsid w:val="005B0852"/>
    <w:rsid w:val="005B33A6"/>
    <w:rsid w:val="005B41AD"/>
    <w:rsid w:val="005B58A0"/>
    <w:rsid w:val="005B5C3E"/>
    <w:rsid w:val="005B5C65"/>
    <w:rsid w:val="005B620D"/>
    <w:rsid w:val="005B7177"/>
    <w:rsid w:val="005C2193"/>
    <w:rsid w:val="005C2D04"/>
    <w:rsid w:val="005C2F56"/>
    <w:rsid w:val="005D08FB"/>
    <w:rsid w:val="005D1AE2"/>
    <w:rsid w:val="005D3E33"/>
    <w:rsid w:val="005D44DB"/>
    <w:rsid w:val="005D7C7D"/>
    <w:rsid w:val="005E18CB"/>
    <w:rsid w:val="005E38C5"/>
    <w:rsid w:val="005F013C"/>
    <w:rsid w:val="005F2145"/>
    <w:rsid w:val="005F36C0"/>
    <w:rsid w:val="0060333F"/>
    <w:rsid w:val="00605E1E"/>
    <w:rsid w:val="00611B22"/>
    <w:rsid w:val="00611B4B"/>
    <w:rsid w:val="00611F4F"/>
    <w:rsid w:val="00612A6E"/>
    <w:rsid w:val="00616680"/>
    <w:rsid w:val="006169D2"/>
    <w:rsid w:val="00626D09"/>
    <w:rsid w:val="006274D6"/>
    <w:rsid w:val="006310EB"/>
    <w:rsid w:val="00632559"/>
    <w:rsid w:val="00633965"/>
    <w:rsid w:val="00633C81"/>
    <w:rsid w:val="00635A7B"/>
    <w:rsid w:val="006433CD"/>
    <w:rsid w:val="00643596"/>
    <w:rsid w:val="00647285"/>
    <w:rsid w:val="0064731A"/>
    <w:rsid w:val="00650A4D"/>
    <w:rsid w:val="00650D1C"/>
    <w:rsid w:val="00651B67"/>
    <w:rsid w:val="006559A6"/>
    <w:rsid w:val="00656750"/>
    <w:rsid w:val="00656AF7"/>
    <w:rsid w:val="006603A8"/>
    <w:rsid w:val="006631B3"/>
    <w:rsid w:val="00664699"/>
    <w:rsid w:val="00666F8F"/>
    <w:rsid w:val="00667313"/>
    <w:rsid w:val="0067151A"/>
    <w:rsid w:val="00671CCC"/>
    <w:rsid w:val="00673BD0"/>
    <w:rsid w:val="00673CE8"/>
    <w:rsid w:val="00674BE0"/>
    <w:rsid w:val="00676BFE"/>
    <w:rsid w:val="006825FC"/>
    <w:rsid w:val="00687736"/>
    <w:rsid w:val="0069027F"/>
    <w:rsid w:val="00692A35"/>
    <w:rsid w:val="00692B25"/>
    <w:rsid w:val="006946B1"/>
    <w:rsid w:val="006A2E46"/>
    <w:rsid w:val="006A7665"/>
    <w:rsid w:val="006B0EDC"/>
    <w:rsid w:val="006B1AC8"/>
    <w:rsid w:val="006B1C3A"/>
    <w:rsid w:val="006C0788"/>
    <w:rsid w:val="006C0BB4"/>
    <w:rsid w:val="006C2AB8"/>
    <w:rsid w:val="006C4DD4"/>
    <w:rsid w:val="006D06CA"/>
    <w:rsid w:val="006D6AB6"/>
    <w:rsid w:val="006D7255"/>
    <w:rsid w:val="006E0B81"/>
    <w:rsid w:val="006E2861"/>
    <w:rsid w:val="006F1948"/>
    <w:rsid w:val="006F3D9F"/>
    <w:rsid w:val="006F4FC6"/>
    <w:rsid w:val="006F5B28"/>
    <w:rsid w:val="006F648B"/>
    <w:rsid w:val="0070244E"/>
    <w:rsid w:val="00707017"/>
    <w:rsid w:val="00713248"/>
    <w:rsid w:val="00715A9E"/>
    <w:rsid w:val="00716110"/>
    <w:rsid w:val="0072067F"/>
    <w:rsid w:val="00720EF4"/>
    <w:rsid w:val="00726941"/>
    <w:rsid w:val="00730D9F"/>
    <w:rsid w:val="00730DA8"/>
    <w:rsid w:val="00733F74"/>
    <w:rsid w:val="007344C6"/>
    <w:rsid w:val="00741036"/>
    <w:rsid w:val="00742ADB"/>
    <w:rsid w:val="00743C04"/>
    <w:rsid w:val="00744CDB"/>
    <w:rsid w:val="00744DAC"/>
    <w:rsid w:val="00745081"/>
    <w:rsid w:val="00750150"/>
    <w:rsid w:val="007509F9"/>
    <w:rsid w:val="00752C54"/>
    <w:rsid w:val="00753DE7"/>
    <w:rsid w:val="00755006"/>
    <w:rsid w:val="00756B26"/>
    <w:rsid w:val="00764249"/>
    <w:rsid w:val="00764927"/>
    <w:rsid w:val="00764A48"/>
    <w:rsid w:val="00764E00"/>
    <w:rsid w:val="00766DD2"/>
    <w:rsid w:val="00770AFC"/>
    <w:rsid w:val="007723FC"/>
    <w:rsid w:val="0077424E"/>
    <w:rsid w:val="007757A3"/>
    <w:rsid w:val="007802B2"/>
    <w:rsid w:val="0078110C"/>
    <w:rsid w:val="007820A0"/>
    <w:rsid w:val="007824E0"/>
    <w:rsid w:val="00783A58"/>
    <w:rsid w:val="007935A1"/>
    <w:rsid w:val="00793AA6"/>
    <w:rsid w:val="0079552E"/>
    <w:rsid w:val="007961E5"/>
    <w:rsid w:val="00797FED"/>
    <w:rsid w:val="007A0FB0"/>
    <w:rsid w:val="007A19D5"/>
    <w:rsid w:val="007A2071"/>
    <w:rsid w:val="007A6170"/>
    <w:rsid w:val="007B07E0"/>
    <w:rsid w:val="007B1669"/>
    <w:rsid w:val="007B2AD1"/>
    <w:rsid w:val="007B34DC"/>
    <w:rsid w:val="007B7427"/>
    <w:rsid w:val="007C1093"/>
    <w:rsid w:val="007C45C4"/>
    <w:rsid w:val="007C730E"/>
    <w:rsid w:val="007D09F3"/>
    <w:rsid w:val="007D0ABB"/>
    <w:rsid w:val="007D0BBE"/>
    <w:rsid w:val="007D1028"/>
    <w:rsid w:val="007D2E74"/>
    <w:rsid w:val="007D346A"/>
    <w:rsid w:val="007D6891"/>
    <w:rsid w:val="007D7318"/>
    <w:rsid w:val="007E7BC2"/>
    <w:rsid w:val="007F07C5"/>
    <w:rsid w:val="007F1A7C"/>
    <w:rsid w:val="007F2BB7"/>
    <w:rsid w:val="007F3501"/>
    <w:rsid w:val="007F5F4F"/>
    <w:rsid w:val="0080023D"/>
    <w:rsid w:val="00800967"/>
    <w:rsid w:val="00806359"/>
    <w:rsid w:val="008077D5"/>
    <w:rsid w:val="00810C16"/>
    <w:rsid w:val="00814D3D"/>
    <w:rsid w:val="008172C9"/>
    <w:rsid w:val="00822AE3"/>
    <w:rsid w:val="00823B1C"/>
    <w:rsid w:val="008305F5"/>
    <w:rsid w:val="00831591"/>
    <w:rsid w:val="00831930"/>
    <w:rsid w:val="00832297"/>
    <w:rsid w:val="00832B59"/>
    <w:rsid w:val="00835C24"/>
    <w:rsid w:val="00837429"/>
    <w:rsid w:val="00837901"/>
    <w:rsid w:val="00837C80"/>
    <w:rsid w:val="00841497"/>
    <w:rsid w:val="00842592"/>
    <w:rsid w:val="008432C1"/>
    <w:rsid w:val="008435A4"/>
    <w:rsid w:val="0085002F"/>
    <w:rsid w:val="00851C9F"/>
    <w:rsid w:val="008532AD"/>
    <w:rsid w:val="00854455"/>
    <w:rsid w:val="00856772"/>
    <w:rsid w:val="008613BD"/>
    <w:rsid w:val="008618B1"/>
    <w:rsid w:val="00864F90"/>
    <w:rsid w:val="00865981"/>
    <w:rsid w:val="00865B74"/>
    <w:rsid w:val="00867F88"/>
    <w:rsid w:val="00873988"/>
    <w:rsid w:val="00874534"/>
    <w:rsid w:val="00874D24"/>
    <w:rsid w:val="00876321"/>
    <w:rsid w:val="008803DA"/>
    <w:rsid w:val="00881107"/>
    <w:rsid w:val="008821E5"/>
    <w:rsid w:val="00883D0F"/>
    <w:rsid w:val="00890FE3"/>
    <w:rsid w:val="0089261B"/>
    <w:rsid w:val="00893DD4"/>
    <w:rsid w:val="00896743"/>
    <w:rsid w:val="008A0FF9"/>
    <w:rsid w:val="008A6408"/>
    <w:rsid w:val="008B03EB"/>
    <w:rsid w:val="008B31CD"/>
    <w:rsid w:val="008B3A6E"/>
    <w:rsid w:val="008B58CC"/>
    <w:rsid w:val="008B5AE4"/>
    <w:rsid w:val="008B776B"/>
    <w:rsid w:val="008C268B"/>
    <w:rsid w:val="008C3E79"/>
    <w:rsid w:val="008C53FD"/>
    <w:rsid w:val="008C7D4C"/>
    <w:rsid w:val="008D0F60"/>
    <w:rsid w:val="008D1FEB"/>
    <w:rsid w:val="008D4672"/>
    <w:rsid w:val="008D68E8"/>
    <w:rsid w:val="008E08DC"/>
    <w:rsid w:val="008E1718"/>
    <w:rsid w:val="008E1C59"/>
    <w:rsid w:val="008E35BC"/>
    <w:rsid w:val="008E66EE"/>
    <w:rsid w:val="008E7D56"/>
    <w:rsid w:val="008F080C"/>
    <w:rsid w:val="008F1E64"/>
    <w:rsid w:val="008F6014"/>
    <w:rsid w:val="008F7CB1"/>
    <w:rsid w:val="0090210B"/>
    <w:rsid w:val="00903DE5"/>
    <w:rsid w:val="00904890"/>
    <w:rsid w:val="00905C49"/>
    <w:rsid w:val="009072B1"/>
    <w:rsid w:val="009152D8"/>
    <w:rsid w:val="00916702"/>
    <w:rsid w:val="00917365"/>
    <w:rsid w:val="0092098E"/>
    <w:rsid w:val="00923301"/>
    <w:rsid w:val="0092356D"/>
    <w:rsid w:val="00924498"/>
    <w:rsid w:val="00924B29"/>
    <w:rsid w:val="0092511F"/>
    <w:rsid w:val="009277ED"/>
    <w:rsid w:val="00927C3F"/>
    <w:rsid w:val="0093005A"/>
    <w:rsid w:val="00930A4D"/>
    <w:rsid w:val="00934C75"/>
    <w:rsid w:val="00942C57"/>
    <w:rsid w:val="009462A5"/>
    <w:rsid w:val="009505D2"/>
    <w:rsid w:val="009512BA"/>
    <w:rsid w:val="0095169E"/>
    <w:rsid w:val="00951B2C"/>
    <w:rsid w:val="009536DF"/>
    <w:rsid w:val="0095459F"/>
    <w:rsid w:val="009547DA"/>
    <w:rsid w:val="00957044"/>
    <w:rsid w:val="009602C6"/>
    <w:rsid w:val="009604FD"/>
    <w:rsid w:val="00961EAA"/>
    <w:rsid w:val="009642E4"/>
    <w:rsid w:val="009649FC"/>
    <w:rsid w:val="00966DA2"/>
    <w:rsid w:val="00970CC0"/>
    <w:rsid w:val="009717C7"/>
    <w:rsid w:val="00972945"/>
    <w:rsid w:val="00972AB8"/>
    <w:rsid w:val="00985BFF"/>
    <w:rsid w:val="009919A0"/>
    <w:rsid w:val="00992D93"/>
    <w:rsid w:val="0099310A"/>
    <w:rsid w:val="0099533F"/>
    <w:rsid w:val="00996B00"/>
    <w:rsid w:val="00996DDE"/>
    <w:rsid w:val="009A029A"/>
    <w:rsid w:val="009A533B"/>
    <w:rsid w:val="009A6B30"/>
    <w:rsid w:val="009B156D"/>
    <w:rsid w:val="009B41F7"/>
    <w:rsid w:val="009B4BE8"/>
    <w:rsid w:val="009B5445"/>
    <w:rsid w:val="009B68E2"/>
    <w:rsid w:val="009C0F56"/>
    <w:rsid w:val="009C1E3A"/>
    <w:rsid w:val="009C444E"/>
    <w:rsid w:val="009C48A9"/>
    <w:rsid w:val="009C5B7B"/>
    <w:rsid w:val="009C71AA"/>
    <w:rsid w:val="009C7F1F"/>
    <w:rsid w:val="009D1B44"/>
    <w:rsid w:val="009D1E72"/>
    <w:rsid w:val="009D3D0B"/>
    <w:rsid w:val="009D48A1"/>
    <w:rsid w:val="009D4D1D"/>
    <w:rsid w:val="009D674E"/>
    <w:rsid w:val="009D78DB"/>
    <w:rsid w:val="009E3CC1"/>
    <w:rsid w:val="009E3CCB"/>
    <w:rsid w:val="009F00B2"/>
    <w:rsid w:val="009F0309"/>
    <w:rsid w:val="009F38DB"/>
    <w:rsid w:val="009F4097"/>
    <w:rsid w:val="009F6D56"/>
    <w:rsid w:val="00A00A64"/>
    <w:rsid w:val="00A02669"/>
    <w:rsid w:val="00A04A4A"/>
    <w:rsid w:val="00A06965"/>
    <w:rsid w:val="00A06D31"/>
    <w:rsid w:val="00A06FD2"/>
    <w:rsid w:val="00A0799D"/>
    <w:rsid w:val="00A100AF"/>
    <w:rsid w:val="00A1457E"/>
    <w:rsid w:val="00A176ED"/>
    <w:rsid w:val="00A24BF4"/>
    <w:rsid w:val="00A251E7"/>
    <w:rsid w:val="00A2640D"/>
    <w:rsid w:val="00A31D21"/>
    <w:rsid w:val="00A34EC1"/>
    <w:rsid w:val="00A35601"/>
    <w:rsid w:val="00A35787"/>
    <w:rsid w:val="00A4089F"/>
    <w:rsid w:val="00A419FD"/>
    <w:rsid w:val="00A51483"/>
    <w:rsid w:val="00A524EC"/>
    <w:rsid w:val="00A5260D"/>
    <w:rsid w:val="00A53175"/>
    <w:rsid w:val="00A619F9"/>
    <w:rsid w:val="00A62755"/>
    <w:rsid w:val="00A7003B"/>
    <w:rsid w:val="00A71CB0"/>
    <w:rsid w:val="00A73874"/>
    <w:rsid w:val="00A75B25"/>
    <w:rsid w:val="00A807E5"/>
    <w:rsid w:val="00A81412"/>
    <w:rsid w:val="00A81817"/>
    <w:rsid w:val="00A869F2"/>
    <w:rsid w:val="00A913B7"/>
    <w:rsid w:val="00AA0E39"/>
    <w:rsid w:val="00AA3D58"/>
    <w:rsid w:val="00AA5EC5"/>
    <w:rsid w:val="00AA6CFC"/>
    <w:rsid w:val="00AA7EC7"/>
    <w:rsid w:val="00AB0C8C"/>
    <w:rsid w:val="00AB3CFF"/>
    <w:rsid w:val="00AB5CC5"/>
    <w:rsid w:val="00AB6ACD"/>
    <w:rsid w:val="00AB6E1C"/>
    <w:rsid w:val="00AB7238"/>
    <w:rsid w:val="00AC0CC4"/>
    <w:rsid w:val="00AC5B25"/>
    <w:rsid w:val="00AC5B88"/>
    <w:rsid w:val="00AC63FF"/>
    <w:rsid w:val="00AD061A"/>
    <w:rsid w:val="00AD38E4"/>
    <w:rsid w:val="00AD5BBD"/>
    <w:rsid w:val="00AE0479"/>
    <w:rsid w:val="00AE4817"/>
    <w:rsid w:val="00AE63FB"/>
    <w:rsid w:val="00AE7A35"/>
    <w:rsid w:val="00AF26AF"/>
    <w:rsid w:val="00AF3113"/>
    <w:rsid w:val="00AF3E0C"/>
    <w:rsid w:val="00AF503C"/>
    <w:rsid w:val="00AF597A"/>
    <w:rsid w:val="00AF7628"/>
    <w:rsid w:val="00B05322"/>
    <w:rsid w:val="00B1054A"/>
    <w:rsid w:val="00B1165C"/>
    <w:rsid w:val="00B17734"/>
    <w:rsid w:val="00B221FE"/>
    <w:rsid w:val="00B22A29"/>
    <w:rsid w:val="00B2479A"/>
    <w:rsid w:val="00B24948"/>
    <w:rsid w:val="00B25355"/>
    <w:rsid w:val="00B2735E"/>
    <w:rsid w:val="00B31A11"/>
    <w:rsid w:val="00B33284"/>
    <w:rsid w:val="00B354D1"/>
    <w:rsid w:val="00B43A53"/>
    <w:rsid w:val="00B442AE"/>
    <w:rsid w:val="00B45147"/>
    <w:rsid w:val="00B47487"/>
    <w:rsid w:val="00B57866"/>
    <w:rsid w:val="00B62DD8"/>
    <w:rsid w:val="00B634F2"/>
    <w:rsid w:val="00B64BF8"/>
    <w:rsid w:val="00B66194"/>
    <w:rsid w:val="00B670F0"/>
    <w:rsid w:val="00B675D1"/>
    <w:rsid w:val="00B70721"/>
    <w:rsid w:val="00B71846"/>
    <w:rsid w:val="00B72235"/>
    <w:rsid w:val="00B7382B"/>
    <w:rsid w:val="00B802A3"/>
    <w:rsid w:val="00B807CC"/>
    <w:rsid w:val="00B8161A"/>
    <w:rsid w:val="00B81850"/>
    <w:rsid w:val="00B866FF"/>
    <w:rsid w:val="00B907C7"/>
    <w:rsid w:val="00B92499"/>
    <w:rsid w:val="00B933DF"/>
    <w:rsid w:val="00B94E86"/>
    <w:rsid w:val="00BA024C"/>
    <w:rsid w:val="00BA2679"/>
    <w:rsid w:val="00BB08AD"/>
    <w:rsid w:val="00BB1791"/>
    <w:rsid w:val="00BB18A0"/>
    <w:rsid w:val="00BB49EB"/>
    <w:rsid w:val="00BB7732"/>
    <w:rsid w:val="00BC1C3F"/>
    <w:rsid w:val="00BC4D6F"/>
    <w:rsid w:val="00BC7972"/>
    <w:rsid w:val="00BD0095"/>
    <w:rsid w:val="00BD2CD7"/>
    <w:rsid w:val="00BD6EE1"/>
    <w:rsid w:val="00BD7B51"/>
    <w:rsid w:val="00BE617D"/>
    <w:rsid w:val="00BF1A98"/>
    <w:rsid w:val="00BF5A16"/>
    <w:rsid w:val="00BF6634"/>
    <w:rsid w:val="00BF7988"/>
    <w:rsid w:val="00C0032D"/>
    <w:rsid w:val="00C00905"/>
    <w:rsid w:val="00C01365"/>
    <w:rsid w:val="00C03613"/>
    <w:rsid w:val="00C03B70"/>
    <w:rsid w:val="00C04806"/>
    <w:rsid w:val="00C054A7"/>
    <w:rsid w:val="00C0595E"/>
    <w:rsid w:val="00C14ABA"/>
    <w:rsid w:val="00C16E5B"/>
    <w:rsid w:val="00C178D3"/>
    <w:rsid w:val="00C259E3"/>
    <w:rsid w:val="00C26B9C"/>
    <w:rsid w:val="00C27531"/>
    <w:rsid w:val="00C27A5F"/>
    <w:rsid w:val="00C30501"/>
    <w:rsid w:val="00C34A91"/>
    <w:rsid w:val="00C36F50"/>
    <w:rsid w:val="00C37751"/>
    <w:rsid w:val="00C40707"/>
    <w:rsid w:val="00C41328"/>
    <w:rsid w:val="00C4346D"/>
    <w:rsid w:val="00C44643"/>
    <w:rsid w:val="00C46411"/>
    <w:rsid w:val="00C46E2A"/>
    <w:rsid w:val="00C475FD"/>
    <w:rsid w:val="00C4787D"/>
    <w:rsid w:val="00C53C56"/>
    <w:rsid w:val="00C544CF"/>
    <w:rsid w:val="00C5518E"/>
    <w:rsid w:val="00C62974"/>
    <w:rsid w:val="00C631F3"/>
    <w:rsid w:val="00C63324"/>
    <w:rsid w:val="00C64849"/>
    <w:rsid w:val="00C652B2"/>
    <w:rsid w:val="00C658AF"/>
    <w:rsid w:val="00C70E2F"/>
    <w:rsid w:val="00C71ED1"/>
    <w:rsid w:val="00C73175"/>
    <w:rsid w:val="00C747A4"/>
    <w:rsid w:val="00C75EA2"/>
    <w:rsid w:val="00C81368"/>
    <w:rsid w:val="00C83293"/>
    <w:rsid w:val="00C90513"/>
    <w:rsid w:val="00C90552"/>
    <w:rsid w:val="00C90AAF"/>
    <w:rsid w:val="00C90C4C"/>
    <w:rsid w:val="00C90D2B"/>
    <w:rsid w:val="00C93403"/>
    <w:rsid w:val="00C94180"/>
    <w:rsid w:val="00C9444F"/>
    <w:rsid w:val="00C948DC"/>
    <w:rsid w:val="00CA293F"/>
    <w:rsid w:val="00CA5899"/>
    <w:rsid w:val="00CA6113"/>
    <w:rsid w:val="00CA6547"/>
    <w:rsid w:val="00CB04B5"/>
    <w:rsid w:val="00CB467B"/>
    <w:rsid w:val="00CC45A4"/>
    <w:rsid w:val="00CC49C9"/>
    <w:rsid w:val="00CC7667"/>
    <w:rsid w:val="00CC7AF2"/>
    <w:rsid w:val="00CD2A10"/>
    <w:rsid w:val="00CD3275"/>
    <w:rsid w:val="00CD6906"/>
    <w:rsid w:val="00CD73D6"/>
    <w:rsid w:val="00CD791B"/>
    <w:rsid w:val="00CD7C19"/>
    <w:rsid w:val="00CD7C8E"/>
    <w:rsid w:val="00CF094B"/>
    <w:rsid w:val="00CF4CC9"/>
    <w:rsid w:val="00CF63D9"/>
    <w:rsid w:val="00D01F23"/>
    <w:rsid w:val="00D02C3D"/>
    <w:rsid w:val="00D03BBF"/>
    <w:rsid w:val="00D042F3"/>
    <w:rsid w:val="00D05119"/>
    <w:rsid w:val="00D07188"/>
    <w:rsid w:val="00D11D3B"/>
    <w:rsid w:val="00D13B9B"/>
    <w:rsid w:val="00D147D7"/>
    <w:rsid w:val="00D150E4"/>
    <w:rsid w:val="00D208DE"/>
    <w:rsid w:val="00D21A38"/>
    <w:rsid w:val="00D224EB"/>
    <w:rsid w:val="00D2414C"/>
    <w:rsid w:val="00D27F5A"/>
    <w:rsid w:val="00D30662"/>
    <w:rsid w:val="00D30E8F"/>
    <w:rsid w:val="00D34E93"/>
    <w:rsid w:val="00D41400"/>
    <w:rsid w:val="00D41721"/>
    <w:rsid w:val="00D42983"/>
    <w:rsid w:val="00D42DC2"/>
    <w:rsid w:val="00D42FB9"/>
    <w:rsid w:val="00D43CA1"/>
    <w:rsid w:val="00D44694"/>
    <w:rsid w:val="00D4497E"/>
    <w:rsid w:val="00D47FC1"/>
    <w:rsid w:val="00D559BD"/>
    <w:rsid w:val="00D60E41"/>
    <w:rsid w:val="00D65004"/>
    <w:rsid w:val="00D724D5"/>
    <w:rsid w:val="00D76426"/>
    <w:rsid w:val="00D7747B"/>
    <w:rsid w:val="00D776A9"/>
    <w:rsid w:val="00D81423"/>
    <w:rsid w:val="00D84268"/>
    <w:rsid w:val="00D847EF"/>
    <w:rsid w:val="00D84C8A"/>
    <w:rsid w:val="00D87082"/>
    <w:rsid w:val="00D90665"/>
    <w:rsid w:val="00D90931"/>
    <w:rsid w:val="00D922B1"/>
    <w:rsid w:val="00D96564"/>
    <w:rsid w:val="00D96ECC"/>
    <w:rsid w:val="00DA25EF"/>
    <w:rsid w:val="00DA343E"/>
    <w:rsid w:val="00DA3B6E"/>
    <w:rsid w:val="00DA4975"/>
    <w:rsid w:val="00DB0EEA"/>
    <w:rsid w:val="00DB781E"/>
    <w:rsid w:val="00DB7C32"/>
    <w:rsid w:val="00DC3105"/>
    <w:rsid w:val="00DC3C24"/>
    <w:rsid w:val="00DD4763"/>
    <w:rsid w:val="00DD50B6"/>
    <w:rsid w:val="00DD6091"/>
    <w:rsid w:val="00DD7DE7"/>
    <w:rsid w:val="00DE11FD"/>
    <w:rsid w:val="00DE2B5D"/>
    <w:rsid w:val="00DE38EC"/>
    <w:rsid w:val="00DE6CFD"/>
    <w:rsid w:val="00DF0B61"/>
    <w:rsid w:val="00DF2B7E"/>
    <w:rsid w:val="00DF41B3"/>
    <w:rsid w:val="00E02FC4"/>
    <w:rsid w:val="00E06CF3"/>
    <w:rsid w:val="00E10096"/>
    <w:rsid w:val="00E12944"/>
    <w:rsid w:val="00E156C7"/>
    <w:rsid w:val="00E2084D"/>
    <w:rsid w:val="00E22101"/>
    <w:rsid w:val="00E23038"/>
    <w:rsid w:val="00E23E9C"/>
    <w:rsid w:val="00E31DF9"/>
    <w:rsid w:val="00E331C8"/>
    <w:rsid w:val="00E33999"/>
    <w:rsid w:val="00E33C4B"/>
    <w:rsid w:val="00E360B8"/>
    <w:rsid w:val="00E37033"/>
    <w:rsid w:val="00E40488"/>
    <w:rsid w:val="00E4280D"/>
    <w:rsid w:val="00E44FFA"/>
    <w:rsid w:val="00E52177"/>
    <w:rsid w:val="00E5281B"/>
    <w:rsid w:val="00E53C3D"/>
    <w:rsid w:val="00E542DC"/>
    <w:rsid w:val="00E54887"/>
    <w:rsid w:val="00E54BEF"/>
    <w:rsid w:val="00E576AD"/>
    <w:rsid w:val="00E60E46"/>
    <w:rsid w:val="00E66A55"/>
    <w:rsid w:val="00E71A1F"/>
    <w:rsid w:val="00E730C6"/>
    <w:rsid w:val="00E73ACF"/>
    <w:rsid w:val="00E77F09"/>
    <w:rsid w:val="00E82ABD"/>
    <w:rsid w:val="00E85EBB"/>
    <w:rsid w:val="00E864D6"/>
    <w:rsid w:val="00E86922"/>
    <w:rsid w:val="00E90B12"/>
    <w:rsid w:val="00E91251"/>
    <w:rsid w:val="00EA0461"/>
    <w:rsid w:val="00EA04D0"/>
    <w:rsid w:val="00EA2CA0"/>
    <w:rsid w:val="00EA65DD"/>
    <w:rsid w:val="00EA715D"/>
    <w:rsid w:val="00EA7406"/>
    <w:rsid w:val="00EB0C9C"/>
    <w:rsid w:val="00EB171D"/>
    <w:rsid w:val="00EB5C89"/>
    <w:rsid w:val="00EC0A78"/>
    <w:rsid w:val="00EC31E3"/>
    <w:rsid w:val="00EC4445"/>
    <w:rsid w:val="00EC4EC5"/>
    <w:rsid w:val="00EC4F8A"/>
    <w:rsid w:val="00EC786F"/>
    <w:rsid w:val="00ED011A"/>
    <w:rsid w:val="00ED0A96"/>
    <w:rsid w:val="00ED5049"/>
    <w:rsid w:val="00ED5DF0"/>
    <w:rsid w:val="00ED71BC"/>
    <w:rsid w:val="00EE14D5"/>
    <w:rsid w:val="00EE3FC0"/>
    <w:rsid w:val="00EE3FCA"/>
    <w:rsid w:val="00EE6AEB"/>
    <w:rsid w:val="00EF0765"/>
    <w:rsid w:val="00EF15EF"/>
    <w:rsid w:val="00EF15FF"/>
    <w:rsid w:val="00EF1643"/>
    <w:rsid w:val="00EF18F2"/>
    <w:rsid w:val="00EF1B81"/>
    <w:rsid w:val="00EF27D2"/>
    <w:rsid w:val="00EF3111"/>
    <w:rsid w:val="00EF66C2"/>
    <w:rsid w:val="00EF68AF"/>
    <w:rsid w:val="00EF6E15"/>
    <w:rsid w:val="00EF79D0"/>
    <w:rsid w:val="00F03096"/>
    <w:rsid w:val="00F044FB"/>
    <w:rsid w:val="00F05556"/>
    <w:rsid w:val="00F07FA7"/>
    <w:rsid w:val="00F10971"/>
    <w:rsid w:val="00F13126"/>
    <w:rsid w:val="00F1490D"/>
    <w:rsid w:val="00F16ECF"/>
    <w:rsid w:val="00F20E5C"/>
    <w:rsid w:val="00F24902"/>
    <w:rsid w:val="00F26844"/>
    <w:rsid w:val="00F31011"/>
    <w:rsid w:val="00F3156B"/>
    <w:rsid w:val="00F3385E"/>
    <w:rsid w:val="00F35342"/>
    <w:rsid w:val="00F3653C"/>
    <w:rsid w:val="00F403FD"/>
    <w:rsid w:val="00F411CE"/>
    <w:rsid w:val="00F416F2"/>
    <w:rsid w:val="00F43244"/>
    <w:rsid w:val="00F4436C"/>
    <w:rsid w:val="00F47706"/>
    <w:rsid w:val="00F517C8"/>
    <w:rsid w:val="00F51AF6"/>
    <w:rsid w:val="00F51D8D"/>
    <w:rsid w:val="00F57ADB"/>
    <w:rsid w:val="00F622ED"/>
    <w:rsid w:val="00F62FEF"/>
    <w:rsid w:val="00F63437"/>
    <w:rsid w:val="00F635D2"/>
    <w:rsid w:val="00F63FD2"/>
    <w:rsid w:val="00F770F2"/>
    <w:rsid w:val="00F77636"/>
    <w:rsid w:val="00F86480"/>
    <w:rsid w:val="00F93A0F"/>
    <w:rsid w:val="00F9673F"/>
    <w:rsid w:val="00F9709C"/>
    <w:rsid w:val="00F970DC"/>
    <w:rsid w:val="00FA08EB"/>
    <w:rsid w:val="00FA1D4D"/>
    <w:rsid w:val="00FA43AC"/>
    <w:rsid w:val="00FA50D8"/>
    <w:rsid w:val="00FB168E"/>
    <w:rsid w:val="00FB47E5"/>
    <w:rsid w:val="00FB6F8F"/>
    <w:rsid w:val="00FB7999"/>
    <w:rsid w:val="00FC0B9B"/>
    <w:rsid w:val="00FC36DA"/>
    <w:rsid w:val="00FD08BA"/>
    <w:rsid w:val="00FD0FE9"/>
    <w:rsid w:val="00FD1555"/>
    <w:rsid w:val="00FD27AA"/>
    <w:rsid w:val="00FD63E4"/>
    <w:rsid w:val="00FE2D15"/>
    <w:rsid w:val="00FE3E10"/>
    <w:rsid w:val="00FE42F2"/>
    <w:rsid w:val="00FE5A50"/>
    <w:rsid w:val="00FF0595"/>
    <w:rsid w:val="00FF0689"/>
    <w:rsid w:val="00FF238A"/>
    <w:rsid w:val="00FF2AB6"/>
    <w:rsid w:val="00FF33B7"/>
    <w:rsid w:val="00FF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B73B9"/>
  <w15:docId w15:val="{A766620C-62E2-4217-AFFF-C0E96DB4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5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566">
      <w:bodyDiv w:val="1"/>
      <w:marLeft w:val="0"/>
      <w:marRight w:val="0"/>
      <w:marTop w:val="0"/>
      <w:marBottom w:val="0"/>
      <w:divBdr>
        <w:top w:val="none" w:sz="0" w:space="0" w:color="auto"/>
        <w:left w:val="none" w:sz="0" w:space="0" w:color="auto"/>
        <w:bottom w:val="none" w:sz="0" w:space="0" w:color="auto"/>
        <w:right w:val="none" w:sz="0" w:space="0" w:color="auto"/>
      </w:divBdr>
    </w:div>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326597810">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561523850">
      <w:bodyDiv w:val="1"/>
      <w:marLeft w:val="0"/>
      <w:marRight w:val="0"/>
      <w:marTop w:val="0"/>
      <w:marBottom w:val="0"/>
      <w:divBdr>
        <w:top w:val="none" w:sz="0" w:space="0" w:color="auto"/>
        <w:left w:val="none" w:sz="0" w:space="0" w:color="auto"/>
        <w:bottom w:val="none" w:sz="0" w:space="0" w:color="auto"/>
        <w:right w:val="none" w:sz="0" w:space="0" w:color="auto"/>
      </w:divBdr>
    </w:div>
    <w:div w:id="703559702">
      <w:bodyDiv w:val="1"/>
      <w:marLeft w:val="0"/>
      <w:marRight w:val="0"/>
      <w:marTop w:val="0"/>
      <w:marBottom w:val="0"/>
      <w:divBdr>
        <w:top w:val="none" w:sz="0" w:space="0" w:color="auto"/>
        <w:left w:val="none" w:sz="0" w:space="0" w:color="auto"/>
        <w:bottom w:val="none" w:sz="0" w:space="0" w:color="auto"/>
        <w:right w:val="none" w:sz="0" w:space="0" w:color="auto"/>
      </w:divBdr>
    </w:div>
    <w:div w:id="747268524">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941886648">
      <w:bodyDiv w:val="1"/>
      <w:marLeft w:val="0"/>
      <w:marRight w:val="0"/>
      <w:marTop w:val="0"/>
      <w:marBottom w:val="0"/>
      <w:divBdr>
        <w:top w:val="none" w:sz="0" w:space="0" w:color="auto"/>
        <w:left w:val="none" w:sz="0" w:space="0" w:color="auto"/>
        <w:bottom w:val="none" w:sz="0" w:space="0" w:color="auto"/>
        <w:right w:val="none" w:sz="0" w:space="0" w:color="auto"/>
      </w:divBdr>
      <w:divsChild>
        <w:div w:id="942541281">
          <w:marLeft w:val="0"/>
          <w:marRight w:val="0"/>
          <w:marTop w:val="0"/>
          <w:marBottom w:val="0"/>
          <w:divBdr>
            <w:top w:val="none" w:sz="0" w:space="0" w:color="auto"/>
            <w:left w:val="none" w:sz="0" w:space="0" w:color="auto"/>
            <w:bottom w:val="none" w:sz="0" w:space="0" w:color="auto"/>
            <w:right w:val="none" w:sz="0" w:space="0" w:color="auto"/>
          </w:divBdr>
        </w:div>
        <w:div w:id="128279207">
          <w:marLeft w:val="0"/>
          <w:marRight w:val="0"/>
          <w:marTop w:val="0"/>
          <w:marBottom w:val="0"/>
          <w:divBdr>
            <w:top w:val="none" w:sz="0" w:space="0" w:color="auto"/>
            <w:left w:val="none" w:sz="0" w:space="0" w:color="auto"/>
            <w:bottom w:val="none" w:sz="0" w:space="0" w:color="auto"/>
            <w:right w:val="none" w:sz="0" w:space="0" w:color="auto"/>
          </w:divBdr>
        </w:div>
      </w:divsChild>
    </w:div>
    <w:div w:id="962272603">
      <w:bodyDiv w:val="1"/>
      <w:marLeft w:val="0"/>
      <w:marRight w:val="0"/>
      <w:marTop w:val="0"/>
      <w:marBottom w:val="0"/>
      <w:divBdr>
        <w:top w:val="none" w:sz="0" w:space="0" w:color="auto"/>
        <w:left w:val="none" w:sz="0" w:space="0" w:color="auto"/>
        <w:bottom w:val="none" w:sz="0" w:space="0" w:color="auto"/>
        <w:right w:val="none" w:sz="0" w:space="0" w:color="auto"/>
      </w:divBdr>
    </w:div>
    <w:div w:id="1004362206">
      <w:bodyDiv w:val="1"/>
      <w:marLeft w:val="0"/>
      <w:marRight w:val="0"/>
      <w:marTop w:val="0"/>
      <w:marBottom w:val="0"/>
      <w:divBdr>
        <w:top w:val="none" w:sz="0" w:space="0" w:color="auto"/>
        <w:left w:val="none" w:sz="0" w:space="0" w:color="auto"/>
        <w:bottom w:val="none" w:sz="0" w:space="0" w:color="auto"/>
        <w:right w:val="none" w:sz="0" w:space="0" w:color="auto"/>
      </w:divBdr>
    </w:div>
    <w:div w:id="1050542577">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235310647">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 w:id="1580212105">
      <w:bodyDiv w:val="1"/>
      <w:marLeft w:val="0"/>
      <w:marRight w:val="0"/>
      <w:marTop w:val="0"/>
      <w:marBottom w:val="0"/>
      <w:divBdr>
        <w:top w:val="none" w:sz="0" w:space="0" w:color="auto"/>
        <w:left w:val="none" w:sz="0" w:space="0" w:color="auto"/>
        <w:bottom w:val="none" w:sz="0" w:space="0" w:color="auto"/>
        <w:right w:val="none" w:sz="0" w:space="0" w:color="auto"/>
      </w:divBdr>
    </w:div>
    <w:div w:id="1648166377">
      <w:bodyDiv w:val="1"/>
      <w:marLeft w:val="0"/>
      <w:marRight w:val="0"/>
      <w:marTop w:val="0"/>
      <w:marBottom w:val="0"/>
      <w:divBdr>
        <w:top w:val="none" w:sz="0" w:space="0" w:color="auto"/>
        <w:left w:val="none" w:sz="0" w:space="0" w:color="auto"/>
        <w:bottom w:val="none" w:sz="0" w:space="0" w:color="auto"/>
        <w:right w:val="none" w:sz="0" w:space="0" w:color="auto"/>
      </w:divBdr>
    </w:div>
    <w:div w:id="1849557451">
      <w:bodyDiv w:val="1"/>
      <w:marLeft w:val="0"/>
      <w:marRight w:val="0"/>
      <w:marTop w:val="0"/>
      <w:marBottom w:val="0"/>
      <w:divBdr>
        <w:top w:val="none" w:sz="0" w:space="0" w:color="auto"/>
        <w:left w:val="none" w:sz="0" w:space="0" w:color="auto"/>
        <w:bottom w:val="none" w:sz="0" w:space="0" w:color="auto"/>
        <w:right w:val="none" w:sz="0" w:space="0" w:color="auto"/>
      </w:divBdr>
    </w:div>
    <w:div w:id="1924218162">
      <w:bodyDiv w:val="1"/>
      <w:marLeft w:val="0"/>
      <w:marRight w:val="0"/>
      <w:marTop w:val="0"/>
      <w:marBottom w:val="0"/>
      <w:divBdr>
        <w:top w:val="none" w:sz="0" w:space="0" w:color="auto"/>
        <w:left w:val="none" w:sz="0" w:space="0" w:color="auto"/>
        <w:bottom w:val="none" w:sz="0" w:space="0" w:color="auto"/>
        <w:right w:val="none" w:sz="0" w:space="0" w:color="auto"/>
      </w:divBdr>
    </w:div>
    <w:div w:id="19964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diagramQuickStyle" Target="diagrams/quickStyle1.xml"/><Relationship Id="rId39" Type="http://schemas.openxmlformats.org/officeDocument/2006/relationships/image" Target="media/image25.emf"/><Relationship Id="rId21" Type="http://schemas.openxmlformats.org/officeDocument/2006/relationships/image" Target="media/image12.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image" Target="media/image4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microsoft.com/office/2007/relationships/diagramDrawing" Target="diagrams/drawing1.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61" Type="http://schemas.openxmlformats.org/officeDocument/2006/relationships/image" Target="media/image47.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diagramColors" Target="diagrams/colors1.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Layout" Target="diagrams/layout1.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pt>
    <dgm:pt modelId="{A4EED092-1EEA-40BE-92ED-1B46A76053BC}" type="pres">
      <dgm:prSet presAssocID="{A3CE2C72-B2D8-4D08-AC7B-7C0BF559EB96}" presName="rootConnector1" presStyleLbl="node1" presStyleIdx="0" presStyleCnt="0"/>
      <dgm:spPr/>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pt>
    <dgm:pt modelId="{A6FB6F8D-B18E-4CF8-8809-706FFA13A816}" type="pres">
      <dgm:prSet presAssocID="{FA94DC61-C9A9-4F7F-94AF-979BFE529586}" presName="rootConnector" presStyleLbl="node2" presStyleIdx="0" presStyleCnt="1"/>
      <dgm:spPr/>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pt>
    <dgm:pt modelId="{E27E0511-8A6F-47BD-AF3F-7EAA4A572FD9}" type="pres">
      <dgm:prSet presAssocID="{735F8F9F-A9FE-4D9E-89F5-BCF707456D71}" presName="rootConnector" presStyleLbl="node3" presStyleIdx="0" presStyleCnt="1"/>
      <dgm:spPr/>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ABF3DC5C-473D-402C-AC89-85843149BF0E}" type="presOf" srcId="{FA94DC61-C9A9-4F7F-94AF-979BFE529586}" destId="{F658355D-4D57-41B2-9128-C874E0708ABA}" srcOrd="0"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4E2F8165-48E6-4138-86DE-9F7B7E5FD47E}" type="presOf" srcId="{A3CE2C72-B2D8-4D08-AC7B-7C0BF559EB96}" destId="{A4EED092-1EEA-40BE-92ED-1B46A76053BC}" srcOrd="1" destOrd="0" presId="urn:microsoft.com/office/officeart/2009/3/layout/HorizontalOrganizationChart"/>
    <dgm:cxn modelId="{9FE6FF70-1446-45FD-BAA6-CC1ED0CC9173}" type="presOf" srcId="{735F8F9F-A9FE-4D9E-89F5-BCF707456D71}" destId="{E27E0511-8A6F-47BD-AF3F-7EAA4A572FD9}"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FE6D6D90-B4A7-4A92-8B63-4B63DFADA3C7}" type="presOf" srcId="{E94DEE9B-8FFF-42AB-9DEA-87F05E8D78FC}" destId="{2A26CA57-DD3F-4786-88F9-3CAF87630586}" srcOrd="0" destOrd="0" presId="urn:microsoft.com/office/officeart/2009/3/layout/HorizontalOrganizationChart"/>
    <dgm:cxn modelId="{C3E2659E-38AB-435D-A1F7-34EC74FC0453}" type="presOf" srcId="{735F8F9F-A9FE-4D9E-89F5-BCF707456D71}" destId="{1533B9A4-99D2-4808-AA1C-98EF8EA75C4A}" srcOrd="0" destOrd="0" presId="urn:microsoft.com/office/officeart/2009/3/layout/HorizontalOrganizationChart"/>
    <dgm:cxn modelId="{CC8688D8-5704-4584-BF22-9350E83D0FBA}" type="presOf" srcId="{FA94DC61-C9A9-4F7F-94AF-979BFE529586}" destId="{A6FB6F8D-B18E-4CF8-8809-706FFA13A816}" srcOrd="1" destOrd="0" presId="urn:microsoft.com/office/officeart/2009/3/layout/HorizontalOrganizationChart"/>
    <dgm:cxn modelId="{A1C054D9-B843-4759-83C0-50F13ACF1A96}" type="presOf" srcId="{5BDC37A4-FE21-4C07-880B-354A59A9A3B4}" destId="{B1B96C90-4AA1-40D0-A564-47C5FDCD0D46}" srcOrd="0" destOrd="0" presId="urn:microsoft.com/office/officeart/2009/3/layout/HorizontalOrganizationChart"/>
    <dgm:cxn modelId="{33D97EDD-3146-4B81-9DCB-65B5B06DB6BF}" type="presOf" srcId="{A3CE2C72-B2D8-4D08-AC7B-7C0BF559EB96}" destId="{44C17BF4-55D8-46F9-A99D-6F46A1732CE4}"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003EE7E9-897B-4599-9BA2-4C373645C77C}" type="presOf" srcId="{A2A07032-8968-4165-954C-8A4320B9B4B7}" destId="{D7CD2BED-6CA8-4CEC-9F4A-7C40681AAE45}" srcOrd="0" destOrd="0" presId="urn:microsoft.com/office/officeart/2009/3/layout/HorizontalOrganizationChart"/>
    <dgm:cxn modelId="{1CDC00B1-F663-4B2E-8C11-E6B1156A80FE}" type="presParOf" srcId="{2A26CA57-DD3F-4786-88F9-3CAF87630586}" destId="{67736234-5679-40DF-9FFA-D7A4FBB60DF1}" srcOrd="0" destOrd="0" presId="urn:microsoft.com/office/officeart/2009/3/layout/HorizontalOrganizationChart"/>
    <dgm:cxn modelId="{E72FC633-25AF-480A-8D81-3FEB25CC6322}" type="presParOf" srcId="{67736234-5679-40DF-9FFA-D7A4FBB60DF1}" destId="{486E5479-7414-4797-B1BE-612793CAE0AD}" srcOrd="0" destOrd="0" presId="urn:microsoft.com/office/officeart/2009/3/layout/HorizontalOrganizationChart"/>
    <dgm:cxn modelId="{0DE006A9-DB62-4849-AA75-CFBD7B114B7F}" type="presParOf" srcId="{486E5479-7414-4797-B1BE-612793CAE0AD}" destId="{44C17BF4-55D8-46F9-A99D-6F46A1732CE4}" srcOrd="0" destOrd="0" presId="urn:microsoft.com/office/officeart/2009/3/layout/HorizontalOrganizationChart"/>
    <dgm:cxn modelId="{B8D43706-50CB-4030-B530-2E67DF94730E}" type="presParOf" srcId="{486E5479-7414-4797-B1BE-612793CAE0AD}" destId="{A4EED092-1EEA-40BE-92ED-1B46A76053BC}" srcOrd="1" destOrd="0" presId="urn:microsoft.com/office/officeart/2009/3/layout/HorizontalOrganizationChart"/>
    <dgm:cxn modelId="{F5A8BCE7-E11C-41C7-A9DE-554B6499C097}" type="presParOf" srcId="{67736234-5679-40DF-9FFA-D7A4FBB60DF1}" destId="{50983584-C770-47F0-BDF3-AD7719180504}" srcOrd="1" destOrd="0" presId="urn:microsoft.com/office/officeart/2009/3/layout/HorizontalOrganizationChart"/>
    <dgm:cxn modelId="{DBED17B4-B8AE-4382-AD36-D2F436F4F201}" type="presParOf" srcId="{50983584-C770-47F0-BDF3-AD7719180504}" destId="{D7CD2BED-6CA8-4CEC-9F4A-7C40681AAE45}" srcOrd="0" destOrd="0" presId="urn:microsoft.com/office/officeart/2009/3/layout/HorizontalOrganizationChart"/>
    <dgm:cxn modelId="{AE1C65B0-ED33-4048-8FE6-79F8F91ECDBB}" type="presParOf" srcId="{50983584-C770-47F0-BDF3-AD7719180504}" destId="{0B1BCAE5-3C7B-4168-B0FD-F771FD5F32DE}" srcOrd="1" destOrd="0" presId="urn:microsoft.com/office/officeart/2009/3/layout/HorizontalOrganizationChart"/>
    <dgm:cxn modelId="{D5901233-D32E-4333-96A3-1D80AA2E27F2}" type="presParOf" srcId="{0B1BCAE5-3C7B-4168-B0FD-F771FD5F32DE}" destId="{D9D545EF-BE80-4B67-BEBC-310386321A11}" srcOrd="0" destOrd="0" presId="urn:microsoft.com/office/officeart/2009/3/layout/HorizontalOrganizationChart"/>
    <dgm:cxn modelId="{AACACD71-2178-4DEA-8C19-B66FDF163434}" type="presParOf" srcId="{D9D545EF-BE80-4B67-BEBC-310386321A11}" destId="{F658355D-4D57-41B2-9128-C874E0708ABA}" srcOrd="0" destOrd="0" presId="urn:microsoft.com/office/officeart/2009/3/layout/HorizontalOrganizationChart"/>
    <dgm:cxn modelId="{15A09984-7BF5-4AFF-8B95-688A983CFC78}" type="presParOf" srcId="{D9D545EF-BE80-4B67-BEBC-310386321A11}" destId="{A6FB6F8D-B18E-4CF8-8809-706FFA13A816}" srcOrd="1" destOrd="0" presId="urn:microsoft.com/office/officeart/2009/3/layout/HorizontalOrganizationChart"/>
    <dgm:cxn modelId="{EF413F33-6FBF-4FB4-A3C5-D5C4F49E80F9}" type="presParOf" srcId="{0B1BCAE5-3C7B-4168-B0FD-F771FD5F32DE}" destId="{3D294F72-262C-4D47-A7AD-B81B018B35E1}" srcOrd="1" destOrd="0" presId="urn:microsoft.com/office/officeart/2009/3/layout/HorizontalOrganizationChart"/>
    <dgm:cxn modelId="{FE0764CE-B221-4B5A-9AAD-8385E1CFFD14}" type="presParOf" srcId="{3D294F72-262C-4D47-A7AD-B81B018B35E1}" destId="{B1B96C90-4AA1-40D0-A564-47C5FDCD0D46}" srcOrd="0" destOrd="0" presId="urn:microsoft.com/office/officeart/2009/3/layout/HorizontalOrganizationChart"/>
    <dgm:cxn modelId="{ADB29178-2EDA-49B0-B3DC-BC56B388DC09}" type="presParOf" srcId="{3D294F72-262C-4D47-A7AD-B81B018B35E1}" destId="{7F1CCF3A-36C7-4F13-BDA1-384EFF472901}" srcOrd="1" destOrd="0" presId="urn:microsoft.com/office/officeart/2009/3/layout/HorizontalOrganizationChart"/>
    <dgm:cxn modelId="{14B984A7-5CEB-4365-A61E-094B4BA3A227}" type="presParOf" srcId="{7F1CCF3A-36C7-4F13-BDA1-384EFF472901}" destId="{F9735CA3-48BE-4A3B-9B06-0270AD9A7A6B}" srcOrd="0" destOrd="0" presId="urn:microsoft.com/office/officeart/2009/3/layout/HorizontalOrganizationChart"/>
    <dgm:cxn modelId="{7A5C6673-CB28-43BD-875D-7F89D37ABD42}" type="presParOf" srcId="{F9735CA3-48BE-4A3B-9B06-0270AD9A7A6B}" destId="{1533B9A4-99D2-4808-AA1C-98EF8EA75C4A}" srcOrd="0" destOrd="0" presId="urn:microsoft.com/office/officeart/2009/3/layout/HorizontalOrganizationChart"/>
    <dgm:cxn modelId="{638135F2-3621-4159-8D2F-BB6D71E8074C}" type="presParOf" srcId="{F9735CA3-48BE-4A3B-9B06-0270AD9A7A6B}" destId="{E27E0511-8A6F-47BD-AF3F-7EAA4A572FD9}" srcOrd="1" destOrd="0" presId="urn:microsoft.com/office/officeart/2009/3/layout/HorizontalOrganizationChart"/>
    <dgm:cxn modelId="{55D5B75E-D49E-4BDB-BF3C-3D8E307FDBDC}" type="presParOf" srcId="{7F1CCF3A-36C7-4F13-BDA1-384EFF472901}" destId="{721F0D67-7C3B-4647-8DAA-573E6F068A7A}" srcOrd="1" destOrd="0" presId="urn:microsoft.com/office/officeart/2009/3/layout/HorizontalOrganizationChart"/>
    <dgm:cxn modelId="{166C042E-3782-4B49-93B6-4CF8564F105B}" type="presParOf" srcId="{7F1CCF3A-36C7-4F13-BDA1-384EFF472901}" destId="{E2566E86-48C4-44C5-8613-FD4CDE5C37F7}" srcOrd="2" destOrd="0" presId="urn:microsoft.com/office/officeart/2009/3/layout/HorizontalOrganizationChart"/>
    <dgm:cxn modelId="{B14CE28D-6773-447E-B312-EB978728239E}" type="presParOf" srcId="{0B1BCAE5-3C7B-4168-B0FD-F771FD5F32DE}" destId="{E32F9DA4-F0CE-4D7F-A893-1C8263B378F8}" srcOrd="2" destOrd="0" presId="urn:microsoft.com/office/officeart/2009/3/layout/HorizontalOrganizationChart"/>
    <dgm:cxn modelId="{34EB4530-F9A1-4D9A-9D0D-F4E1C2965D0C}"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7D4F-16A2-4316-BE7C-D246435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7599</Words>
  <Characters>41040</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 Goulart Morales</dc:creator>
  <cp:lastModifiedBy>ana luisa de moura hining</cp:lastModifiedBy>
  <cp:revision>2</cp:revision>
  <cp:lastPrinted>2020-01-24T18:45:00Z</cp:lastPrinted>
  <dcterms:created xsi:type="dcterms:W3CDTF">2021-07-30T19:41:00Z</dcterms:created>
  <dcterms:modified xsi:type="dcterms:W3CDTF">2021-07-30T19:41:00Z</dcterms:modified>
</cp:coreProperties>
</file>