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D1C8" w14:textId="77777777" w:rsidR="00794D27" w:rsidRPr="00847F30" w:rsidRDefault="00794D27" w:rsidP="00A14074">
      <w:pPr>
        <w:autoSpaceDE w:val="0"/>
        <w:autoSpaceDN w:val="0"/>
        <w:adjustRightInd w:val="0"/>
        <w:spacing w:after="0" w:line="240" w:lineRule="auto"/>
        <w:jc w:val="both"/>
        <w:rPr>
          <w:rFonts w:cstheme="minorHAnsi"/>
          <w:bCs/>
          <w:sz w:val="24"/>
          <w:szCs w:val="24"/>
        </w:rPr>
      </w:pPr>
    </w:p>
    <w:p w14:paraId="1E03B023" w14:textId="77777777" w:rsidR="0059344F" w:rsidRPr="00847F30" w:rsidRDefault="0059344F" w:rsidP="00A14074">
      <w:pPr>
        <w:autoSpaceDE w:val="0"/>
        <w:autoSpaceDN w:val="0"/>
        <w:adjustRightInd w:val="0"/>
        <w:spacing w:after="0" w:line="240" w:lineRule="auto"/>
        <w:jc w:val="both"/>
        <w:rPr>
          <w:rFonts w:cstheme="minorHAnsi"/>
          <w:bCs/>
          <w:sz w:val="24"/>
          <w:szCs w:val="24"/>
        </w:rPr>
      </w:pPr>
    </w:p>
    <w:p w14:paraId="0E88F753" w14:textId="77777777" w:rsidR="00E67355" w:rsidRPr="00847F30" w:rsidRDefault="00E67355" w:rsidP="00A14074">
      <w:pPr>
        <w:autoSpaceDE w:val="0"/>
        <w:autoSpaceDN w:val="0"/>
        <w:adjustRightInd w:val="0"/>
        <w:spacing w:after="0" w:line="240" w:lineRule="auto"/>
        <w:jc w:val="both"/>
        <w:rPr>
          <w:rFonts w:cstheme="minorHAnsi"/>
          <w:bCs/>
          <w:sz w:val="24"/>
          <w:szCs w:val="24"/>
        </w:rPr>
      </w:pPr>
    </w:p>
    <w:p w14:paraId="0D0DED59" w14:textId="613865A5" w:rsidR="00365937" w:rsidRDefault="00365937" w:rsidP="00365937">
      <w:pPr>
        <w:autoSpaceDE w:val="0"/>
        <w:autoSpaceDN w:val="0"/>
        <w:adjustRightInd w:val="0"/>
        <w:spacing w:after="0" w:line="240" w:lineRule="auto"/>
        <w:jc w:val="center"/>
        <w:rPr>
          <w:rFonts w:cstheme="minorHAnsi"/>
          <w:b/>
          <w:bCs/>
          <w:sz w:val="30"/>
          <w:szCs w:val="24"/>
        </w:rPr>
      </w:pPr>
      <w:r>
        <w:rPr>
          <w:rFonts w:cstheme="minorHAnsi"/>
          <w:b/>
          <w:bCs/>
          <w:sz w:val="30"/>
          <w:szCs w:val="24"/>
        </w:rPr>
        <w:t xml:space="preserve">LISTAS DE VERIFICAÇÃO PARA CONTRATAÇÃO DE SERVIÇOS DE ENGENHARIA </w:t>
      </w:r>
    </w:p>
    <w:p w14:paraId="7F6BF783" w14:textId="77777777" w:rsidR="00336AC1" w:rsidRPr="00847F30" w:rsidRDefault="00336AC1" w:rsidP="00A14074">
      <w:pPr>
        <w:autoSpaceDE w:val="0"/>
        <w:autoSpaceDN w:val="0"/>
        <w:adjustRightInd w:val="0"/>
        <w:spacing w:after="0" w:line="240" w:lineRule="auto"/>
        <w:jc w:val="both"/>
        <w:rPr>
          <w:rFonts w:cstheme="minorHAnsi"/>
          <w:bCs/>
          <w:sz w:val="24"/>
          <w:szCs w:val="24"/>
        </w:rPr>
      </w:pPr>
    </w:p>
    <w:p w14:paraId="6C0347BC" w14:textId="77777777" w:rsidR="00306217" w:rsidRPr="00847F30" w:rsidRDefault="00306217" w:rsidP="00A14074">
      <w:pPr>
        <w:autoSpaceDE w:val="0"/>
        <w:autoSpaceDN w:val="0"/>
        <w:adjustRightInd w:val="0"/>
        <w:spacing w:after="0" w:line="240" w:lineRule="auto"/>
        <w:jc w:val="both"/>
        <w:rPr>
          <w:rFonts w:cstheme="minorHAnsi"/>
          <w:bCs/>
          <w:sz w:val="24"/>
          <w:szCs w:val="24"/>
        </w:rPr>
      </w:pPr>
    </w:p>
    <w:p w14:paraId="28C72C48" w14:textId="77777777" w:rsidR="00680042" w:rsidRDefault="00680042" w:rsidP="00680042">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Obs.1: Na coluna “ESTADO” preencher apenas com as letras “S”, “N”, “N.A.”, sendo:</w:t>
      </w:r>
    </w:p>
    <w:p w14:paraId="7BFA7FEC" w14:textId="77777777" w:rsidR="00680042" w:rsidRDefault="00680042" w:rsidP="00680042">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S – SIM</w:t>
      </w:r>
    </w:p>
    <w:p w14:paraId="540A82A9" w14:textId="77777777" w:rsidR="00680042" w:rsidRDefault="00680042" w:rsidP="00680042">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 – NÃO</w:t>
      </w:r>
    </w:p>
    <w:p w14:paraId="32436609" w14:textId="77777777" w:rsidR="00680042" w:rsidRDefault="00680042" w:rsidP="00680042">
      <w:pPr>
        <w:autoSpaceDE w:val="0"/>
        <w:autoSpaceDN w:val="0"/>
        <w:adjustRightInd w:val="0"/>
        <w:spacing w:after="0" w:line="240" w:lineRule="auto"/>
        <w:jc w:val="both"/>
        <w:rPr>
          <w:rFonts w:cstheme="minorHAnsi"/>
          <w:bCs/>
          <w:color w:val="FF0000"/>
          <w:sz w:val="24"/>
          <w:szCs w:val="24"/>
        </w:rPr>
      </w:pPr>
      <w:r>
        <w:rPr>
          <w:rFonts w:cstheme="minorHAnsi"/>
          <w:bCs/>
          <w:color w:val="FF0000"/>
          <w:sz w:val="24"/>
          <w:szCs w:val="24"/>
        </w:rPr>
        <w:t>N.A.– NÃO SE APLICA</w:t>
      </w:r>
    </w:p>
    <w:p w14:paraId="5EAE3C89" w14:textId="77777777" w:rsidR="00680042" w:rsidRDefault="00680042" w:rsidP="00680042">
      <w:pPr>
        <w:autoSpaceDE w:val="0"/>
        <w:autoSpaceDN w:val="0"/>
        <w:adjustRightInd w:val="0"/>
        <w:spacing w:after="0" w:line="240" w:lineRule="auto"/>
        <w:jc w:val="both"/>
        <w:rPr>
          <w:rFonts w:cstheme="minorHAnsi"/>
          <w:bCs/>
          <w:color w:val="FF0000"/>
          <w:sz w:val="24"/>
          <w:szCs w:val="24"/>
        </w:rPr>
      </w:pPr>
    </w:p>
    <w:p w14:paraId="77C0DFF0" w14:textId="6091BE5E" w:rsidR="004E1935" w:rsidRDefault="00680042" w:rsidP="506BA2E0">
      <w:pPr>
        <w:autoSpaceDE w:val="0"/>
        <w:autoSpaceDN w:val="0"/>
        <w:adjustRightInd w:val="0"/>
        <w:spacing w:after="0" w:line="240" w:lineRule="auto"/>
        <w:jc w:val="both"/>
        <w:rPr>
          <w:color w:val="FF0000"/>
          <w:sz w:val="24"/>
          <w:szCs w:val="24"/>
        </w:rPr>
      </w:pPr>
      <w:r w:rsidRPr="0B365B07">
        <w:rPr>
          <w:color w:val="FF0000"/>
          <w:sz w:val="24"/>
          <w:szCs w:val="24"/>
        </w:rPr>
        <w:t>Obs.2: Na utilização da presente lista deverão ser analisadas e verificadas as consequências para cada negativa, se pode ser suprida por justificativas ou enquadramentos específicos ou se deve haver complementação da instrução.</w:t>
      </w:r>
    </w:p>
    <w:p w14:paraId="72FCFAD1" w14:textId="573543F5" w:rsidR="506BA2E0" w:rsidRDefault="506BA2E0" w:rsidP="506BA2E0">
      <w:pPr>
        <w:spacing w:after="0" w:line="240" w:lineRule="auto"/>
        <w:jc w:val="both"/>
        <w:rPr>
          <w:color w:val="FF0000"/>
          <w:sz w:val="24"/>
          <w:szCs w:val="24"/>
        </w:rPr>
      </w:pPr>
    </w:p>
    <w:p w14:paraId="3D5BF79E" w14:textId="0ADB19A2" w:rsidR="004E1935" w:rsidRDefault="004E1935" w:rsidP="506BA2E0">
      <w:pPr>
        <w:autoSpaceDE w:val="0"/>
        <w:autoSpaceDN w:val="0"/>
        <w:adjustRightInd w:val="0"/>
        <w:spacing w:after="0" w:line="240" w:lineRule="auto"/>
        <w:jc w:val="both"/>
        <w:rPr>
          <w:color w:val="FF0000"/>
          <w:sz w:val="24"/>
          <w:szCs w:val="24"/>
        </w:rPr>
      </w:pPr>
      <w:r w:rsidRPr="0B365B07">
        <w:rPr>
          <w:color w:val="FF0000"/>
          <w:sz w:val="24"/>
          <w:szCs w:val="24"/>
        </w:rPr>
        <w:t xml:space="preserve">Obs. </w:t>
      </w:r>
      <w:r w:rsidR="00780E6D" w:rsidRPr="0B365B07">
        <w:rPr>
          <w:color w:val="FF0000"/>
          <w:sz w:val="24"/>
          <w:szCs w:val="24"/>
        </w:rPr>
        <w:t>3</w:t>
      </w:r>
      <w:r w:rsidRPr="0B365B07">
        <w:rPr>
          <w:color w:val="FF0000"/>
          <w:sz w:val="24"/>
          <w:szCs w:val="24"/>
        </w:rPr>
        <w:t>: 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14:paraId="13B41253"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p w14:paraId="7E2FC5AD"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tbl>
      <w:tblPr>
        <w:tblStyle w:val="Tabelacomgrade"/>
        <w:tblW w:w="9634" w:type="dxa"/>
        <w:tblLayout w:type="fixed"/>
        <w:tblLook w:val="04A0" w:firstRow="1" w:lastRow="0" w:firstColumn="1" w:lastColumn="0" w:noHBand="0" w:noVBand="1"/>
      </w:tblPr>
      <w:tblGrid>
        <w:gridCol w:w="8500"/>
        <w:gridCol w:w="1134"/>
      </w:tblGrid>
      <w:tr w:rsidR="00786ACC" w:rsidRPr="00893E5F" w14:paraId="6AFC31D5" w14:textId="77777777" w:rsidTr="0B365B07">
        <w:tc>
          <w:tcPr>
            <w:tcW w:w="8500" w:type="dxa"/>
          </w:tcPr>
          <w:p w14:paraId="5727D8B4" w14:textId="4CC610E1" w:rsidR="00786ACC" w:rsidRPr="00D91F6A" w:rsidRDefault="00786ACC" w:rsidP="0B365B07">
            <w:pPr>
              <w:autoSpaceDE w:val="0"/>
              <w:autoSpaceDN w:val="0"/>
              <w:adjustRightInd w:val="0"/>
              <w:jc w:val="center"/>
              <w:rPr>
                <w:b/>
                <w:bCs/>
                <w:sz w:val="24"/>
                <w:szCs w:val="24"/>
              </w:rPr>
            </w:pPr>
            <w:r w:rsidRPr="0B365B07">
              <w:rPr>
                <w:b/>
                <w:bCs/>
                <w:sz w:val="24"/>
                <w:szCs w:val="24"/>
              </w:rPr>
              <w:t xml:space="preserve">VERIFICAÇÃO COMUM A TODAS AS CONTRATAÇÕES DE SERVIÇOS </w:t>
            </w:r>
            <w:r w:rsidR="00B43022" w:rsidRPr="0B365B07">
              <w:rPr>
                <w:b/>
                <w:bCs/>
                <w:sz w:val="24"/>
                <w:szCs w:val="24"/>
              </w:rPr>
              <w:t xml:space="preserve">DE ENGENHARIA </w:t>
            </w:r>
          </w:p>
        </w:tc>
        <w:tc>
          <w:tcPr>
            <w:tcW w:w="1134" w:type="dxa"/>
          </w:tcPr>
          <w:p w14:paraId="2EB14D7B" w14:textId="77777777" w:rsidR="00786ACC" w:rsidRPr="00893E5F" w:rsidRDefault="00786ACC" w:rsidP="00CB11E4">
            <w:pPr>
              <w:autoSpaceDE w:val="0"/>
              <w:autoSpaceDN w:val="0"/>
              <w:adjustRightInd w:val="0"/>
              <w:jc w:val="both"/>
              <w:rPr>
                <w:rFonts w:cstheme="minorHAnsi"/>
                <w:sz w:val="24"/>
                <w:szCs w:val="24"/>
              </w:rPr>
            </w:pPr>
            <w:r w:rsidRPr="00893E5F">
              <w:rPr>
                <w:rFonts w:cstheme="minorHAnsi"/>
                <w:sz w:val="24"/>
                <w:szCs w:val="24"/>
              </w:rPr>
              <w:t>ESTADO</w:t>
            </w:r>
          </w:p>
          <w:p w14:paraId="62F62439" w14:textId="77777777" w:rsidR="00786ACC" w:rsidRPr="00893E5F" w:rsidRDefault="00786ACC" w:rsidP="00CB11E4">
            <w:pPr>
              <w:autoSpaceDE w:val="0"/>
              <w:autoSpaceDN w:val="0"/>
              <w:adjustRightInd w:val="0"/>
              <w:jc w:val="both"/>
              <w:rPr>
                <w:rFonts w:cstheme="minorHAnsi"/>
                <w:sz w:val="24"/>
                <w:szCs w:val="24"/>
              </w:rPr>
            </w:pPr>
            <w:r w:rsidRPr="00893E5F">
              <w:rPr>
                <w:rFonts w:cstheme="minorHAnsi"/>
                <w:sz w:val="24"/>
                <w:szCs w:val="24"/>
              </w:rPr>
              <w:t>S/N/ N.A.</w:t>
            </w:r>
          </w:p>
        </w:tc>
      </w:tr>
      <w:tr w:rsidR="00786ACC" w:rsidRPr="00893E5F" w14:paraId="0DB71AAC" w14:textId="77777777" w:rsidTr="0B365B07">
        <w:tc>
          <w:tcPr>
            <w:tcW w:w="8500" w:type="dxa"/>
          </w:tcPr>
          <w:p w14:paraId="6810B3EF" w14:textId="590BC56A" w:rsidR="00786ACC" w:rsidRPr="006D270B" w:rsidRDefault="00786AC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Houve abertura de processo administrativo devidamente autuado e numerado, quando processo físico, ou registrado quando processo eletrônico, nos termos da ON-AGU nº 2/2009?</w:t>
            </w:r>
          </w:p>
          <w:p w14:paraId="63D3C5E4" w14:textId="77777777" w:rsidR="00786ACC" w:rsidRPr="006D270B" w:rsidRDefault="00786ACC" w:rsidP="006F20DF">
            <w:pPr>
              <w:autoSpaceDE w:val="0"/>
              <w:autoSpaceDN w:val="0"/>
              <w:adjustRightInd w:val="0"/>
              <w:jc w:val="both"/>
              <w:rPr>
                <w:rFonts w:cstheme="minorHAnsi"/>
                <w:sz w:val="24"/>
                <w:szCs w:val="24"/>
              </w:rPr>
            </w:pPr>
            <w:r w:rsidRPr="006D270B">
              <w:rPr>
                <w:rFonts w:cstheme="minorHAnsi"/>
                <w:color w:val="FF0000"/>
                <w:sz w:val="24"/>
                <w:szCs w:val="24"/>
              </w:rPr>
              <w:t>Obs.: Dispõe a ON-AGU 2/2009: “</w:t>
            </w:r>
            <w:r w:rsidRPr="006D270B">
              <w:rPr>
                <w:rFonts w:cstheme="minorHAnsi"/>
                <w:i/>
                <w:iCs/>
                <w:color w:val="FF0000"/>
                <w:sz w:val="24"/>
                <w:szCs w:val="24"/>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tc>
        <w:tc>
          <w:tcPr>
            <w:tcW w:w="1134" w:type="dxa"/>
          </w:tcPr>
          <w:p w14:paraId="4E5BB583"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17A99798" w14:textId="77777777" w:rsidTr="0B365B07">
        <w:tc>
          <w:tcPr>
            <w:tcW w:w="8500" w:type="dxa"/>
          </w:tcPr>
          <w:p w14:paraId="4486E61E" w14:textId="442B78DE" w:rsidR="00106C3E" w:rsidRPr="006D270B" w:rsidRDefault="00786AC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Consta o documento de formalização da demanda, elaborado pelo setor requisitante do serviço, nos termos do modelo do Anexo II, IN SEGES</w:t>
            </w:r>
            <w:r w:rsidR="00106C3E" w:rsidRPr="0B365B07">
              <w:rPr>
                <w:sz w:val="24"/>
                <w:szCs w:val="24"/>
              </w:rPr>
              <w:t>/MP</w:t>
            </w:r>
            <w:r w:rsidRPr="0B365B07">
              <w:rPr>
                <w:sz w:val="24"/>
                <w:szCs w:val="24"/>
              </w:rPr>
              <w:t xml:space="preserve"> </w:t>
            </w:r>
            <w:r w:rsidR="000D748B" w:rsidRPr="0B365B07">
              <w:rPr>
                <w:sz w:val="24"/>
                <w:szCs w:val="24"/>
              </w:rPr>
              <w:t xml:space="preserve">n.º </w:t>
            </w:r>
            <w:r w:rsidRPr="0B365B07">
              <w:rPr>
                <w:sz w:val="24"/>
                <w:szCs w:val="24"/>
              </w:rPr>
              <w:t>05/2017?</w:t>
            </w:r>
          </w:p>
        </w:tc>
        <w:tc>
          <w:tcPr>
            <w:tcW w:w="1134" w:type="dxa"/>
          </w:tcPr>
          <w:p w14:paraId="0636D821" w14:textId="77777777" w:rsidR="00786ACC" w:rsidRPr="00893E5F" w:rsidRDefault="00786ACC" w:rsidP="00CB11E4">
            <w:pPr>
              <w:autoSpaceDE w:val="0"/>
              <w:autoSpaceDN w:val="0"/>
              <w:adjustRightInd w:val="0"/>
              <w:jc w:val="both"/>
              <w:rPr>
                <w:rFonts w:cstheme="minorHAnsi"/>
                <w:sz w:val="24"/>
                <w:szCs w:val="24"/>
              </w:rPr>
            </w:pPr>
          </w:p>
        </w:tc>
      </w:tr>
      <w:tr w:rsidR="00786ACC" w:rsidRPr="00893E5F" w14:paraId="3D42D0DE" w14:textId="77777777" w:rsidTr="0B365B07">
        <w:tc>
          <w:tcPr>
            <w:tcW w:w="8500" w:type="dxa"/>
          </w:tcPr>
          <w:p w14:paraId="60294DC0" w14:textId="24E8CF2D" w:rsidR="00786ACC" w:rsidRPr="006D270B" w:rsidRDefault="00786AC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A contratação NÃO incide nas hipóteses vedadas pelo art. 9º da IN SEGES</w:t>
            </w:r>
            <w:r w:rsidR="00106C3E" w:rsidRPr="0B365B07">
              <w:rPr>
                <w:sz w:val="24"/>
                <w:szCs w:val="24"/>
              </w:rPr>
              <w:t>/MP</w:t>
            </w:r>
            <w:r w:rsidRPr="0B365B07">
              <w:rPr>
                <w:sz w:val="24"/>
                <w:szCs w:val="24"/>
              </w:rPr>
              <w:t xml:space="preserve"> </w:t>
            </w:r>
            <w:r w:rsidR="000D748B" w:rsidRPr="0B365B07">
              <w:rPr>
                <w:sz w:val="24"/>
                <w:szCs w:val="24"/>
              </w:rPr>
              <w:t xml:space="preserve">n.º </w:t>
            </w:r>
            <w:r w:rsidRPr="0B365B07">
              <w:rPr>
                <w:sz w:val="24"/>
                <w:szCs w:val="24"/>
              </w:rPr>
              <w:t>05/2017?</w:t>
            </w:r>
          </w:p>
        </w:tc>
        <w:tc>
          <w:tcPr>
            <w:tcW w:w="1134" w:type="dxa"/>
          </w:tcPr>
          <w:p w14:paraId="2B98B88C" w14:textId="77777777" w:rsidR="00786ACC" w:rsidRPr="00893E5F" w:rsidRDefault="00786ACC" w:rsidP="00CB11E4">
            <w:pPr>
              <w:autoSpaceDE w:val="0"/>
              <w:autoSpaceDN w:val="0"/>
              <w:adjustRightInd w:val="0"/>
              <w:jc w:val="both"/>
              <w:rPr>
                <w:rFonts w:cstheme="minorHAnsi"/>
                <w:sz w:val="24"/>
                <w:szCs w:val="24"/>
              </w:rPr>
            </w:pPr>
          </w:p>
        </w:tc>
      </w:tr>
      <w:tr w:rsidR="00B43022" w:rsidRPr="00893E5F" w14:paraId="1DAB81A3" w14:textId="77777777" w:rsidTr="0B365B07">
        <w:tc>
          <w:tcPr>
            <w:tcW w:w="8500" w:type="dxa"/>
          </w:tcPr>
          <w:p w14:paraId="0F24423D" w14:textId="072C86DE" w:rsidR="00B43022" w:rsidRPr="006D270B" w:rsidRDefault="00106C3E"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Há manifestação sobre o alinhamento do objeto da contratação ao Planejamento Estratégico do órgão ou entidade, quando houver? (Art. 7º, IX da IN SEGES/ME nº 40/2020 e Decreto n.º 9.203/2017)  </w:t>
            </w:r>
          </w:p>
        </w:tc>
        <w:tc>
          <w:tcPr>
            <w:tcW w:w="1134" w:type="dxa"/>
          </w:tcPr>
          <w:p w14:paraId="7D0DD96D"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3F23EBEF" w14:textId="77777777" w:rsidTr="0B365B07">
        <w:tc>
          <w:tcPr>
            <w:tcW w:w="8500" w:type="dxa"/>
          </w:tcPr>
          <w:p w14:paraId="19A1526E" w14:textId="4A0EA99C" w:rsidR="00B43022" w:rsidRPr="006D270B" w:rsidRDefault="00B4302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O objeto requisitado está contemplado no Plano Anual de Contratações, de acordo com a IN SEGES</w:t>
            </w:r>
            <w:r w:rsidR="00106C3E" w:rsidRPr="0B365B07">
              <w:rPr>
                <w:sz w:val="24"/>
                <w:szCs w:val="24"/>
              </w:rPr>
              <w:t>/MP</w:t>
            </w:r>
            <w:r w:rsidRPr="0B365B07">
              <w:rPr>
                <w:sz w:val="24"/>
                <w:szCs w:val="24"/>
              </w:rPr>
              <w:t xml:space="preserve"> nº 1/2019?</w:t>
            </w:r>
          </w:p>
        </w:tc>
        <w:tc>
          <w:tcPr>
            <w:tcW w:w="1134" w:type="dxa"/>
          </w:tcPr>
          <w:p w14:paraId="5CE3F53D"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77DFAFF6" w14:textId="77777777" w:rsidTr="0B365B07">
        <w:tc>
          <w:tcPr>
            <w:tcW w:w="8500" w:type="dxa"/>
          </w:tcPr>
          <w:p w14:paraId="5799009D" w14:textId="64367F23" w:rsidR="00B43022" w:rsidRPr="006D270B" w:rsidRDefault="00B4302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instituída Equipe de Planejamento da Contratação pela autoridade competente do setor de licitação? (art. 21, inc</w:t>
            </w:r>
            <w:r w:rsidR="00106C3E" w:rsidRPr="0B365B07">
              <w:rPr>
                <w:sz w:val="24"/>
                <w:szCs w:val="24"/>
              </w:rPr>
              <w:t>iso</w:t>
            </w:r>
            <w:r w:rsidRPr="0B365B07">
              <w:rPr>
                <w:sz w:val="24"/>
                <w:szCs w:val="24"/>
              </w:rPr>
              <w:t xml:space="preserve"> III, </w:t>
            </w:r>
            <w:r w:rsidR="00E14E09" w:rsidRPr="0B365B07">
              <w:rPr>
                <w:sz w:val="24"/>
                <w:szCs w:val="24"/>
              </w:rPr>
              <w:t>IN SEGES/MP n.º 05/2017</w:t>
            </w:r>
            <w:r w:rsidRPr="0B365B07">
              <w:rPr>
                <w:sz w:val="24"/>
                <w:szCs w:val="24"/>
              </w:rPr>
              <w:t>)</w:t>
            </w:r>
          </w:p>
        </w:tc>
        <w:tc>
          <w:tcPr>
            <w:tcW w:w="1134" w:type="dxa"/>
          </w:tcPr>
          <w:p w14:paraId="23B95BEE"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628C2161" w14:textId="77777777" w:rsidTr="0B365B07">
        <w:tc>
          <w:tcPr>
            <w:tcW w:w="8500" w:type="dxa"/>
          </w:tcPr>
          <w:p w14:paraId="5B6E7297" w14:textId="2DBEC5F2" w:rsidR="00B43022" w:rsidRPr="00233CD5" w:rsidRDefault="00B43022" w:rsidP="0B365B07">
            <w:pPr>
              <w:pStyle w:val="PargrafodaLista"/>
              <w:numPr>
                <w:ilvl w:val="0"/>
                <w:numId w:val="9"/>
              </w:numPr>
              <w:autoSpaceDE w:val="0"/>
              <w:autoSpaceDN w:val="0"/>
              <w:adjustRightInd w:val="0"/>
              <w:ind w:left="22" w:firstLine="0"/>
              <w:jc w:val="both"/>
              <w:rPr>
                <w:sz w:val="24"/>
                <w:szCs w:val="24"/>
              </w:rPr>
            </w:pPr>
            <w:r w:rsidRPr="00233CD5">
              <w:rPr>
                <w:sz w:val="24"/>
                <w:szCs w:val="24"/>
              </w:rPr>
              <w:t>Fo</w:t>
            </w:r>
            <w:r w:rsidR="003E79F4" w:rsidRPr="00233CD5">
              <w:rPr>
                <w:sz w:val="24"/>
                <w:szCs w:val="24"/>
              </w:rPr>
              <w:t>ram</w:t>
            </w:r>
            <w:r w:rsidRPr="00233CD5">
              <w:rPr>
                <w:sz w:val="24"/>
                <w:szCs w:val="24"/>
              </w:rPr>
              <w:t xml:space="preserve"> </w:t>
            </w:r>
            <w:r w:rsidR="00E82D49" w:rsidRPr="00233CD5">
              <w:rPr>
                <w:sz w:val="24"/>
                <w:szCs w:val="24"/>
              </w:rPr>
              <w:t xml:space="preserve">produzidos no Sistema ETP digital e </w:t>
            </w:r>
            <w:r w:rsidRPr="00233CD5">
              <w:rPr>
                <w:sz w:val="24"/>
                <w:szCs w:val="24"/>
              </w:rPr>
              <w:t>juntado</w:t>
            </w:r>
            <w:r w:rsidR="003E79F4" w:rsidRPr="00233CD5">
              <w:rPr>
                <w:sz w:val="24"/>
                <w:szCs w:val="24"/>
              </w:rPr>
              <w:t>s</w:t>
            </w:r>
            <w:r w:rsidRPr="00233CD5">
              <w:rPr>
                <w:sz w:val="24"/>
                <w:szCs w:val="24"/>
              </w:rPr>
              <w:t xml:space="preserve"> ao processo os </w:t>
            </w:r>
            <w:r w:rsidR="003E79F4" w:rsidRPr="00233CD5">
              <w:rPr>
                <w:sz w:val="24"/>
                <w:szCs w:val="24"/>
              </w:rPr>
              <w:t>Estudos Técnicos Preliminares - ETP</w:t>
            </w:r>
            <w:r w:rsidRPr="00233CD5">
              <w:rPr>
                <w:sz w:val="24"/>
                <w:szCs w:val="24"/>
              </w:rPr>
              <w:t>, conforme as diretrizes constantes da IN SEGES/M</w:t>
            </w:r>
            <w:r w:rsidR="003E79F4" w:rsidRPr="00233CD5">
              <w:rPr>
                <w:sz w:val="24"/>
                <w:szCs w:val="24"/>
              </w:rPr>
              <w:t>E</w:t>
            </w:r>
            <w:r w:rsidRPr="00233CD5">
              <w:rPr>
                <w:sz w:val="24"/>
                <w:szCs w:val="24"/>
              </w:rPr>
              <w:t xml:space="preserve"> nº 40/2020? (</w:t>
            </w:r>
            <w:proofErr w:type="spellStart"/>
            <w:r w:rsidRPr="00233CD5">
              <w:rPr>
                <w:sz w:val="24"/>
                <w:szCs w:val="24"/>
              </w:rPr>
              <w:t>art</w:t>
            </w:r>
            <w:r w:rsidR="003E79F4" w:rsidRPr="00233CD5">
              <w:rPr>
                <w:sz w:val="24"/>
                <w:szCs w:val="24"/>
              </w:rPr>
              <w:t>s</w:t>
            </w:r>
            <w:proofErr w:type="spellEnd"/>
            <w:r w:rsidRPr="00233CD5">
              <w:rPr>
                <w:sz w:val="24"/>
                <w:szCs w:val="24"/>
              </w:rPr>
              <w:t>. 20</w:t>
            </w:r>
            <w:r w:rsidR="003E79F4" w:rsidRPr="00233CD5">
              <w:rPr>
                <w:sz w:val="24"/>
                <w:szCs w:val="24"/>
              </w:rPr>
              <w:t xml:space="preserve"> e</w:t>
            </w:r>
            <w:r w:rsidRPr="00233CD5">
              <w:rPr>
                <w:sz w:val="24"/>
                <w:szCs w:val="24"/>
              </w:rPr>
              <w:t xml:space="preserve"> 24 da IN SEGES/MP nº </w:t>
            </w:r>
            <w:r w:rsidR="00E14E09" w:rsidRPr="00233CD5">
              <w:rPr>
                <w:sz w:val="24"/>
                <w:szCs w:val="24"/>
              </w:rPr>
              <w:t>0</w:t>
            </w:r>
            <w:r w:rsidRPr="00233CD5">
              <w:rPr>
                <w:sz w:val="24"/>
                <w:szCs w:val="24"/>
              </w:rPr>
              <w:t xml:space="preserve">5/2017 e IN SEGES/ME nº 40/2020) </w:t>
            </w:r>
          </w:p>
          <w:p w14:paraId="2107A44C" w14:textId="6ED1D9DA" w:rsidR="00B43022" w:rsidRPr="00233CD5" w:rsidRDefault="00B43022" w:rsidP="0B365B07">
            <w:pPr>
              <w:jc w:val="both"/>
              <w:rPr>
                <w:color w:val="FF0000"/>
                <w:sz w:val="24"/>
                <w:szCs w:val="24"/>
              </w:rPr>
            </w:pPr>
            <w:r w:rsidRPr="00233CD5">
              <w:rPr>
                <w:color w:val="FF0000"/>
                <w:sz w:val="24"/>
                <w:szCs w:val="24"/>
              </w:rPr>
              <w:t xml:space="preserve">Obs.1:  O art. 8º, </w:t>
            </w:r>
            <w:r w:rsidR="000D748B" w:rsidRPr="00233CD5">
              <w:rPr>
                <w:color w:val="FF0000"/>
                <w:sz w:val="24"/>
                <w:szCs w:val="24"/>
              </w:rPr>
              <w:t xml:space="preserve">inciso </w:t>
            </w:r>
            <w:r w:rsidRPr="00233CD5">
              <w:rPr>
                <w:color w:val="FF0000"/>
                <w:sz w:val="24"/>
                <w:szCs w:val="24"/>
              </w:rPr>
              <w:t>I</w:t>
            </w:r>
            <w:r w:rsidR="000D748B" w:rsidRPr="00233CD5">
              <w:rPr>
                <w:color w:val="FF0000"/>
                <w:sz w:val="24"/>
                <w:szCs w:val="24"/>
              </w:rPr>
              <w:t xml:space="preserve">, </w:t>
            </w:r>
            <w:r w:rsidRPr="00233CD5">
              <w:rPr>
                <w:color w:val="FF0000"/>
                <w:sz w:val="24"/>
                <w:szCs w:val="24"/>
              </w:rPr>
              <w:t>da IN SEGES/ME nº 40/2020</w:t>
            </w:r>
            <w:r w:rsidR="000D748B" w:rsidRPr="00233CD5">
              <w:rPr>
                <w:color w:val="FF0000"/>
                <w:sz w:val="24"/>
                <w:szCs w:val="24"/>
              </w:rPr>
              <w:t>,</w:t>
            </w:r>
            <w:r w:rsidRPr="00233CD5">
              <w:rPr>
                <w:color w:val="FF0000"/>
                <w:sz w:val="24"/>
                <w:szCs w:val="24"/>
              </w:rPr>
              <w:t xml:space="preserve"> estabelece que é facultada a elaboração dos Estudos </w:t>
            </w:r>
            <w:r w:rsidR="14E40FA2" w:rsidRPr="00233CD5">
              <w:rPr>
                <w:color w:val="FF0000"/>
                <w:sz w:val="24"/>
                <w:szCs w:val="24"/>
              </w:rPr>
              <w:t xml:space="preserve">Técnicos </w:t>
            </w:r>
            <w:r w:rsidRPr="00233CD5">
              <w:rPr>
                <w:color w:val="FF0000"/>
                <w:sz w:val="24"/>
                <w:szCs w:val="24"/>
              </w:rPr>
              <w:t xml:space="preserve">Preliminares nas hipóteses dos incisos I, II, III, IV e XI do art. 24 da Lei nº 8.666, de 21 de junho de 1993. </w:t>
            </w:r>
          </w:p>
        </w:tc>
        <w:tc>
          <w:tcPr>
            <w:tcW w:w="1134" w:type="dxa"/>
          </w:tcPr>
          <w:p w14:paraId="3D36C7B5"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2910CF6F" w14:textId="77777777" w:rsidTr="0B365B07">
        <w:tc>
          <w:tcPr>
            <w:tcW w:w="8500" w:type="dxa"/>
          </w:tcPr>
          <w:p w14:paraId="43B880D4" w14:textId="3C4E3848" w:rsidR="00B43022" w:rsidRPr="00233CD5" w:rsidRDefault="00B43022" w:rsidP="0B365B07">
            <w:pPr>
              <w:pStyle w:val="PargrafodaLista"/>
              <w:numPr>
                <w:ilvl w:val="1"/>
                <w:numId w:val="9"/>
              </w:numPr>
              <w:autoSpaceDE w:val="0"/>
              <w:autoSpaceDN w:val="0"/>
              <w:adjustRightInd w:val="0"/>
              <w:jc w:val="both"/>
              <w:rPr>
                <w:color w:val="00B050"/>
                <w:sz w:val="24"/>
                <w:szCs w:val="24"/>
              </w:rPr>
            </w:pPr>
            <w:r w:rsidRPr="00233CD5">
              <w:rPr>
                <w:sz w:val="24"/>
                <w:szCs w:val="24"/>
              </w:rPr>
              <w:lastRenderedPageBreak/>
              <w:t xml:space="preserve">Os </w:t>
            </w:r>
            <w:r w:rsidR="00E82D49" w:rsidRPr="00233CD5">
              <w:rPr>
                <w:sz w:val="24"/>
                <w:szCs w:val="24"/>
              </w:rPr>
              <w:t>Estudos Técnicos Preliminares</w:t>
            </w:r>
            <w:r w:rsidRPr="00233CD5">
              <w:rPr>
                <w:sz w:val="24"/>
                <w:szCs w:val="24"/>
              </w:rPr>
              <w:t xml:space="preserve"> desenvolvidos atenderam a todas as exigências do art. 7º da IN SEGES</w:t>
            </w:r>
            <w:r w:rsidR="000D748B" w:rsidRPr="00233CD5">
              <w:rPr>
                <w:sz w:val="24"/>
                <w:szCs w:val="24"/>
              </w:rPr>
              <w:t>/ME n.º</w:t>
            </w:r>
            <w:r w:rsidRPr="00233CD5">
              <w:rPr>
                <w:sz w:val="24"/>
                <w:szCs w:val="24"/>
              </w:rPr>
              <w:t xml:space="preserve"> 40/2020? </w:t>
            </w:r>
          </w:p>
        </w:tc>
        <w:tc>
          <w:tcPr>
            <w:tcW w:w="1134" w:type="dxa"/>
          </w:tcPr>
          <w:p w14:paraId="18331C63"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24CB9433" w14:textId="77777777" w:rsidTr="0B365B07">
        <w:tc>
          <w:tcPr>
            <w:tcW w:w="8500" w:type="dxa"/>
          </w:tcPr>
          <w:p w14:paraId="636354D3" w14:textId="6DFDAA0B" w:rsidR="00B43022" w:rsidRPr="00233CD5" w:rsidRDefault="00B43022" w:rsidP="0B365B07">
            <w:pPr>
              <w:pStyle w:val="PargrafodaLista"/>
              <w:numPr>
                <w:ilvl w:val="1"/>
                <w:numId w:val="9"/>
              </w:numPr>
              <w:autoSpaceDE w:val="0"/>
              <w:autoSpaceDN w:val="0"/>
              <w:adjustRightInd w:val="0"/>
              <w:jc w:val="both"/>
              <w:rPr>
                <w:sz w:val="24"/>
                <w:szCs w:val="24"/>
              </w:rPr>
            </w:pPr>
            <w:r w:rsidRPr="00233CD5">
              <w:rPr>
                <w:sz w:val="24"/>
                <w:szCs w:val="24"/>
              </w:rPr>
              <w:t xml:space="preserve">A não previsão, nos </w:t>
            </w:r>
            <w:r w:rsidR="000D748B" w:rsidRPr="00233CD5">
              <w:rPr>
                <w:sz w:val="24"/>
                <w:szCs w:val="24"/>
              </w:rPr>
              <w:t>Estudos Técnicos Preliminares</w:t>
            </w:r>
            <w:r w:rsidRPr="00233CD5">
              <w:rPr>
                <w:sz w:val="24"/>
                <w:szCs w:val="24"/>
              </w:rPr>
              <w:t>, de qualquer dos conteúdos do art. 7º da IN SEGES/ME nº 40/2020 foi devidamente justificada no próprio documento? (art. 7º, §2º, da IN SEGES/ME nº 40/2020)</w:t>
            </w:r>
          </w:p>
        </w:tc>
        <w:tc>
          <w:tcPr>
            <w:tcW w:w="1134" w:type="dxa"/>
          </w:tcPr>
          <w:p w14:paraId="21541A34" w14:textId="77777777" w:rsidR="00B43022" w:rsidRPr="005D7C16" w:rsidRDefault="00B43022" w:rsidP="00B43022">
            <w:pPr>
              <w:autoSpaceDE w:val="0"/>
              <w:autoSpaceDN w:val="0"/>
              <w:adjustRightInd w:val="0"/>
              <w:jc w:val="both"/>
              <w:rPr>
                <w:rFonts w:cstheme="minorHAnsi"/>
                <w:sz w:val="24"/>
                <w:szCs w:val="24"/>
              </w:rPr>
            </w:pPr>
          </w:p>
        </w:tc>
      </w:tr>
      <w:tr w:rsidR="00144493" w:rsidRPr="00893E5F" w14:paraId="1548327D" w14:textId="77777777" w:rsidTr="0B365B07">
        <w:tc>
          <w:tcPr>
            <w:tcW w:w="8500" w:type="dxa"/>
          </w:tcPr>
          <w:p w14:paraId="0673D8B3" w14:textId="55EBD775" w:rsidR="00144493" w:rsidRPr="00233CD5" w:rsidRDefault="00144493" w:rsidP="0B365B07">
            <w:pPr>
              <w:pStyle w:val="PargrafodaLista"/>
              <w:numPr>
                <w:ilvl w:val="1"/>
                <w:numId w:val="9"/>
              </w:numPr>
              <w:autoSpaceDE w:val="0"/>
              <w:autoSpaceDN w:val="0"/>
              <w:adjustRightInd w:val="0"/>
              <w:jc w:val="both"/>
              <w:rPr>
                <w:sz w:val="24"/>
                <w:szCs w:val="24"/>
              </w:rPr>
            </w:pPr>
            <w:r w:rsidRPr="0B365B07">
              <w:rPr>
                <w:rStyle w:val="eop"/>
                <w:sz w:val="24"/>
                <w:szCs w:val="24"/>
              </w:rPr>
              <w:t>Consta a aprovação do</w:t>
            </w:r>
            <w:r>
              <w:rPr>
                <w:rStyle w:val="eop"/>
                <w:sz w:val="24"/>
                <w:szCs w:val="24"/>
              </w:rPr>
              <w:t xml:space="preserve"> Estudo Técnico Preliminar </w:t>
            </w:r>
            <w:r w:rsidRPr="0B365B07">
              <w:rPr>
                <w:rStyle w:val="eop"/>
                <w:sz w:val="24"/>
                <w:szCs w:val="24"/>
              </w:rPr>
              <w:t>pela autoridade competente? (art. 14, inciso II, do Decreto n.º 10.024/19)</w:t>
            </w:r>
          </w:p>
        </w:tc>
        <w:tc>
          <w:tcPr>
            <w:tcW w:w="1134" w:type="dxa"/>
          </w:tcPr>
          <w:p w14:paraId="254CFB0F" w14:textId="77777777" w:rsidR="00144493" w:rsidRPr="005D7C16" w:rsidRDefault="00144493" w:rsidP="00B43022">
            <w:pPr>
              <w:autoSpaceDE w:val="0"/>
              <w:autoSpaceDN w:val="0"/>
              <w:adjustRightInd w:val="0"/>
              <w:jc w:val="both"/>
              <w:rPr>
                <w:rFonts w:cstheme="minorHAnsi"/>
                <w:sz w:val="24"/>
                <w:szCs w:val="24"/>
              </w:rPr>
            </w:pPr>
          </w:p>
        </w:tc>
      </w:tr>
      <w:tr w:rsidR="00B43022" w:rsidRPr="00893E5F" w14:paraId="2C86E5C0" w14:textId="77777777" w:rsidTr="0B365B07">
        <w:tc>
          <w:tcPr>
            <w:tcW w:w="8500" w:type="dxa"/>
          </w:tcPr>
          <w:p w14:paraId="3101419E" w14:textId="4B32D9CE" w:rsidR="00B43022" w:rsidRPr="006D270B" w:rsidRDefault="00B4302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elaborado e junt</w:t>
            </w:r>
            <w:r w:rsidR="00B15955" w:rsidRPr="0B365B07">
              <w:rPr>
                <w:sz w:val="24"/>
                <w:szCs w:val="24"/>
              </w:rPr>
              <w:t>ado</w:t>
            </w:r>
            <w:r w:rsidRPr="0B365B07">
              <w:rPr>
                <w:sz w:val="24"/>
                <w:szCs w:val="24"/>
              </w:rPr>
              <w:t xml:space="preserve"> aos autos o Mapa de Riscos previsto no art. 26, §1º, incisos I e II, de acordo com o modelo do </w:t>
            </w:r>
            <w:r w:rsidR="00B15955" w:rsidRPr="0B365B07">
              <w:rPr>
                <w:sz w:val="24"/>
                <w:szCs w:val="24"/>
              </w:rPr>
              <w:t>A</w:t>
            </w:r>
            <w:r w:rsidRPr="0B365B07">
              <w:rPr>
                <w:sz w:val="24"/>
                <w:szCs w:val="24"/>
              </w:rPr>
              <w:t>nexo IV da IN</w:t>
            </w:r>
            <w:r w:rsidR="00B15955" w:rsidRPr="0B365B07">
              <w:rPr>
                <w:sz w:val="24"/>
                <w:szCs w:val="24"/>
              </w:rPr>
              <w:t xml:space="preserve"> </w:t>
            </w:r>
            <w:r w:rsidRPr="0B365B07">
              <w:rPr>
                <w:sz w:val="24"/>
                <w:szCs w:val="24"/>
              </w:rPr>
              <w:t>SEGES</w:t>
            </w:r>
            <w:r w:rsidR="00B15955" w:rsidRPr="0B365B07">
              <w:rPr>
                <w:sz w:val="24"/>
                <w:szCs w:val="24"/>
              </w:rPr>
              <w:t xml:space="preserve">/MP n.º </w:t>
            </w:r>
            <w:r w:rsidRPr="0B365B07">
              <w:rPr>
                <w:sz w:val="24"/>
                <w:szCs w:val="24"/>
              </w:rPr>
              <w:t>5/2017? (</w:t>
            </w:r>
            <w:proofErr w:type="spellStart"/>
            <w:r w:rsidRPr="0B365B07">
              <w:rPr>
                <w:sz w:val="24"/>
                <w:szCs w:val="24"/>
              </w:rPr>
              <w:t>arts</w:t>
            </w:r>
            <w:proofErr w:type="spellEnd"/>
            <w:r w:rsidRPr="0B365B07">
              <w:rPr>
                <w:sz w:val="24"/>
                <w:szCs w:val="24"/>
              </w:rPr>
              <w:t>. 20 e 26 da IN</w:t>
            </w:r>
            <w:r w:rsidR="00B15955" w:rsidRPr="0B365B07">
              <w:rPr>
                <w:sz w:val="24"/>
                <w:szCs w:val="24"/>
              </w:rPr>
              <w:t xml:space="preserve"> </w:t>
            </w:r>
            <w:r w:rsidRPr="0B365B07">
              <w:rPr>
                <w:sz w:val="24"/>
                <w:szCs w:val="24"/>
              </w:rPr>
              <w:t>SEGES</w:t>
            </w:r>
            <w:r w:rsidR="00B15955" w:rsidRPr="0B365B07">
              <w:rPr>
                <w:sz w:val="24"/>
                <w:szCs w:val="24"/>
              </w:rPr>
              <w:t>/MP n.º</w:t>
            </w:r>
            <w:r w:rsidRPr="0B365B07">
              <w:rPr>
                <w:sz w:val="24"/>
                <w:szCs w:val="24"/>
              </w:rPr>
              <w:t xml:space="preserve"> </w:t>
            </w:r>
            <w:r w:rsidR="00E14E09" w:rsidRPr="0B365B07">
              <w:rPr>
                <w:sz w:val="24"/>
                <w:szCs w:val="24"/>
              </w:rPr>
              <w:t>0</w:t>
            </w:r>
            <w:r w:rsidRPr="0B365B07">
              <w:rPr>
                <w:sz w:val="24"/>
                <w:szCs w:val="24"/>
              </w:rPr>
              <w:t>5/2017)</w:t>
            </w:r>
          </w:p>
          <w:p w14:paraId="183F231E" w14:textId="7141C286" w:rsidR="00B43022" w:rsidRPr="006D270B" w:rsidRDefault="00B43022" w:rsidP="0B365B07">
            <w:pPr>
              <w:jc w:val="both"/>
              <w:rPr>
                <w:sz w:val="24"/>
                <w:szCs w:val="24"/>
              </w:rPr>
            </w:pPr>
            <w:r w:rsidRPr="0B365B07">
              <w:rPr>
                <w:color w:val="FF0000"/>
                <w:sz w:val="24"/>
                <w:szCs w:val="24"/>
              </w:rPr>
              <w:t>Obs.:  O §2º do artigo 20 da IN 05/2017 estabelece que ficam dispensadas</w:t>
            </w:r>
            <w:r w:rsidRPr="0B365B07">
              <w:rPr>
                <w:b/>
                <w:bCs/>
                <w:color w:val="FF0000"/>
                <w:sz w:val="24"/>
                <w:szCs w:val="24"/>
              </w:rPr>
              <w:t xml:space="preserve"> </w:t>
            </w:r>
            <w:r w:rsidRPr="0B365B07">
              <w:rPr>
                <w:color w:val="FF0000"/>
                <w:sz w:val="24"/>
                <w:szCs w:val="24"/>
              </w:rPr>
              <w:t xml:space="preserve">da elaboração do mapa de riscos, na fase de planejamento da contratação, as contratações de serviços cujos valores se enquadrem nos limites dos incisos I e II do art. 24 da Lei nº 8.666, de 1993. </w:t>
            </w:r>
          </w:p>
        </w:tc>
        <w:tc>
          <w:tcPr>
            <w:tcW w:w="1134" w:type="dxa"/>
          </w:tcPr>
          <w:p w14:paraId="4932EBC6"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50E1D790" w14:textId="77777777" w:rsidTr="0B365B07">
        <w:tc>
          <w:tcPr>
            <w:tcW w:w="8500" w:type="dxa"/>
          </w:tcPr>
          <w:p w14:paraId="4E28D0F7" w14:textId="2EFDE031" w:rsidR="00B43022" w:rsidRPr="006D270B" w:rsidRDefault="00B43022" w:rsidP="0B365B07">
            <w:pPr>
              <w:pStyle w:val="PargrafodaLista"/>
              <w:numPr>
                <w:ilvl w:val="1"/>
                <w:numId w:val="9"/>
              </w:numPr>
              <w:autoSpaceDE w:val="0"/>
              <w:autoSpaceDN w:val="0"/>
              <w:adjustRightInd w:val="0"/>
              <w:jc w:val="both"/>
              <w:rPr>
                <w:sz w:val="24"/>
                <w:szCs w:val="24"/>
              </w:rPr>
            </w:pPr>
            <w:r w:rsidRPr="0B365B07">
              <w:rPr>
                <w:rStyle w:val="eop"/>
                <w:sz w:val="24"/>
                <w:szCs w:val="24"/>
              </w:rPr>
              <w:t xml:space="preserve">O </w:t>
            </w:r>
            <w:r>
              <w:t>mapa</w:t>
            </w:r>
            <w:r w:rsidRPr="0B365B07">
              <w:rPr>
                <w:rStyle w:val="eop"/>
                <w:sz w:val="24"/>
                <w:szCs w:val="24"/>
              </w:rPr>
              <w:t xml:space="preserve"> confeccionado atende às exigências do art. 25 da </w:t>
            </w:r>
            <w:r w:rsidR="00755BF2" w:rsidRPr="0B365B07">
              <w:rPr>
                <w:sz w:val="24"/>
                <w:szCs w:val="24"/>
              </w:rPr>
              <w:t xml:space="preserve">IN SEGES/MP n.º </w:t>
            </w:r>
            <w:r w:rsidR="00E14E09" w:rsidRPr="0B365B07">
              <w:rPr>
                <w:sz w:val="24"/>
                <w:szCs w:val="24"/>
              </w:rPr>
              <w:t>0</w:t>
            </w:r>
            <w:r w:rsidR="00755BF2" w:rsidRPr="0B365B07">
              <w:rPr>
                <w:sz w:val="24"/>
                <w:szCs w:val="24"/>
              </w:rPr>
              <w:t>5/2017</w:t>
            </w:r>
            <w:r w:rsidRPr="0B365B07">
              <w:rPr>
                <w:rStyle w:val="eop"/>
                <w:sz w:val="24"/>
                <w:szCs w:val="24"/>
              </w:rPr>
              <w:t>?</w:t>
            </w:r>
          </w:p>
        </w:tc>
        <w:tc>
          <w:tcPr>
            <w:tcW w:w="1134" w:type="dxa"/>
          </w:tcPr>
          <w:p w14:paraId="0EE561E2"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4D765A69" w14:textId="77777777" w:rsidTr="0B365B07">
        <w:tc>
          <w:tcPr>
            <w:tcW w:w="8500" w:type="dxa"/>
          </w:tcPr>
          <w:p w14:paraId="03178FD3" w14:textId="2A095F41" w:rsidR="00B43022" w:rsidRPr="006D270B" w:rsidRDefault="00B43022" w:rsidP="0B365B07">
            <w:pPr>
              <w:pStyle w:val="PargrafodaLista"/>
              <w:numPr>
                <w:ilvl w:val="0"/>
                <w:numId w:val="9"/>
              </w:numPr>
              <w:autoSpaceDE w:val="0"/>
              <w:autoSpaceDN w:val="0"/>
              <w:adjustRightInd w:val="0"/>
              <w:ind w:left="22" w:firstLine="0"/>
              <w:jc w:val="both"/>
              <w:rPr>
                <w:rStyle w:val="eop"/>
                <w:sz w:val="24"/>
                <w:szCs w:val="24"/>
              </w:rPr>
            </w:pPr>
            <w:r w:rsidRPr="0B365B07">
              <w:rPr>
                <w:sz w:val="24"/>
                <w:szCs w:val="24"/>
              </w:rPr>
              <w:t xml:space="preserve">No caso de serviços </w:t>
            </w:r>
            <w:r w:rsidR="00755BF2" w:rsidRPr="0B365B07">
              <w:rPr>
                <w:sz w:val="24"/>
                <w:szCs w:val="24"/>
              </w:rPr>
              <w:t xml:space="preserve">de engenharia </w:t>
            </w:r>
            <w:r w:rsidRPr="0B365B07">
              <w:rPr>
                <w:sz w:val="24"/>
                <w:szCs w:val="24"/>
              </w:rPr>
              <w:t>com regime de dedicação exclusiva de mão de obra</w:t>
            </w:r>
            <w:r w:rsidR="005F4C66" w:rsidRPr="0B365B07">
              <w:rPr>
                <w:sz w:val="24"/>
                <w:szCs w:val="24"/>
              </w:rPr>
              <w:t>,</w:t>
            </w:r>
            <w:r w:rsidRPr="0B365B07">
              <w:rPr>
                <w:sz w:val="24"/>
                <w:szCs w:val="24"/>
              </w:rPr>
              <w:t xml:space="preserve"> foi contemplado, no mapa de riscos, o risco de descumprimento das obrigações trabalhistas, previdenciárias e com FGTS da contratada? (art. 18, §1º, </w:t>
            </w:r>
            <w:r w:rsidR="00755BF2" w:rsidRPr="0B365B07">
              <w:rPr>
                <w:sz w:val="24"/>
                <w:szCs w:val="24"/>
              </w:rPr>
              <w:t xml:space="preserve">IN SEGES/MP n.º </w:t>
            </w:r>
            <w:r w:rsidR="00E14E09" w:rsidRPr="0B365B07">
              <w:rPr>
                <w:sz w:val="24"/>
                <w:szCs w:val="24"/>
              </w:rPr>
              <w:t>0</w:t>
            </w:r>
            <w:r w:rsidR="00755BF2" w:rsidRPr="0B365B07">
              <w:rPr>
                <w:sz w:val="24"/>
                <w:szCs w:val="24"/>
              </w:rPr>
              <w:t>5/2017</w:t>
            </w:r>
            <w:r w:rsidRPr="0B365B07">
              <w:rPr>
                <w:sz w:val="24"/>
                <w:szCs w:val="24"/>
              </w:rPr>
              <w:t>)</w:t>
            </w:r>
          </w:p>
        </w:tc>
        <w:tc>
          <w:tcPr>
            <w:tcW w:w="1134" w:type="dxa"/>
          </w:tcPr>
          <w:p w14:paraId="39F54355"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6E0E0E3C" w14:textId="77777777" w:rsidTr="0B365B07">
        <w:tc>
          <w:tcPr>
            <w:tcW w:w="8500" w:type="dxa"/>
          </w:tcPr>
          <w:p w14:paraId="0C5ED138" w14:textId="05DCD123" w:rsidR="00B43022" w:rsidRPr="006D270B" w:rsidRDefault="00B43022" w:rsidP="0B365B07">
            <w:pPr>
              <w:pStyle w:val="PargrafodaLista"/>
              <w:numPr>
                <w:ilvl w:val="1"/>
                <w:numId w:val="9"/>
              </w:numPr>
              <w:autoSpaceDE w:val="0"/>
              <w:autoSpaceDN w:val="0"/>
              <w:adjustRightInd w:val="0"/>
              <w:jc w:val="both"/>
              <w:rPr>
                <w:rStyle w:val="eop"/>
                <w:sz w:val="24"/>
                <w:szCs w:val="24"/>
              </w:rPr>
            </w:pPr>
            <w:r w:rsidRPr="0B365B07">
              <w:rPr>
                <w:rStyle w:val="eop"/>
                <w:sz w:val="24"/>
                <w:szCs w:val="24"/>
              </w:rPr>
              <w:t xml:space="preserve">Optou-se por uma das formas de controle interno previstas no §1º do art. 18 da </w:t>
            </w:r>
            <w:r w:rsidR="00755BF2" w:rsidRPr="0B365B07">
              <w:rPr>
                <w:rStyle w:val="eop"/>
                <w:sz w:val="24"/>
                <w:szCs w:val="24"/>
              </w:rPr>
              <w:t xml:space="preserve">IN SEGES/MP n.º </w:t>
            </w:r>
            <w:r w:rsidR="00E14E09" w:rsidRPr="0B365B07">
              <w:rPr>
                <w:rStyle w:val="eop"/>
                <w:sz w:val="24"/>
                <w:szCs w:val="24"/>
              </w:rPr>
              <w:t>0</w:t>
            </w:r>
            <w:r w:rsidR="00755BF2" w:rsidRPr="0B365B07">
              <w:rPr>
                <w:rStyle w:val="eop"/>
                <w:sz w:val="24"/>
                <w:szCs w:val="24"/>
              </w:rPr>
              <w:t xml:space="preserve">5/2017 </w:t>
            </w:r>
            <w:r w:rsidRPr="0B365B07">
              <w:rPr>
                <w:rStyle w:val="eop"/>
                <w:sz w:val="24"/>
                <w:szCs w:val="24"/>
              </w:rPr>
              <w:t>(conta-depósito vinculada ou pagamento pelo fato gerador)?</w:t>
            </w:r>
          </w:p>
        </w:tc>
        <w:tc>
          <w:tcPr>
            <w:tcW w:w="1134" w:type="dxa"/>
          </w:tcPr>
          <w:p w14:paraId="2C8D190D"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49910A29" w14:textId="77777777" w:rsidTr="0B365B07">
        <w:tc>
          <w:tcPr>
            <w:tcW w:w="8500" w:type="dxa"/>
          </w:tcPr>
          <w:p w14:paraId="2E8E22CD" w14:textId="447876B5" w:rsidR="00B43022" w:rsidRPr="006D270B" w:rsidRDefault="005F4C66" w:rsidP="0B365B07">
            <w:pPr>
              <w:pStyle w:val="PargrafodaLista"/>
              <w:numPr>
                <w:ilvl w:val="1"/>
                <w:numId w:val="9"/>
              </w:numPr>
              <w:autoSpaceDE w:val="0"/>
              <w:autoSpaceDN w:val="0"/>
              <w:adjustRightInd w:val="0"/>
              <w:jc w:val="both"/>
              <w:rPr>
                <w:rStyle w:val="eop"/>
                <w:sz w:val="24"/>
                <w:szCs w:val="24"/>
              </w:rPr>
            </w:pPr>
            <w:r w:rsidRPr="0B365B07">
              <w:rPr>
                <w:rStyle w:val="eop"/>
                <w:sz w:val="24"/>
                <w:szCs w:val="24"/>
              </w:rPr>
              <w:t xml:space="preserve">Foi justificada </w:t>
            </w:r>
            <w:r w:rsidR="00B43022" w:rsidRPr="0B365B07">
              <w:rPr>
                <w:rStyle w:val="eop"/>
                <w:sz w:val="24"/>
                <w:szCs w:val="24"/>
              </w:rPr>
              <w:t>a opção na forma do §2º do mesmo art</w:t>
            </w:r>
            <w:r w:rsidRPr="0B365B07">
              <w:rPr>
                <w:rStyle w:val="eop"/>
                <w:sz w:val="24"/>
                <w:szCs w:val="24"/>
              </w:rPr>
              <w:t>.</w:t>
            </w:r>
            <w:r w:rsidR="00B43022" w:rsidRPr="0B365B07">
              <w:rPr>
                <w:rStyle w:val="eop"/>
                <w:sz w:val="24"/>
                <w:szCs w:val="24"/>
              </w:rPr>
              <w:t xml:space="preserve"> 18?</w:t>
            </w:r>
          </w:p>
        </w:tc>
        <w:tc>
          <w:tcPr>
            <w:tcW w:w="1134" w:type="dxa"/>
          </w:tcPr>
          <w:p w14:paraId="1DD9DA1B"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5450A9AC" w14:textId="77777777" w:rsidTr="0B365B07">
        <w:tc>
          <w:tcPr>
            <w:tcW w:w="8500" w:type="dxa"/>
          </w:tcPr>
          <w:p w14:paraId="42252204" w14:textId="671AA37D" w:rsidR="00B43022" w:rsidRPr="006D270B" w:rsidRDefault="00B43022" w:rsidP="0B365B07">
            <w:pPr>
              <w:pStyle w:val="PargrafodaLista"/>
              <w:numPr>
                <w:ilvl w:val="0"/>
                <w:numId w:val="9"/>
              </w:numPr>
              <w:autoSpaceDE w:val="0"/>
              <w:autoSpaceDN w:val="0"/>
              <w:adjustRightInd w:val="0"/>
              <w:ind w:left="22" w:firstLine="0"/>
              <w:jc w:val="both"/>
              <w:rPr>
                <w:rStyle w:val="eop"/>
                <w:sz w:val="24"/>
                <w:szCs w:val="24"/>
              </w:rPr>
            </w:pPr>
            <w:r w:rsidRPr="0B365B07">
              <w:rPr>
                <w:sz w:val="24"/>
                <w:szCs w:val="24"/>
              </w:rPr>
              <w:t>O Termo de Referência ou Projeto Básico elaborado pelo setor requisitante base</w:t>
            </w:r>
            <w:r w:rsidR="00416104" w:rsidRPr="0B365B07">
              <w:rPr>
                <w:sz w:val="24"/>
                <w:szCs w:val="24"/>
              </w:rPr>
              <w:t>aram</w:t>
            </w:r>
            <w:r w:rsidRPr="0B365B07">
              <w:rPr>
                <w:sz w:val="24"/>
                <w:szCs w:val="24"/>
              </w:rPr>
              <w:t xml:space="preserve">-se nos Estudos Técnicos Preliminares, </w:t>
            </w:r>
            <w:r w:rsidR="00416104" w:rsidRPr="0B365B07">
              <w:rPr>
                <w:sz w:val="24"/>
                <w:szCs w:val="24"/>
              </w:rPr>
              <w:t xml:space="preserve">no </w:t>
            </w:r>
            <w:r w:rsidRPr="0B365B07">
              <w:rPr>
                <w:sz w:val="24"/>
                <w:szCs w:val="24"/>
              </w:rPr>
              <w:t xml:space="preserve">Gerenciamento de Riscos e </w:t>
            </w:r>
            <w:r w:rsidR="00416104" w:rsidRPr="0B365B07">
              <w:rPr>
                <w:sz w:val="24"/>
                <w:szCs w:val="24"/>
              </w:rPr>
              <w:t>nas d</w:t>
            </w:r>
            <w:r w:rsidRPr="0B365B07">
              <w:rPr>
                <w:sz w:val="24"/>
                <w:szCs w:val="24"/>
              </w:rPr>
              <w:t xml:space="preserve">iretrizes constantes do Anexo V, da </w:t>
            </w:r>
            <w:r w:rsidR="00755BF2" w:rsidRPr="0B365B07">
              <w:rPr>
                <w:sz w:val="24"/>
                <w:szCs w:val="24"/>
              </w:rPr>
              <w:t xml:space="preserve">IN SEGES/MP n.º </w:t>
            </w:r>
            <w:r w:rsidR="00E14E09" w:rsidRPr="0B365B07">
              <w:rPr>
                <w:sz w:val="24"/>
                <w:szCs w:val="24"/>
              </w:rPr>
              <w:t>0</w:t>
            </w:r>
            <w:r w:rsidR="00755BF2" w:rsidRPr="0B365B07">
              <w:rPr>
                <w:sz w:val="24"/>
                <w:szCs w:val="24"/>
              </w:rPr>
              <w:t>5/2017</w:t>
            </w:r>
            <w:r w:rsidRPr="0B365B07">
              <w:rPr>
                <w:sz w:val="24"/>
                <w:szCs w:val="24"/>
              </w:rPr>
              <w:t xml:space="preserve">? </w:t>
            </w:r>
            <w:r w:rsidRPr="0B365B07">
              <w:rPr>
                <w:sz w:val="24"/>
                <w:szCs w:val="24"/>
                <w:lang w:val="en-US"/>
              </w:rPr>
              <w:t xml:space="preserve">(art. 3º, XI do </w:t>
            </w:r>
            <w:proofErr w:type="spellStart"/>
            <w:r w:rsidRPr="0B365B07">
              <w:rPr>
                <w:sz w:val="24"/>
                <w:szCs w:val="24"/>
                <w:lang w:val="en-US"/>
              </w:rPr>
              <w:t>Decreto</w:t>
            </w:r>
            <w:proofErr w:type="spellEnd"/>
            <w:r w:rsidRPr="0B365B07">
              <w:rPr>
                <w:sz w:val="24"/>
                <w:szCs w:val="24"/>
                <w:lang w:val="en-US"/>
              </w:rPr>
              <w:t xml:space="preserve"> 10.024/19, art. 27 e 28, §2º, </w:t>
            </w:r>
            <w:r w:rsidR="00755BF2" w:rsidRPr="0B365B07">
              <w:rPr>
                <w:sz w:val="24"/>
                <w:szCs w:val="24"/>
              </w:rPr>
              <w:t xml:space="preserve">IN SEGES/MP </w:t>
            </w:r>
            <w:proofErr w:type="gramStart"/>
            <w:r w:rsidR="00755BF2" w:rsidRPr="0B365B07">
              <w:rPr>
                <w:sz w:val="24"/>
                <w:szCs w:val="24"/>
              </w:rPr>
              <w:t>n.º</w:t>
            </w:r>
            <w:proofErr w:type="gramEnd"/>
            <w:r w:rsidR="00755BF2" w:rsidRPr="0B365B07">
              <w:rPr>
                <w:sz w:val="24"/>
                <w:szCs w:val="24"/>
              </w:rPr>
              <w:t xml:space="preserve"> </w:t>
            </w:r>
            <w:r w:rsidR="00E14E09" w:rsidRPr="0B365B07">
              <w:rPr>
                <w:sz w:val="24"/>
                <w:szCs w:val="24"/>
              </w:rPr>
              <w:t>0</w:t>
            </w:r>
            <w:r w:rsidR="00755BF2" w:rsidRPr="0B365B07">
              <w:rPr>
                <w:sz w:val="24"/>
                <w:szCs w:val="24"/>
              </w:rPr>
              <w:t>5/2017</w:t>
            </w:r>
            <w:r w:rsidRPr="0B365B07">
              <w:rPr>
                <w:sz w:val="24"/>
                <w:szCs w:val="24"/>
                <w:lang w:val="en-US"/>
              </w:rPr>
              <w:t>)</w:t>
            </w:r>
          </w:p>
        </w:tc>
        <w:tc>
          <w:tcPr>
            <w:tcW w:w="1134" w:type="dxa"/>
          </w:tcPr>
          <w:p w14:paraId="2596DC6E"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68B0A3C5" w14:textId="77777777" w:rsidTr="0B365B07">
        <w:tc>
          <w:tcPr>
            <w:tcW w:w="8500" w:type="dxa"/>
          </w:tcPr>
          <w:p w14:paraId="358A1F06" w14:textId="008C7F38" w:rsidR="00B43022" w:rsidRPr="006D270B" w:rsidRDefault="00B43022" w:rsidP="0B365B07">
            <w:pPr>
              <w:pStyle w:val="PargrafodaLista"/>
              <w:numPr>
                <w:ilvl w:val="1"/>
                <w:numId w:val="9"/>
              </w:numPr>
              <w:autoSpaceDE w:val="0"/>
              <w:autoSpaceDN w:val="0"/>
              <w:adjustRightInd w:val="0"/>
              <w:ind w:left="1014" w:hanging="654"/>
              <w:jc w:val="both"/>
              <w:rPr>
                <w:rStyle w:val="eop"/>
                <w:sz w:val="24"/>
                <w:szCs w:val="24"/>
              </w:rPr>
            </w:pPr>
            <w:r w:rsidRPr="0B365B07">
              <w:rPr>
                <w:sz w:val="24"/>
                <w:szCs w:val="24"/>
              </w:rPr>
              <w:t>Fo</w:t>
            </w:r>
            <w:r w:rsidR="000B751D" w:rsidRPr="0B365B07">
              <w:rPr>
                <w:sz w:val="24"/>
                <w:szCs w:val="24"/>
              </w:rPr>
              <w:t>i</w:t>
            </w:r>
            <w:r w:rsidRPr="0B365B07">
              <w:rPr>
                <w:sz w:val="24"/>
                <w:szCs w:val="24"/>
              </w:rPr>
              <w:t xml:space="preserve"> utilizado o modelo de minuta padronizada de Termo de Referência </w:t>
            </w:r>
            <w:r w:rsidR="00ED78C6" w:rsidRPr="0B365B07">
              <w:rPr>
                <w:sz w:val="24"/>
                <w:szCs w:val="24"/>
              </w:rPr>
              <w:t xml:space="preserve">ou Projeto Básico </w:t>
            </w:r>
            <w:r w:rsidRPr="0B365B07">
              <w:rPr>
                <w:sz w:val="24"/>
                <w:szCs w:val="24"/>
              </w:rPr>
              <w:t xml:space="preserve">da Advocacia-Geral da União, </w:t>
            </w:r>
            <w:r w:rsidRPr="0B365B07">
              <w:rPr>
                <w:rStyle w:val="eop"/>
              </w:rPr>
              <w:t>observadas</w:t>
            </w:r>
            <w:r w:rsidRPr="0B365B07">
              <w:rPr>
                <w:sz w:val="24"/>
                <w:szCs w:val="24"/>
              </w:rPr>
              <w:t xml:space="preserve"> as diretrizes dispostas no Anexo V da </w:t>
            </w:r>
            <w:r w:rsidR="00755BF2" w:rsidRPr="0B365B07">
              <w:rPr>
                <w:sz w:val="24"/>
                <w:szCs w:val="24"/>
              </w:rPr>
              <w:t xml:space="preserve">IN SEGES/MP n.º </w:t>
            </w:r>
            <w:r w:rsidR="00E14E09" w:rsidRPr="0B365B07">
              <w:rPr>
                <w:sz w:val="24"/>
                <w:szCs w:val="24"/>
              </w:rPr>
              <w:t>0</w:t>
            </w:r>
            <w:r w:rsidR="00755BF2" w:rsidRPr="0B365B07">
              <w:rPr>
                <w:sz w:val="24"/>
                <w:szCs w:val="24"/>
              </w:rPr>
              <w:t>5/2017</w:t>
            </w:r>
            <w:r w:rsidRPr="0B365B07">
              <w:rPr>
                <w:sz w:val="24"/>
                <w:szCs w:val="24"/>
                <w:lang w:val="en-US"/>
              </w:rPr>
              <w:t xml:space="preserve">? </w:t>
            </w:r>
            <w:r w:rsidR="006A12B6" w:rsidRPr="0B365B07">
              <w:rPr>
                <w:sz w:val="24"/>
                <w:szCs w:val="24"/>
                <w:lang w:val="en-US"/>
              </w:rPr>
              <w:t xml:space="preserve">(Art. 29 da IN SEGES/MP </w:t>
            </w:r>
            <w:proofErr w:type="gramStart"/>
            <w:r w:rsidR="006A12B6" w:rsidRPr="0B365B07">
              <w:rPr>
                <w:sz w:val="24"/>
                <w:szCs w:val="24"/>
                <w:lang w:val="en-US"/>
              </w:rPr>
              <w:t>n.º</w:t>
            </w:r>
            <w:proofErr w:type="gramEnd"/>
            <w:r w:rsidR="006A12B6" w:rsidRPr="0B365B07">
              <w:rPr>
                <w:sz w:val="24"/>
                <w:szCs w:val="24"/>
                <w:lang w:val="en-US"/>
              </w:rPr>
              <w:t xml:space="preserve"> 05/2017)</w:t>
            </w:r>
          </w:p>
        </w:tc>
        <w:tc>
          <w:tcPr>
            <w:tcW w:w="1134" w:type="dxa"/>
          </w:tcPr>
          <w:p w14:paraId="0ED50678"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0D11452C" w14:textId="77777777" w:rsidTr="0B365B07">
        <w:tc>
          <w:tcPr>
            <w:tcW w:w="8500" w:type="dxa"/>
          </w:tcPr>
          <w:p w14:paraId="19A90A48" w14:textId="3A535337" w:rsidR="00B43022" w:rsidRPr="006D270B" w:rsidRDefault="003228F6"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Foram </w:t>
            </w:r>
            <w:r w:rsidRPr="0B365B07">
              <w:rPr>
                <w:rStyle w:val="eop"/>
              </w:rPr>
              <w:t>justificadas</w:t>
            </w:r>
            <w:r w:rsidRPr="0B365B07">
              <w:rPr>
                <w:sz w:val="24"/>
                <w:szCs w:val="24"/>
              </w:rPr>
              <w:t xml:space="preserve"> e destacadas visualmente, no processo, eventuais alterações ou não utilização do modelo da AGU?</w:t>
            </w:r>
          </w:p>
        </w:tc>
        <w:tc>
          <w:tcPr>
            <w:tcW w:w="1134" w:type="dxa"/>
          </w:tcPr>
          <w:p w14:paraId="04FC2D46"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2EC45167" w14:textId="77777777" w:rsidTr="0B365B07">
        <w:tc>
          <w:tcPr>
            <w:tcW w:w="8500" w:type="dxa"/>
          </w:tcPr>
          <w:p w14:paraId="3086B3B3" w14:textId="37A93B9A" w:rsidR="00B43022" w:rsidRPr="006D270B" w:rsidRDefault="00B43022" w:rsidP="0B365B07">
            <w:pPr>
              <w:pStyle w:val="PargrafodaLista"/>
              <w:numPr>
                <w:ilvl w:val="1"/>
                <w:numId w:val="9"/>
              </w:numPr>
              <w:autoSpaceDE w:val="0"/>
              <w:autoSpaceDN w:val="0"/>
              <w:adjustRightInd w:val="0"/>
              <w:ind w:left="1014" w:hanging="654"/>
              <w:jc w:val="both"/>
              <w:rPr>
                <w:rStyle w:val="eop"/>
                <w:sz w:val="24"/>
                <w:szCs w:val="24"/>
              </w:rPr>
            </w:pPr>
            <w:r w:rsidRPr="0B365B07">
              <w:rPr>
                <w:rStyle w:val="eop"/>
                <w:sz w:val="24"/>
                <w:szCs w:val="24"/>
              </w:rPr>
              <w:t>Houv</w:t>
            </w:r>
            <w:r w:rsidR="004A3BC0" w:rsidRPr="0B365B07">
              <w:rPr>
                <w:rStyle w:val="eop"/>
                <w:sz w:val="24"/>
                <w:szCs w:val="24"/>
              </w:rPr>
              <w:t xml:space="preserve">e manifestação acerca da adoção de práticas e/ou critérios de sustentabilidade </w:t>
            </w:r>
            <w:r w:rsidR="004A3BC0" w:rsidRPr="0B365B07">
              <w:rPr>
                <w:rStyle w:val="eop"/>
              </w:rPr>
              <w:t>economicamente</w:t>
            </w:r>
            <w:r w:rsidR="004A3BC0" w:rsidRPr="0B365B07">
              <w:rPr>
                <w:rStyle w:val="eop"/>
                <w:sz w:val="24"/>
                <w:szCs w:val="24"/>
              </w:rPr>
              <w:t xml:space="preserve"> viáveis na contratação</w:t>
            </w:r>
            <w:r w:rsidR="007E3D05" w:rsidRPr="0B365B07">
              <w:rPr>
                <w:rStyle w:val="eop"/>
                <w:sz w:val="24"/>
                <w:szCs w:val="24"/>
              </w:rPr>
              <w:t xml:space="preserve">, </w:t>
            </w:r>
            <w:r w:rsidR="008E460F" w:rsidRPr="0B365B07">
              <w:rPr>
                <w:rStyle w:val="eop"/>
                <w:sz w:val="24"/>
                <w:szCs w:val="24"/>
              </w:rPr>
              <w:t xml:space="preserve">mediante </w:t>
            </w:r>
            <w:r w:rsidRPr="0B365B07">
              <w:rPr>
                <w:rStyle w:val="eop"/>
                <w:sz w:val="24"/>
                <w:szCs w:val="24"/>
              </w:rPr>
              <w:t xml:space="preserve">consulta ao “Guia Nacional de </w:t>
            </w:r>
            <w:r w:rsidR="0023419E" w:rsidRPr="0B365B07">
              <w:rPr>
                <w:rStyle w:val="eop"/>
                <w:sz w:val="24"/>
                <w:szCs w:val="24"/>
              </w:rPr>
              <w:t xml:space="preserve">Contratações </w:t>
            </w:r>
            <w:r w:rsidRPr="0B365B07">
              <w:rPr>
                <w:rStyle w:val="eop"/>
                <w:sz w:val="24"/>
                <w:szCs w:val="24"/>
              </w:rPr>
              <w:t>Sustentáveis” da CGU/AGU? (</w:t>
            </w:r>
            <w:r w:rsidR="00A84BFD" w:rsidRPr="0B365B07">
              <w:rPr>
                <w:rStyle w:val="eop"/>
                <w:sz w:val="24"/>
                <w:szCs w:val="24"/>
              </w:rPr>
              <w:t xml:space="preserve">art. 5º, </w:t>
            </w:r>
            <w:r w:rsidRPr="0B365B07">
              <w:rPr>
                <w:rStyle w:val="eop"/>
                <w:sz w:val="24"/>
                <w:szCs w:val="24"/>
              </w:rPr>
              <w:t>IN SLTI/MP nº 1/2010)</w:t>
            </w:r>
          </w:p>
        </w:tc>
        <w:tc>
          <w:tcPr>
            <w:tcW w:w="1134" w:type="dxa"/>
          </w:tcPr>
          <w:p w14:paraId="3AA8B883" w14:textId="77777777" w:rsidR="00B43022" w:rsidRPr="00893E5F" w:rsidRDefault="00B43022" w:rsidP="00B43022">
            <w:pPr>
              <w:autoSpaceDE w:val="0"/>
              <w:autoSpaceDN w:val="0"/>
              <w:adjustRightInd w:val="0"/>
              <w:jc w:val="both"/>
              <w:rPr>
                <w:rFonts w:cstheme="minorHAnsi"/>
                <w:sz w:val="24"/>
                <w:szCs w:val="24"/>
              </w:rPr>
            </w:pPr>
          </w:p>
        </w:tc>
      </w:tr>
      <w:tr w:rsidR="00B43022" w:rsidRPr="00893E5F" w14:paraId="2519D2B5" w14:textId="77777777" w:rsidTr="0B365B07">
        <w:tc>
          <w:tcPr>
            <w:tcW w:w="8500" w:type="dxa"/>
          </w:tcPr>
          <w:p w14:paraId="3C739B95" w14:textId="1A75E384" w:rsidR="00B43022" w:rsidRPr="006D270B" w:rsidRDefault="00B43022" w:rsidP="0B365B07">
            <w:pPr>
              <w:pStyle w:val="PargrafodaLista"/>
              <w:numPr>
                <w:ilvl w:val="1"/>
                <w:numId w:val="9"/>
              </w:numPr>
              <w:autoSpaceDE w:val="0"/>
              <w:autoSpaceDN w:val="0"/>
              <w:adjustRightInd w:val="0"/>
              <w:ind w:left="1014" w:hanging="654"/>
              <w:jc w:val="both"/>
              <w:rPr>
                <w:rStyle w:val="eop"/>
                <w:sz w:val="24"/>
                <w:szCs w:val="24"/>
              </w:rPr>
            </w:pPr>
            <w:r w:rsidRPr="0B365B07">
              <w:rPr>
                <w:rStyle w:val="eop"/>
                <w:sz w:val="24"/>
                <w:szCs w:val="24"/>
              </w:rPr>
              <w:t xml:space="preserve">Consta a aprovação do </w:t>
            </w:r>
            <w:r w:rsidR="00D37635" w:rsidRPr="0B365B07">
              <w:rPr>
                <w:sz w:val="24"/>
                <w:szCs w:val="24"/>
              </w:rPr>
              <w:t xml:space="preserve">Termo de Referência </w:t>
            </w:r>
            <w:r w:rsidR="00D37635" w:rsidRPr="0B365B07">
              <w:rPr>
                <w:rStyle w:val="eop"/>
                <w:sz w:val="24"/>
                <w:szCs w:val="24"/>
              </w:rPr>
              <w:t xml:space="preserve">ou Projeto Básico </w:t>
            </w:r>
            <w:r w:rsidRPr="0B365B07">
              <w:rPr>
                <w:rStyle w:val="eop"/>
                <w:sz w:val="24"/>
                <w:szCs w:val="24"/>
              </w:rPr>
              <w:t xml:space="preserve">pela autoridade competente? (art. 14, </w:t>
            </w:r>
            <w:r w:rsidR="00ED03B9" w:rsidRPr="0B365B07">
              <w:rPr>
                <w:rStyle w:val="eop"/>
                <w:sz w:val="24"/>
                <w:szCs w:val="24"/>
              </w:rPr>
              <w:t xml:space="preserve">inciso </w:t>
            </w:r>
            <w:r w:rsidRPr="0B365B07">
              <w:rPr>
                <w:rStyle w:val="eop"/>
                <w:sz w:val="24"/>
                <w:szCs w:val="24"/>
              </w:rPr>
              <w:t xml:space="preserve">II, do Decreto </w:t>
            </w:r>
            <w:r w:rsidR="00ED03B9" w:rsidRPr="0B365B07">
              <w:rPr>
                <w:rStyle w:val="eop"/>
                <w:sz w:val="24"/>
                <w:szCs w:val="24"/>
              </w:rPr>
              <w:t>n.</w:t>
            </w:r>
            <w:r w:rsidR="00D33337" w:rsidRPr="0B365B07">
              <w:rPr>
                <w:rStyle w:val="eop"/>
                <w:sz w:val="24"/>
                <w:szCs w:val="24"/>
              </w:rPr>
              <w:t>º</w:t>
            </w:r>
            <w:r w:rsidR="00ED03B9" w:rsidRPr="0B365B07">
              <w:rPr>
                <w:rStyle w:val="eop"/>
                <w:sz w:val="24"/>
                <w:szCs w:val="24"/>
              </w:rPr>
              <w:t xml:space="preserve"> </w:t>
            </w:r>
            <w:r w:rsidRPr="0B365B07">
              <w:rPr>
                <w:rStyle w:val="eop"/>
                <w:sz w:val="24"/>
                <w:szCs w:val="24"/>
              </w:rPr>
              <w:t xml:space="preserve">10.024/19; art. 7º, §2º, </w:t>
            </w:r>
            <w:r w:rsidR="00A84BFD" w:rsidRPr="0B365B07">
              <w:rPr>
                <w:rStyle w:val="eop"/>
                <w:sz w:val="24"/>
                <w:szCs w:val="24"/>
              </w:rPr>
              <w:t xml:space="preserve">inciso </w:t>
            </w:r>
            <w:r w:rsidRPr="0B365B07">
              <w:rPr>
                <w:rStyle w:val="eop"/>
                <w:sz w:val="24"/>
                <w:szCs w:val="24"/>
              </w:rPr>
              <w:t xml:space="preserve">I da Lei </w:t>
            </w:r>
            <w:r w:rsidR="00ED03B9" w:rsidRPr="0B365B07">
              <w:rPr>
                <w:rStyle w:val="eop"/>
                <w:sz w:val="24"/>
                <w:szCs w:val="24"/>
              </w:rPr>
              <w:t xml:space="preserve">n.º </w:t>
            </w:r>
            <w:r w:rsidRPr="0B365B07">
              <w:rPr>
                <w:rStyle w:val="eop"/>
                <w:sz w:val="24"/>
                <w:szCs w:val="24"/>
              </w:rPr>
              <w:t>8.666/93)</w:t>
            </w:r>
          </w:p>
        </w:tc>
        <w:tc>
          <w:tcPr>
            <w:tcW w:w="1134" w:type="dxa"/>
          </w:tcPr>
          <w:p w14:paraId="3A2481B0" w14:textId="77777777" w:rsidR="00B43022" w:rsidRPr="00893E5F" w:rsidRDefault="00B43022" w:rsidP="00B43022">
            <w:pPr>
              <w:autoSpaceDE w:val="0"/>
              <w:autoSpaceDN w:val="0"/>
              <w:adjustRightInd w:val="0"/>
              <w:jc w:val="both"/>
              <w:rPr>
                <w:rFonts w:cstheme="minorHAnsi"/>
                <w:sz w:val="24"/>
                <w:szCs w:val="24"/>
              </w:rPr>
            </w:pPr>
          </w:p>
        </w:tc>
      </w:tr>
      <w:tr w:rsidR="0023419E" w:rsidRPr="00893E5F" w14:paraId="55E00632" w14:textId="77777777" w:rsidTr="0B365B07">
        <w:tc>
          <w:tcPr>
            <w:tcW w:w="8500" w:type="dxa"/>
          </w:tcPr>
          <w:p w14:paraId="6AB52937" w14:textId="3915F8AB" w:rsidR="0023419E" w:rsidRPr="006D270B" w:rsidRDefault="0023419E"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Consta do </w:t>
            </w:r>
            <w:r w:rsidR="003228F6" w:rsidRPr="0B365B07">
              <w:rPr>
                <w:sz w:val="24"/>
                <w:szCs w:val="24"/>
              </w:rPr>
              <w:t xml:space="preserve">Termo de Referência ou </w:t>
            </w:r>
            <w:r w:rsidRPr="0B365B07">
              <w:rPr>
                <w:sz w:val="24"/>
                <w:szCs w:val="24"/>
              </w:rPr>
              <w:t xml:space="preserve">Projeto Básico o orçamento </w:t>
            </w:r>
            <w:r w:rsidR="00761E94" w:rsidRPr="0B365B07">
              <w:rPr>
                <w:sz w:val="24"/>
                <w:szCs w:val="24"/>
              </w:rPr>
              <w:t xml:space="preserve">de referência, contendo o detalhamento </w:t>
            </w:r>
            <w:r w:rsidRPr="0B365B07">
              <w:rPr>
                <w:sz w:val="24"/>
                <w:szCs w:val="24"/>
              </w:rPr>
              <w:t xml:space="preserve">do </w:t>
            </w:r>
            <w:r w:rsidR="00761E94" w:rsidRPr="0B365B07">
              <w:rPr>
                <w:sz w:val="24"/>
                <w:szCs w:val="24"/>
              </w:rPr>
              <w:t>preço</w:t>
            </w:r>
            <w:r w:rsidRPr="0B365B07">
              <w:rPr>
                <w:sz w:val="24"/>
                <w:szCs w:val="24"/>
              </w:rPr>
              <w:t xml:space="preserve"> </w:t>
            </w:r>
            <w:r w:rsidR="00761E94" w:rsidRPr="0B365B07">
              <w:rPr>
                <w:sz w:val="24"/>
                <w:szCs w:val="24"/>
              </w:rPr>
              <w:t>global de referência, que expressa a descrição, quantidades e custos unitários de todos os serviços</w:t>
            </w:r>
            <w:r w:rsidR="00D33337" w:rsidRPr="0B365B07">
              <w:rPr>
                <w:sz w:val="24"/>
                <w:szCs w:val="24"/>
              </w:rPr>
              <w:t xml:space="preserve"> </w:t>
            </w:r>
            <w:r w:rsidRPr="0B365B07">
              <w:rPr>
                <w:sz w:val="24"/>
                <w:szCs w:val="24"/>
              </w:rPr>
              <w:t>(art. 2º, inciso V</w:t>
            </w:r>
            <w:r w:rsidR="00E820A8" w:rsidRPr="0B365B07">
              <w:rPr>
                <w:sz w:val="24"/>
                <w:szCs w:val="24"/>
              </w:rPr>
              <w:t>III</w:t>
            </w:r>
            <w:r w:rsidRPr="0B365B07">
              <w:rPr>
                <w:sz w:val="24"/>
                <w:szCs w:val="24"/>
              </w:rPr>
              <w:t xml:space="preserve">, </w:t>
            </w:r>
            <w:r w:rsidR="00E820A8" w:rsidRPr="0B365B07">
              <w:rPr>
                <w:sz w:val="24"/>
                <w:szCs w:val="24"/>
              </w:rPr>
              <w:t>do Decreto n.º 7.983/2013</w:t>
            </w:r>
            <w:r w:rsidRPr="0B365B07">
              <w:rPr>
                <w:sz w:val="24"/>
                <w:szCs w:val="24"/>
              </w:rPr>
              <w:t xml:space="preserve">)?   </w:t>
            </w:r>
          </w:p>
        </w:tc>
        <w:tc>
          <w:tcPr>
            <w:tcW w:w="1134" w:type="dxa"/>
          </w:tcPr>
          <w:p w14:paraId="42FB1D6A" w14:textId="77777777" w:rsidR="0023419E" w:rsidRPr="00893E5F" w:rsidRDefault="0023419E" w:rsidP="0023419E">
            <w:pPr>
              <w:autoSpaceDE w:val="0"/>
              <w:autoSpaceDN w:val="0"/>
              <w:adjustRightInd w:val="0"/>
              <w:jc w:val="both"/>
              <w:rPr>
                <w:rFonts w:cstheme="minorHAnsi"/>
                <w:sz w:val="24"/>
                <w:szCs w:val="24"/>
              </w:rPr>
            </w:pPr>
          </w:p>
        </w:tc>
      </w:tr>
      <w:tr w:rsidR="0023419E" w:rsidRPr="00893E5F" w14:paraId="791CDBF0" w14:textId="77777777" w:rsidTr="0B365B07">
        <w:tc>
          <w:tcPr>
            <w:tcW w:w="8500" w:type="dxa"/>
          </w:tcPr>
          <w:p w14:paraId="0E5A83E9" w14:textId="25EAEF66" w:rsidR="0023419E" w:rsidRPr="006D270B" w:rsidRDefault="00E820A8"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Consta dos autos manifestação formal do setor competente contendo a análise e as justificativas acerca da metodologia de obtenção dos custos global e unitários de referência da licitação?</w:t>
            </w:r>
          </w:p>
        </w:tc>
        <w:tc>
          <w:tcPr>
            <w:tcW w:w="1134" w:type="dxa"/>
          </w:tcPr>
          <w:p w14:paraId="418329A8" w14:textId="77777777" w:rsidR="0023419E" w:rsidRPr="00893E5F" w:rsidRDefault="0023419E" w:rsidP="0023419E">
            <w:pPr>
              <w:autoSpaceDE w:val="0"/>
              <w:autoSpaceDN w:val="0"/>
              <w:adjustRightInd w:val="0"/>
              <w:jc w:val="both"/>
              <w:rPr>
                <w:rFonts w:cstheme="minorHAnsi"/>
                <w:sz w:val="24"/>
                <w:szCs w:val="24"/>
              </w:rPr>
            </w:pPr>
          </w:p>
        </w:tc>
      </w:tr>
      <w:tr w:rsidR="0023419E" w:rsidRPr="00893E5F" w14:paraId="08E35A62" w14:textId="77777777" w:rsidTr="0B365B07">
        <w:tc>
          <w:tcPr>
            <w:tcW w:w="8500" w:type="dxa"/>
          </w:tcPr>
          <w:p w14:paraId="7AA7B4DB" w14:textId="209A48CC" w:rsidR="0023419E" w:rsidRPr="006D270B" w:rsidRDefault="00E820A8"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lastRenderedPageBreak/>
              <w:t>Houve a especificação das composições dos custos unitários previstos no Termo de Referência ou Projeto Básico para obtenção do custo global dos serviços? (art. 2º, inciso II, do Decreto n.º 7.983/2013)</w:t>
            </w:r>
          </w:p>
        </w:tc>
        <w:tc>
          <w:tcPr>
            <w:tcW w:w="1134" w:type="dxa"/>
          </w:tcPr>
          <w:p w14:paraId="0ED21E03" w14:textId="77777777" w:rsidR="0023419E" w:rsidRPr="00893E5F" w:rsidRDefault="0023419E" w:rsidP="0023419E">
            <w:pPr>
              <w:autoSpaceDE w:val="0"/>
              <w:autoSpaceDN w:val="0"/>
              <w:adjustRightInd w:val="0"/>
              <w:jc w:val="both"/>
              <w:rPr>
                <w:rFonts w:cstheme="minorHAnsi"/>
                <w:sz w:val="24"/>
                <w:szCs w:val="24"/>
              </w:rPr>
            </w:pPr>
          </w:p>
        </w:tc>
      </w:tr>
      <w:tr w:rsidR="0023419E" w:rsidRPr="00893E5F" w14:paraId="64724D23" w14:textId="77777777" w:rsidTr="0B365B07">
        <w:tc>
          <w:tcPr>
            <w:tcW w:w="8500" w:type="dxa"/>
          </w:tcPr>
          <w:p w14:paraId="150F23EB" w14:textId="02068748" w:rsidR="0023419E" w:rsidRPr="006D270B" w:rsidRDefault="0023419E"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O custo global da obra foi obtido a partir de custos unitários de insumos ou serviços constantes do Sistema Nacional de Pesquisa de Custos e Índices da Construção Civil (</w:t>
            </w:r>
            <w:proofErr w:type="spellStart"/>
            <w:r w:rsidRPr="0B365B07">
              <w:rPr>
                <w:sz w:val="24"/>
                <w:szCs w:val="24"/>
              </w:rPr>
              <w:t>Sinapi</w:t>
            </w:r>
            <w:proofErr w:type="spellEnd"/>
            <w:r w:rsidRPr="0B365B07">
              <w:rPr>
                <w:sz w:val="24"/>
                <w:szCs w:val="24"/>
              </w:rPr>
              <w:t>), no caso de construção civil em geral, ou na tabela do Sistema de Custos de Obras Rodoviárias (</w:t>
            </w:r>
            <w:proofErr w:type="spellStart"/>
            <w:r w:rsidRPr="0B365B07">
              <w:rPr>
                <w:sz w:val="24"/>
                <w:szCs w:val="24"/>
              </w:rPr>
              <w:t>Sicro</w:t>
            </w:r>
            <w:proofErr w:type="spellEnd"/>
            <w:r w:rsidRPr="0B365B07">
              <w:rPr>
                <w:sz w:val="24"/>
                <w:szCs w:val="24"/>
              </w:rPr>
              <w:t xml:space="preserve">), no caso de </w:t>
            </w:r>
            <w:r w:rsidR="009D2049" w:rsidRPr="0B365B07">
              <w:rPr>
                <w:sz w:val="24"/>
                <w:szCs w:val="24"/>
              </w:rPr>
              <w:t>s</w:t>
            </w:r>
            <w:r w:rsidRPr="0B365B07">
              <w:rPr>
                <w:sz w:val="24"/>
                <w:szCs w:val="24"/>
              </w:rPr>
              <w:t xml:space="preserve">erviços rodoviários? (art. </w:t>
            </w:r>
            <w:r w:rsidR="00D33337" w:rsidRPr="0B365B07">
              <w:rPr>
                <w:sz w:val="24"/>
                <w:szCs w:val="24"/>
              </w:rPr>
              <w:t>3</w:t>
            </w:r>
            <w:r w:rsidRPr="0B365B07">
              <w:rPr>
                <w:sz w:val="24"/>
                <w:szCs w:val="24"/>
              </w:rPr>
              <w:t>º</w:t>
            </w:r>
            <w:r w:rsidR="00D33337" w:rsidRPr="0B365B07">
              <w:rPr>
                <w:sz w:val="24"/>
                <w:szCs w:val="24"/>
              </w:rPr>
              <w:t xml:space="preserve"> do </w:t>
            </w:r>
            <w:r w:rsidR="003228F6" w:rsidRPr="0B365B07">
              <w:rPr>
                <w:sz w:val="24"/>
                <w:szCs w:val="24"/>
              </w:rPr>
              <w:t>Decreto n.º 7.983/2013</w:t>
            </w:r>
            <w:r w:rsidRPr="0B365B07">
              <w:rPr>
                <w:sz w:val="24"/>
                <w:szCs w:val="24"/>
              </w:rPr>
              <w:t>)</w:t>
            </w:r>
          </w:p>
        </w:tc>
        <w:tc>
          <w:tcPr>
            <w:tcW w:w="1134" w:type="dxa"/>
          </w:tcPr>
          <w:p w14:paraId="00E19856" w14:textId="77777777" w:rsidR="0023419E" w:rsidRPr="00893E5F" w:rsidRDefault="0023419E" w:rsidP="0023419E">
            <w:pPr>
              <w:autoSpaceDE w:val="0"/>
              <w:autoSpaceDN w:val="0"/>
              <w:adjustRightInd w:val="0"/>
              <w:jc w:val="both"/>
              <w:rPr>
                <w:rFonts w:cstheme="minorHAnsi"/>
                <w:sz w:val="24"/>
                <w:szCs w:val="24"/>
              </w:rPr>
            </w:pPr>
          </w:p>
        </w:tc>
      </w:tr>
      <w:tr w:rsidR="0023419E" w:rsidRPr="00893E5F" w14:paraId="0069C1D9" w14:textId="77777777" w:rsidTr="0B365B07">
        <w:tc>
          <w:tcPr>
            <w:tcW w:w="8500" w:type="dxa"/>
          </w:tcPr>
          <w:p w14:paraId="10062E8E" w14:textId="72E7136D" w:rsidR="0023419E" w:rsidRPr="006D3019" w:rsidRDefault="0023419E" w:rsidP="0B365B07">
            <w:pPr>
              <w:pStyle w:val="PargrafodaLista"/>
              <w:numPr>
                <w:ilvl w:val="2"/>
                <w:numId w:val="9"/>
              </w:numPr>
              <w:autoSpaceDE w:val="0"/>
              <w:autoSpaceDN w:val="0"/>
              <w:adjustRightInd w:val="0"/>
              <w:jc w:val="both"/>
              <w:rPr>
                <w:sz w:val="24"/>
                <w:szCs w:val="24"/>
              </w:rPr>
            </w:pPr>
            <w:r w:rsidRPr="0B365B07">
              <w:rPr>
                <w:sz w:val="24"/>
                <w:szCs w:val="24"/>
              </w:rPr>
              <w:t>Caso a estimativa de custo global d</w:t>
            </w:r>
            <w:r w:rsidR="00352E12" w:rsidRPr="0B365B07">
              <w:rPr>
                <w:sz w:val="24"/>
                <w:szCs w:val="24"/>
              </w:rPr>
              <w:t xml:space="preserve">o serviço </w:t>
            </w:r>
            <w:r w:rsidRPr="0B365B07">
              <w:rPr>
                <w:sz w:val="24"/>
                <w:szCs w:val="24"/>
              </w:rPr>
              <w:t xml:space="preserve">tenha sido apurada por meio da utilização de dados contidos em tabela de referência formalmente aprovada por órgãos ou entidades da administração pública federal, em publicações técnicas especializadas, em sistema específico instituído para o setor ou por meio de pesquisa de mercado, consta dos autos a justificativa de inviabilidade de utilização preferencial do </w:t>
            </w:r>
            <w:proofErr w:type="spellStart"/>
            <w:r w:rsidRPr="0B365B07">
              <w:rPr>
                <w:sz w:val="24"/>
                <w:szCs w:val="24"/>
              </w:rPr>
              <w:t>Sinapi</w:t>
            </w:r>
            <w:proofErr w:type="spellEnd"/>
            <w:r w:rsidRPr="0B365B07">
              <w:rPr>
                <w:sz w:val="24"/>
                <w:szCs w:val="24"/>
              </w:rPr>
              <w:t xml:space="preserve"> ou </w:t>
            </w:r>
            <w:proofErr w:type="spellStart"/>
            <w:r w:rsidRPr="0B365B07">
              <w:rPr>
                <w:sz w:val="24"/>
                <w:szCs w:val="24"/>
              </w:rPr>
              <w:t>Sicro</w:t>
            </w:r>
            <w:proofErr w:type="spellEnd"/>
            <w:r w:rsidRPr="0B365B07">
              <w:rPr>
                <w:sz w:val="24"/>
                <w:szCs w:val="24"/>
              </w:rPr>
              <w:t>? (</w:t>
            </w:r>
            <w:proofErr w:type="spellStart"/>
            <w:r w:rsidRPr="0B365B07">
              <w:rPr>
                <w:sz w:val="24"/>
                <w:szCs w:val="24"/>
              </w:rPr>
              <w:t>art</w:t>
            </w:r>
            <w:r w:rsidR="00D33337" w:rsidRPr="0B365B07">
              <w:rPr>
                <w:sz w:val="24"/>
                <w:szCs w:val="24"/>
              </w:rPr>
              <w:t>s</w:t>
            </w:r>
            <w:proofErr w:type="spellEnd"/>
            <w:r w:rsidRPr="0B365B07">
              <w:rPr>
                <w:sz w:val="24"/>
                <w:szCs w:val="24"/>
              </w:rPr>
              <w:t>.</w:t>
            </w:r>
            <w:r w:rsidR="00D33337" w:rsidRPr="0B365B07">
              <w:rPr>
                <w:sz w:val="24"/>
                <w:szCs w:val="24"/>
              </w:rPr>
              <w:t xml:space="preserve"> 5º e 6º do Decreto n.º 7.983/2013</w:t>
            </w:r>
            <w:r w:rsidRPr="0B365B07">
              <w:rPr>
                <w:sz w:val="24"/>
                <w:szCs w:val="24"/>
              </w:rPr>
              <w:t>)</w:t>
            </w:r>
          </w:p>
        </w:tc>
        <w:tc>
          <w:tcPr>
            <w:tcW w:w="1134" w:type="dxa"/>
          </w:tcPr>
          <w:p w14:paraId="5834B435" w14:textId="77777777" w:rsidR="0023419E" w:rsidRPr="00893E5F" w:rsidRDefault="0023419E" w:rsidP="0023419E">
            <w:pPr>
              <w:autoSpaceDE w:val="0"/>
              <w:autoSpaceDN w:val="0"/>
              <w:adjustRightInd w:val="0"/>
              <w:jc w:val="both"/>
              <w:rPr>
                <w:rFonts w:cstheme="minorHAnsi"/>
                <w:sz w:val="24"/>
                <w:szCs w:val="24"/>
              </w:rPr>
            </w:pPr>
          </w:p>
        </w:tc>
      </w:tr>
      <w:tr w:rsidR="006D3019" w:rsidRPr="00893E5F" w14:paraId="14AFF09E" w14:textId="77777777" w:rsidTr="0B365B07">
        <w:tc>
          <w:tcPr>
            <w:tcW w:w="8500" w:type="dxa"/>
          </w:tcPr>
          <w:p w14:paraId="2E4657F6" w14:textId="5C95989E" w:rsidR="0059246A" w:rsidRPr="004D7340" w:rsidRDefault="4395DC1E" w:rsidP="0B365B07">
            <w:pPr>
              <w:pStyle w:val="PargrafodaLista"/>
              <w:numPr>
                <w:ilvl w:val="2"/>
                <w:numId w:val="9"/>
              </w:numPr>
              <w:autoSpaceDE w:val="0"/>
              <w:autoSpaceDN w:val="0"/>
              <w:adjustRightInd w:val="0"/>
              <w:jc w:val="both"/>
              <w:rPr>
                <w:sz w:val="24"/>
                <w:szCs w:val="24"/>
              </w:rPr>
            </w:pPr>
            <w:r w:rsidRPr="0B365B07">
              <w:rPr>
                <w:sz w:val="24"/>
                <w:szCs w:val="24"/>
              </w:rPr>
              <w:t>Nesse caso, consta</w:t>
            </w:r>
            <w:r w:rsidR="05E94FA8" w:rsidRPr="0B365B07">
              <w:rPr>
                <w:sz w:val="24"/>
                <w:szCs w:val="24"/>
              </w:rPr>
              <w:t xml:space="preserve"> estimativa do valor da contratação, acompanhada dos preços unitários referenciais, das memórias de cálculo e dos documentos que lhe dão suporte</w:t>
            </w:r>
            <w:r w:rsidRPr="0B365B07">
              <w:rPr>
                <w:sz w:val="24"/>
                <w:szCs w:val="24"/>
              </w:rPr>
              <w:t xml:space="preserve">, </w:t>
            </w:r>
            <w:r w:rsidR="05E94FA8" w:rsidRPr="0B365B07">
              <w:rPr>
                <w:sz w:val="24"/>
                <w:szCs w:val="24"/>
              </w:rPr>
              <w:t xml:space="preserve">observado </w:t>
            </w:r>
            <w:r w:rsidRPr="0B365B07">
              <w:rPr>
                <w:sz w:val="24"/>
                <w:szCs w:val="24"/>
              </w:rPr>
              <w:t xml:space="preserve">o procedimento administrativo para a realização de pesquisa de preços (art. 3º, III, da Lei nº 10.520/02, art. 3º, XI, “a”, “2” do Decreto 10.024/19 e </w:t>
            </w:r>
            <w:proofErr w:type="spellStart"/>
            <w:r w:rsidRPr="0B365B07">
              <w:rPr>
                <w:sz w:val="24"/>
                <w:szCs w:val="24"/>
              </w:rPr>
              <w:t>arts</w:t>
            </w:r>
            <w:proofErr w:type="spellEnd"/>
            <w:r w:rsidRPr="0B365B07">
              <w:rPr>
                <w:sz w:val="24"/>
                <w:szCs w:val="24"/>
              </w:rPr>
              <w:t>. 15, III, 43, IV da Lei nº 8.666/93, art. 7º, inc. V e VI da IN SEGES/ME nº 40/2020, e art. 30, inc. X, da IN</w:t>
            </w:r>
            <w:r w:rsidR="05E94FA8" w:rsidRPr="0B365B07">
              <w:rPr>
                <w:sz w:val="24"/>
                <w:szCs w:val="24"/>
              </w:rPr>
              <w:t xml:space="preserve"> </w:t>
            </w:r>
            <w:r w:rsidRPr="0B365B07">
              <w:rPr>
                <w:sz w:val="24"/>
                <w:szCs w:val="24"/>
              </w:rPr>
              <w:t>SEGES</w:t>
            </w:r>
            <w:r w:rsidR="05E94FA8" w:rsidRPr="0B365B07">
              <w:rPr>
                <w:sz w:val="24"/>
                <w:szCs w:val="24"/>
              </w:rPr>
              <w:t>/MP</w:t>
            </w:r>
            <w:r w:rsidRPr="0B365B07">
              <w:rPr>
                <w:sz w:val="24"/>
                <w:szCs w:val="24"/>
              </w:rPr>
              <w:t xml:space="preserve"> nº 5/2017)?</w:t>
            </w:r>
          </w:p>
          <w:p w14:paraId="6502E26E" w14:textId="39947E4F" w:rsidR="00732B76" w:rsidRDefault="63322E2C" w:rsidP="690CB5A5">
            <w:pPr>
              <w:pStyle w:val="PargrafodaLista"/>
              <w:autoSpaceDE w:val="0"/>
              <w:autoSpaceDN w:val="0"/>
              <w:adjustRightInd w:val="0"/>
              <w:ind w:left="-120"/>
              <w:jc w:val="both"/>
              <w:rPr>
                <w:color w:val="FF0000"/>
                <w:sz w:val="24"/>
                <w:szCs w:val="24"/>
              </w:rPr>
            </w:pPr>
            <w:r w:rsidRPr="0B365B07">
              <w:rPr>
                <w:color w:val="FF0000"/>
                <w:sz w:val="24"/>
                <w:szCs w:val="24"/>
              </w:rPr>
              <w:t xml:space="preserve">Obs.1: </w:t>
            </w:r>
            <w:r w:rsidR="39D2E49D" w:rsidRPr="0B365B07">
              <w:rPr>
                <w:color w:val="FF0000"/>
                <w:sz w:val="24"/>
                <w:szCs w:val="24"/>
              </w:rPr>
              <w:t xml:space="preserve">No caso de realização de </w:t>
            </w:r>
            <w:r w:rsidRPr="0B365B07">
              <w:rPr>
                <w:color w:val="FF0000"/>
                <w:sz w:val="24"/>
                <w:szCs w:val="24"/>
              </w:rPr>
              <w:t xml:space="preserve">pesquisa de preços, recomenda-se </w:t>
            </w:r>
            <w:r w:rsidR="784E67CB" w:rsidRPr="0B365B07">
              <w:rPr>
                <w:color w:val="FF0000"/>
                <w:sz w:val="24"/>
                <w:szCs w:val="24"/>
              </w:rPr>
              <w:t>a utilização</w:t>
            </w:r>
            <w:r w:rsidRPr="0B365B07">
              <w:rPr>
                <w:color w:val="FF0000"/>
                <w:sz w:val="24"/>
                <w:szCs w:val="24"/>
              </w:rPr>
              <w:t xml:space="preserve">, como </w:t>
            </w:r>
            <w:r w:rsidR="5A571E91" w:rsidRPr="0B365B07">
              <w:rPr>
                <w:color w:val="FF0000"/>
                <w:sz w:val="24"/>
                <w:szCs w:val="24"/>
              </w:rPr>
              <w:t xml:space="preserve">uma </w:t>
            </w:r>
            <w:r w:rsidRPr="0B365B07">
              <w:rPr>
                <w:color w:val="FF0000"/>
                <w:sz w:val="24"/>
                <w:szCs w:val="24"/>
              </w:rPr>
              <w:t xml:space="preserve">boa prática, </w:t>
            </w:r>
            <w:r w:rsidR="07F5A0E8" w:rsidRPr="0B365B07">
              <w:rPr>
                <w:color w:val="FF0000"/>
                <w:sz w:val="24"/>
                <w:szCs w:val="24"/>
              </w:rPr>
              <w:t>d</w:t>
            </w:r>
            <w:r w:rsidR="1E55DE40" w:rsidRPr="0B365B07">
              <w:rPr>
                <w:color w:val="FF0000"/>
                <w:sz w:val="24"/>
                <w:szCs w:val="24"/>
              </w:rPr>
              <w:t>os procedimentos previstos na</w:t>
            </w:r>
            <w:r w:rsidRPr="0B365B07">
              <w:rPr>
                <w:color w:val="FF0000"/>
                <w:sz w:val="24"/>
                <w:szCs w:val="24"/>
              </w:rPr>
              <w:t xml:space="preserve"> Instrução Normativa SEGES/ME nº 73/2020</w:t>
            </w:r>
            <w:r w:rsidR="0E1863CB" w:rsidRPr="0B365B07">
              <w:rPr>
                <w:color w:val="FF0000"/>
                <w:sz w:val="24"/>
                <w:szCs w:val="24"/>
              </w:rPr>
              <w:t>.</w:t>
            </w:r>
          </w:p>
          <w:p w14:paraId="69C80844" w14:textId="335F5B8A" w:rsidR="0059246A" w:rsidRPr="0059246A" w:rsidRDefault="0059246A" w:rsidP="0B365B07">
            <w:pPr>
              <w:pStyle w:val="PargrafodaLista"/>
              <w:autoSpaceDE w:val="0"/>
              <w:autoSpaceDN w:val="0"/>
              <w:adjustRightInd w:val="0"/>
              <w:ind w:left="-120"/>
              <w:jc w:val="both"/>
              <w:rPr>
                <w:sz w:val="24"/>
                <w:szCs w:val="24"/>
              </w:rPr>
            </w:pPr>
            <w:r w:rsidRPr="0B365B07">
              <w:rPr>
                <w:color w:val="FF0000"/>
                <w:sz w:val="24"/>
                <w:szCs w:val="24"/>
              </w:rPr>
              <w:t>Ob</w:t>
            </w:r>
            <w:r w:rsidR="003677BB" w:rsidRPr="0B365B07">
              <w:rPr>
                <w:color w:val="FF0000"/>
                <w:sz w:val="24"/>
                <w:szCs w:val="24"/>
              </w:rPr>
              <w:t>s.2</w:t>
            </w:r>
            <w:r w:rsidRPr="0B365B07">
              <w:rPr>
                <w:color w:val="FF0000"/>
                <w:sz w:val="24"/>
                <w:szCs w:val="24"/>
              </w:rPr>
              <w:t>: Segundo o Manual de obras e serviços de engenharia: da CGU/AGU (item 2.5.4), “</w:t>
            </w:r>
            <w:r w:rsidRPr="0B365B07">
              <w:rPr>
                <w:i/>
                <w:iCs/>
                <w:color w:val="FF0000"/>
                <w:sz w:val="24"/>
                <w:szCs w:val="24"/>
              </w:rPr>
              <w:t xml:space="preserve">Especificamente em relação aos insumos, deve-se notar que a escolha de materiais, profissionais ou atividades não relacionadas nos sistemas existentes recomenda a devida motivação e aprovação por parte do ordenador de despesas do órgão promotor do procedimento de licitação ou de contratação direta. Nesses casos, a discriminação dos itens componentes do projeto básico deverá ser feita de forma objetiva, sem especificações ou variações inúteis, desnecessárias ou que permitam apreciação subjetiva por parte dos licitantes. </w:t>
            </w:r>
            <w:r w:rsidR="00091A8F" w:rsidRPr="0B365B07">
              <w:rPr>
                <w:i/>
                <w:iCs/>
                <w:color w:val="FF0000"/>
                <w:sz w:val="24"/>
                <w:szCs w:val="24"/>
              </w:rPr>
              <w:t>[...]</w:t>
            </w:r>
            <w:r w:rsidRPr="0B365B07">
              <w:rPr>
                <w:i/>
                <w:iCs/>
                <w:color w:val="FF0000"/>
                <w:sz w:val="24"/>
                <w:szCs w:val="24"/>
              </w:rPr>
              <w:t xml:space="preserve">. Demais disso, a utilização da mão de obra de profissionais não discriminados na tabela </w:t>
            </w:r>
            <w:proofErr w:type="spellStart"/>
            <w:r w:rsidRPr="0B365B07">
              <w:rPr>
                <w:i/>
                <w:iCs/>
                <w:color w:val="FF0000"/>
                <w:sz w:val="24"/>
                <w:szCs w:val="24"/>
              </w:rPr>
              <w:t>Sinapi</w:t>
            </w:r>
            <w:proofErr w:type="spellEnd"/>
            <w:r w:rsidRPr="0B365B07">
              <w:rPr>
                <w:i/>
                <w:iCs/>
                <w:color w:val="FF0000"/>
                <w:sz w:val="24"/>
                <w:szCs w:val="24"/>
              </w:rPr>
              <w:t xml:space="preserve">, além da justificativa da necessidade específica do tipo de profissional, o projeto básico deverá apresentar a respectiva composição do custo unitário que deverá estar acompanhada da discriminação analítica de todos os tributos e encargos sociais incidentes sobre cada profissional. </w:t>
            </w:r>
            <w:r w:rsidR="00141C9B" w:rsidRPr="0B365B07">
              <w:rPr>
                <w:i/>
                <w:iCs/>
                <w:color w:val="FF0000"/>
                <w:sz w:val="24"/>
                <w:szCs w:val="24"/>
              </w:rPr>
              <w:t>[...]</w:t>
            </w:r>
            <w:r w:rsidRPr="0B365B07">
              <w:rPr>
                <w:i/>
                <w:iCs/>
                <w:color w:val="FF0000"/>
                <w:sz w:val="24"/>
                <w:szCs w:val="24"/>
              </w:rPr>
              <w:t>”.</w:t>
            </w:r>
            <w:r w:rsidRPr="0B365B07">
              <w:rPr>
                <w:color w:val="FF0000"/>
                <w:sz w:val="24"/>
                <w:szCs w:val="24"/>
              </w:rPr>
              <w:t xml:space="preserve"> </w:t>
            </w:r>
            <w:r w:rsidR="00BA0B0A" w:rsidRPr="0B365B07">
              <w:rPr>
                <w:color w:val="FF0000"/>
                <w:sz w:val="24"/>
                <w:szCs w:val="24"/>
              </w:rPr>
              <w:t>(</w:t>
            </w:r>
            <w:r w:rsidRPr="0B365B07">
              <w:rPr>
                <w:color w:val="FF0000"/>
                <w:sz w:val="24"/>
                <w:szCs w:val="24"/>
              </w:rPr>
              <w:t xml:space="preserve">Brasil. Advocacia-Geral da União </w:t>
            </w:r>
            <w:r w:rsidR="003A2C5A" w:rsidRPr="0B365B07">
              <w:rPr>
                <w:color w:val="FF0000"/>
                <w:sz w:val="24"/>
                <w:szCs w:val="24"/>
              </w:rPr>
              <w:t xml:space="preserve">– </w:t>
            </w:r>
            <w:r w:rsidRPr="0B365B07">
              <w:rPr>
                <w:color w:val="FF0000"/>
                <w:sz w:val="24"/>
                <w:szCs w:val="24"/>
              </w:rPr>
              <w:t>AGU. Consultoria-Geral da União. Manual de obras e serviços de engenharia: fundamentos da licitação e contratação / Manoel Paz e Silva Filho. Brasília: AGU, 2014. p. 28-29</w:t>
            </w:r>
            <w:r w:rsidR="00BA0B0A" w:rsidRPr="0B365B07">
              <w:rPr>
                <w:color w:val="FF0000"/>
                <w:sz w:val="24"/>
                <w:szCs w:val="24"/>
              </w:rPr>
              <w:t>)</w:t>
            </w:r>
            <w:r w:rsidRPr="0B365B07">
              <w:rPr>
                <w:color w:val="FF0000"/>
                <w:sz w:val="24"/>
                <w:szCs w:val="24"/>
              </w:rPr>
              <w:t>.</w:t>
            </w:r>
          </w:p>
        </w:tc>
        <w:tc>
          <w:tcPr>
            <w:tcW w:w="1134" w:type="dxa"/>
          </w:tcPr>
          <w:p w14:paraId="39F204D3" w14:textId="77777777" w:rsidR="006D3019" w:rsidRPr="00893E5F" w:rsidRDefault="006D3019" w:rsidP="0B365B07">
            <w:pPr>
              <w:autoSpaceDE w:val="0"/>
              <w:autoSpaceDN w:val="0"/>
              <w:adjustRightInd w:val="0"/>
              <w:jc w:val="both"/>
              <w:rPr>
                <w:sz w:val="24"/>
                <w:szCs w:val="24"/>
              </w:rPr>
            </w:pPr>
          </w:p>
        </w:tc>
      </w:tr>
      <w:tr w:rsidR="006D3019" w:rsidRPr="00893E5F" w14:paraId="48A98A2F" w14:textId="77777777" w:rsidTr="0B365B07">
        <w:tc>
          <w:tcPr>
            <w:tcW w:w="8500" w:type="dxa"/>
          </w:tcPr>
          <w:p w14:paraId="7BB73142" w14:textId="04507201" w:rsidR="006D3019" w:rsidRPr="006D270B" w:rsidRDefault="312AF4A0" w:rsidP="0B365B07">
            <w:pPr>
              <w:pStyle w:val="PargrafodaLista"/>
              <w:numPr>
                <w:ilvl w:val="2"/>
                <w:numId w:val="9"/>
              </w:numPr>
              <w:autoSpaceDE w:val="0"/>
              <w:autoSpaceDN w:val="0"/>
              <w:adjustRightInd w:val="0"/>
              <w:jc w:val="both"/>
              <w:rPr>
                <w:sz w:val="24"/>
                <w:szCs w:val="24"/>
              </w:rPr>
            </w:pPr>
            <w:r w:rsidRPr="0B365B07">
              <w:rPr>
                <w:sz w:val="24"/>
                <w:szCs w:val="24"/>
              </w:rPr>
              <w:t>Consta manifestação da área técnica com análise crítica dos preços obtidos na pesquisa de preços?</w:t>
            </w:r>
          </w:p>
        </w:tc>
        <w:tc>
          <w:tcPr>
            <w:tcW w:w="1134" w:type="dxa"/>
          </w:tcPr>
          <w:p w14:paraId="3DE9AD48" w14:textId="77777777" w:rsidR="006D3019" w:rsidRPr="00893E5F" w:rsidRDefault="006D3019" w:rsidP="0B365B07">
            <w:pPr>
              <w:autoSpaceDE w:val="0"/>
              <w:autoSpaceDN w:val="0"/>
              <w:adjustRightInd w:val="0"/>
              <w:jc w:val="both"/>
              <w:rPr>
                <w:sz w:val="24"/>
                <w:szCs w:val="24"/>
              </w:rPr>
            </w:pPr>
          </w:p>
        </w:tc>
      </w:tr>
      <w:tr w:rsidR="0023419E" w:rsidRPr="00893E5F" w14:paraId="1C03BCD6" w14:textId="77777777" w:rsidTr="0B365B07">
        <w:tc>
          <w:tcPr>
            <w:tcW w:w="8500" w:type="dxa"/>
          </w:tcPr>
          <w:p w14:paraId="5E7E3BE9" w14:textId="6130901B" w:rsidR="0023419E" w:rsidRPr="006D270B" w:rsidRDefault="0023419E"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Houve a especificação dos percentuais de Bonificações e Despesas Indiretas - BDI e dos Encargos Sociais – ES? (art. </w:t>
            </w:r>
            <w:r w:rsidR="009904B4" w:rsidRPr="0B365B07">
              <w:rPr>
                <w:sz w:val="24"/>
                <w:szCs w:val="24"/>
              </w:rPr>
              <w:t xml:space="preserve">9º, incisos I a IV, </w:t>
            </w:r>
            <w:r w:rsidRPr="0B365B07">
              <w:rPr>
                <w:sz w:val="24"/>
                <w:szCs w:val="24"/>
              </w:rPr>
              <w:t xml:space="preserve">do Decreto n.º </w:t>
            </w:r>
            <w:r w:rsidR="003228F6" w:rsidRPr="0B365B07">
              <w:rPr>
                <w:sz w:val="24"/>
                <w:szCs w:val="24"/>
              </w:rPr>
              <w:t>7.983/2013</w:t>
            </w:r>
            <w:r w:rsidRPr="0B365B07">
              <w:rPr>
                <w:sz w:val="24"/>
                <w:szCs w:val="24"/>
              </w:rPr>
              <w:t>)</w:t>
            </w:r>
          </w:p>
          <w:p w14:paraId="70191329" w14:textId="556F692F" w:rsidR="0023419E" w:rsidRPr="00501EED" w:rsidRDefault="0023419E" w:rsidP="0B365B07">
            <w:pPr>
              <w:pStyle w:val="NormalWeb"/>
              <w:autoSpaceDE w:val="0"/>
              <w:autoSpaceDN w:val="0"/>
              <w:adjustRightInd w:val="0"/>
              <w:spacing w:before="0" w:beforeAutospacing="0" w:after="0" w:afterAutospacing="0"/>
              <w:jc w:val="both"/>
              <w:rPr>
                <w:rFonts w:cstheme="minorBidi"/>
              </w:rPr>
            </w:pPr>
            <w:r w:rsidRPr="0B365B07">
              <w:rPr>
                <w:rFonts w:asciiTheme="minorHAnsi" w:eastAsiaTheme="minorEastAsia" w:hAnsiTheme="minorHAnsi" w:cstheme="minorBidi"/>
                <w:color w:val="FF0000"/>
                <w:lang w:eastAsia="en-US"/>
              </w:rPr>
              <w:t>Obs.1: Recomenda-se a consulta ao Acórdão TCU nº 2.622/2013-Plenário para obtenção de percentuais de referência para o BDI.</w:t>
            </w:r>
          </w:p>
        </w:tc>
        <w:tc>
          <w:tcPr>
            <w:tcW w:w="1134" w:type="dxa"/>
          </w:tcPr>
          <w:p w14:paraId="0D0110AC" w14:textId="77777777" w:rsidR="0023419E" w:rsidRPr="00893E5F" w:rsidRDefault="0023419E" w:rsidP="0023419E">
            <w:pPr>
              <w:autoSpaceDE w:val="0"/>
              <w:autoSpaceDN w:val="0"/>
              <w:adjustRightInd w:val="0"/>
              <w:jc w:val="both"/>
              <w:rPr>
                <w:rFonts w:cstheme="minorHAnsi"/>
                <w:sz w:val="24"/>
                <w:szCs w:val="24"/>
              </w:rPr>
            </w:pPr>
          </w:p>
        </w:tc>
      </w:tr>
      <w:tr w:rsidR="0023419E" w:rsidRPr="00893E5F" w14:paraId="3B3FC581" w14:textId="77777777" w:rsidTr="0B365B07">
        <w:tc>
          <w:tcPr>
            <w:tcW w:w="8500" w:type="dxa"/>
          </w:tcPr>
          <w:p w14:paraId="56701C9B" w14:textId="2949037F" w:rsidR="00C806ED" w:rsidRPr="006D270B" w:rsidRDefault="4D6C2F6A" w:rsidP="0B365B07">
            <w:pPr>
              <w:pStyle w:val="PargrafodaLista"/>
              <w:numPr>
                <w:ilvl w:val="2"/>
                <w:numId w:val="9"/>
              </w:numPr>
              <w:autoSpaceDE w:val="0"/>
              <w:autoSpaceDN w:val="0"/>
              <w:adjustRightInd w:val="0"/>
              <w:jc w:val="both"/>
            </w:pPr>
            <w:r w:rsidRPr="0B365B07">
              <w:rPr>
                <w:sz w:val="24"/>
                <w:szCs w:val="24"/>
              </w:rPr>
              <w:lastRenderedPageBreak/>
              <w:t xml:space="preserve"> Houve a especificação de BDI diferenciado e reduzido para itens de fornecimento de materiais e equipamentos de natureza específica, que possam ser fornecidos por empresas com especialidades próprias e diversas e que representem percentual significativo do preço global d</w:t>
            </w:r>
            <w:r w:rsidR="4B1D7274" w:rsidRPr="0B365B07">
              <w:rPr>
                <w:sz w:val="24"/>
                <w:szCs w:val="24"/>
              </w:rPr>
              <w:t>o serviço de engenharia</w:t>
            </w:r>
            <w:r w:rsidRPr="0B365B07">
              <w:rPr>
                <w:sz w:val="24"/>
                <w:szCs w:val="24"/>
              </w:rPr>
              <w:t>, se for o caso? (</w:t>
            </w:r>
            <w:r w:rsidR="4B1D7274" w:rsidRPr="0B365B07">
              <w:rPr>
                <w:sz w:val="24"/>
                <w:szCs w:val="24"/>
              </w:rPr>
              <w:t xml:space="preserve">art. 9º, § 1º, do </w:t>
            </w:r>
            <w:r w:rsidR="0142567C" w:rsidRPr="0B365B07">
              <w:rPr>
                <w:sz w:val="24"/>
                <w:szCs w:val="24"/>
              </w:rPr>
              <w:t xml:space="preserve">Decreto </w:t>
            </w:r>
            <w:r w:rsidR="4B1D7274" w:rsidRPr="0B365B07">
              <w:rPr>
                <w:sz w:val="24"/>
                <w:szCs w:val="24"/>
              </w:rPr>
              <w:t xml:space="preserve">n.º 7.983/2013; </w:t>
            </w:r>
            <w:r w:rsidRPr="0B365B07">
              <w:rPr>
                <w:sz w:val="24"/>
                <w:szCs w:val="24"/>
              </w:rPr>
              <w:t>Súmula TCU n.º 253).</w:t>
            </w:r>
          </w:p>
        </w:tc>
        <w:tc>
          <w:tcPr>
            <w:tcW w:w="1134" w:type="dxa"/>
          </w:tcPr>
          <w:p w14:paraId="5B1F4939" w14:textId="77777777" w:rsidR="0023419E" w:rsidRPr="00893E5F" w:rsidRDefault="0023419E" w:rsidP="0023419E">
            <w:pPr>
              <w:autoSpaceDE w:val="0"/>
              <w:autoSpaceDN w:val="0"/>
              <w:adjustRightInd w:val="0"/>
              <w:jc w:val="both"/>
              <w:rPr>
                <w:rFonts w:cstheme="minorHAnsi"/>
                <w:sz w:val="24"/>
                <w:szCs w:val="24"/>
              </w:rPr>
            </w:pPr>
          </w:p>
        </w:tc>
      </w:tr>
      <w:tr w:rsidR="00C806ED" w:rsidRPr="00893E5F" w14:paraId="491D0FE3" w14:textId="77777777" w:rsidTr="0B365B07">
        <w:tc>
          <w:tcPr>
            <w:tcW w:w="8500" w:type="dxa"/>
          </w:tcPr>
          <w:p w14:paraId="68DA0555" w14:textId="6D5C764D" w:rsidR="00C806ED" w:rsidRPr="006D3019" w:rsidRDefault="00C806ED" w:rsidP="002A6B62">
            <w:pPr>
              <w:pStyle w:val="PargrafodaLista"/>
              <w:numPr>
                <w:ilvl w:val="2"/>
                <w:numId w:val="9"/>
              </w:numPr>
              <w:autoSpaceDE w:val="0"/>
              <w:autoSpaceDN w:val="0"/>
              <w:adjustRightInd w:val="0"/>
              <w:jc w:val="both"/>
              <w:rPr>
                <w:sz w:val="24"/>
                <w:szCs w:val="24"/>
              </w:rPr>
            </w:pPr>
            <w:r w:rsidRPr="0B365B07">
              <w:rPr>
                <w:sz w:val="24"/>
                <w:szCs w:val="24"/>
              </w:rPr>
              <w:t xml:space="preserve">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houve o cálculo do BDI com base na complexidade da aquisição, </w:t>
            </w:r>
            <w:r w:rsidR="00CF434F" w:rsidRPr="0B365B07">
              <w:rPr>
                <w:sz w:val="24"/>
                <w:szCs w:val="24"/>
              </w:rPr>
              <w:t xml:space="preserve">de forma justificada, </w:t>
            </w:r>
            <w:r w:rsidR="002A5748" w:rsidRPr="0B365B07">
              <w:rPr>
                <w:sz w:val="24"/>
                <w:szCs w:val="24"/>
              </w:rPr>
              <w:t>em</w:t>
            </w:r>
            <w:r w:rsidRPr="0B365B07">
              <w:rPr>
                <w:sz w:val="24"/>
                <w:szCs w:val="24"/>
              </w:rPr>
              <w:t xml:space="preserve"> exceção à regra prevista no § 1º</w:t>
            </w:r>
            <w:r w:rsidR="002A5748" w:rsidRPr="0B365B07">
              <w:rPr>
                <w:sz w:val="24"/>
                <w:szCs w:val="24"/>
              </w:rPr>
              <w:t>, do art. 9º do Decreto n.º 7.983/2013?</w:t>
            </w:r>
          </w:p>
        </w:tc>
        <w:tc>
          <w:tcPr>
            <w:tcW w:w="1134" w:type="dxa"/>
          </w:tcPr>
          <w:p w14:paraId="0F0B8C96" w14:textId="77777777" w:rsidR="00C806ED" w:rsidRPr="00893E5F" w:rsidRDefault="00C806ED" w:rsidP="0023419E">
            <w:pPr>
              <w:autoSpaceDE w:val="0"/>
              <w:autoSpaceDN w:val="0"/>
              <w:adjustRightInd w:val="0"/>
              <w:jc w:val="both"/>
              <w:rPr>
                <w:rFonts w:cstheme="minorHAnsi"/>
                <w:sz w:val="24"/>
                <w:szCs w:val="24"/>
              </w:rPr>
            </w:pPr>
          </w:p>
        </w:tc>
      </w:tr>
      <w:tr w:rsidR="006D3019" w:rsidRPr="00893E5F" w14:paraId="0BD4F9C1" w14:textId="77777777" w:rsidTr="0B365B07">
        <w:tc>
          <w:tcPr>
            <w:tcW w:w="8500" w:type="dxa"/>
          </w:tcPr>
          <w:p w14:paraId="12EE83CA" w14:textId="2129C789" w:rsidR="006D3019" w:rsidRPr="002A0791" w:rsidRDefault="002A079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 O orçamento considerou tratamentos tributários diferenciados disponíveis para o serviço, em especial a possibilidade de incidência de desoneração tributária?</w:t>
            </w:r>
          </w:p>
        </w:tc>
        <w:tc>
          <w:tcPr>
            <w:tcW w:w="1134" w:type="dxa"/>
          </w:tcPr>
          <w:p w14:paraId="63429181" w14:textId="77777777" w:rsidR="006D3019" w:rsidRPr="00893E5F" w:rsidRDefault="006D3019" w:rsidP="0023419E">
            <w:pPr>
              <w:autoSpaceDE w:val="0"/>
              <w:autoSpaceDN w:val="0"/>
              <w:adjustRightInd w:val="0"/>
              <w:jc w:val="both"/>
              <w:rPr>
                <w:rFonts w:cstheme="minorHAnsi"/>
                <w:sz w:val="24"/>
                <w:szCs w:val="24"/>
              </w:rPr>
            </w:pPr>
          </w:p>
        </w:tc>
      </w:tr>
      <w:tr w:rsidR="002A0791" w:rsidRPr="00893E5F" w14:paraId="0093E04A" w14:textId="77777777" w:rsidTr="0B365B07">
        <w:tc>
          <w:tcPr>
            <w:tcW w:w="8500" w:type="dxa"/>
          </w:tcPr>
          <w:p w14:paraId="74C51087" w14:textId="5014F24C" w:rsidR="002A0791" w:rsidRPr="002A0791" w:rsidRDefault="497E4081" w:rsidP="690CB5A5">
            <w:pPr>
              <w:pStyle w:val="PargrafodaLista"/>
              <w:numPr>
                <w:ilvl w:val="1"/>
                <w:numId w:val="9"/>
              </w:numPr>
              <w:autoSpaceDE w:val="0"/>
              <w:autoSpaceDN w:val="0"/>
              <w:adjustRightInd w:val="0"/>
              <w:ind w:left="1014" w:hanging="654"/>
              <w:jc w:val="both"/>
              <w:rPr>
                <w:sz w:val="24"/>
                <w:szCs w:val="24"/>
              </w:rPr>
            </w:pPr>
            <w:r w:rsidRPr="0B365B07">
              <w:rPr>
                <w:sz w:val="24"/>
                <w:szCs w:val="24"/>
              </w:rPr>
              <w:t>Caso</w:t>
            </w:r>
            <w:r w:rsidR="369460FF" w:rsidRPr="0B365B07">
              <w:rPr>
                <w:sz w:val="24"/>
                <w:szCs w:val="24"/>
              </w:rPr>
              <w:t xml:space="preserve"> o serviço de engenharia </w:t>
            </w:r>
            <w:r w:rsidR="7584BC39" w:rsidRPr="0B365B07">
              <w:rPr>
                <w:sz w:val="24"/>
                <w:szCs w:val="24"/>
              </w:rPr>
              <w:t xml:space="preserve">envolva a disponibilização de </w:t>
            </w:r>
            <w:r w:rsidR="369460FF" w:rsidRPr="0B365B07">
              <w:rPr>
                <w:sz w:val="24"/>
                <w:szCs w:val="24"/>
              </w:rPr>
              <w:t>mão-de-obra em regime de dedicação exclusiva, consta planilha de custos e formação de preços nos termos do subitem 2.9, “b” do Anexo V, da IN SEGES/MP nº 5/2017?</w:t>
            </w:r>
          </w:p>
        </w:tc>
        <w:tc>
          <w:tcPr>
            <w:tcW w:w="1134" w:type="dxa"/>
          </w:tcPr>
          <w:p w14:paraId="47180C12" w14:textId="77777777" w:rsidR="002A0791" w:rsidRPr="00893E5F" w:rsidRDefault="002A0791" w:rsidP="0B365B07">
            <w:pPr>
              <w:autoSpaceDE w:val="0"/>
              <w:autoSpaceDN w:val="0"/>
              <w:adjustRightInd w:val="0"/>
              <w:jc w:val="both"/>
              <w:rPr>
                <w:sz w:val="24"/>
                <w:szCs w:val="24"/>
              </w:rPr>
            </w:pPr>
          </w:p>
        </w:tc>
      </w:tr>
      <w:tr w:rsidR="00761E94" w:rsidRPr="00893E5F" w14:paraId="00B33524" w14:textId="77777777" w:rsidTr="0B365B07">
        <w:tc>
          <w:tcPr>
            <w:tcW w:w="8500" w:type="dxa"/>
          </w:tcPr>
          <w:p w14:paraId="1B9A63E6" w14:textId="293E9B50" w:rsidR="00761E94" w:rsidRPr="00761E94" w:rsidRDefault="312AF4A0"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Foram definidos critérios de aceitabilidade dos preços unitários e global? (art. 11 do Decreto n.º 7.983/2013, Orientação Normativa AGU Nº 5/2009, Súmula TCU n.º 258)</w:t>
            </w:r>
            <w:r>
              <w:t xml:space="preserve"> </w:t>
            </w:r>
          </w:p>
        </w:tc>
        <w:tc>
          <w:tcPr>
            <w:tcW w:w="1134" w:type="dxa"/>
          </w:tcPr>
          <w:p w14:paraId="0CF72781" w14:textId="77777777" w:rsidR="00761E94" w:rsidRPr="00893E5F" w:rsidRDefault="00761E94" w:rsidP="00761E94">
            <w:pPr>
              <w:autoSpaceDE w:val="0"/>
              <w:autoSpaceDN w:val="0"/>
              <w:adjustRightInd w:val="0"/>
              <w:jc w:val="both"/>
              <w:rPr>
                <w:rFonts w:cstheme="minorHAnsi"/>
                <w:sz w:val="24"/>
                <w:szCs w:val="24"/>
              </w:rPr>
            </w:pPr>
          </w:p>
        </w:tc>
      </w:tr>
      <w:tr w:rsidR="00761E94" w:rsidRPr="00893E5F" w14:paraId="2750C35B" w14:textId="77777777" w:rsidTr="0B365B07">
        <w:tc>
          <w:tcPr>
            <w:tcW w:w="8500" w:type="dxa"/>
          </w:tcPr>
          <w:p w14:paraId="0DA5C4C8" w14:textId="24C40C9E" w:rsidR="00761E94" w:rsidRPr="00761E94" w:rsidRDefault="312AF4A0"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Os documentos técnicos foram elaborados por profissional da área de engenharia ou arquitetura competente, devidamente identificado? (</w:t>
            </w:r>
            <w:proofErr w:type="spellStart"/>
            <w:r w:rsidRPr="0B365B07">
              <w:rPr>
                <w:sz w:val="24"/>
                <w:szCs w:val="24"/>
              </w:rPr>
              <w:t>arts</w:t>
            </w:r>
            <w:proofErr w:type="spellEnd"/>
            <w:r w:rsidRPr="0B365B07">
              <w:rPr>
                <w:sz w:val="24"/>
                <w:szCs w:val="24"/>
              </w:rPr>
              <w:t>. 1º e 2º da Lei 6.496/1977, art. 45 da Lei 12.378/2010 e Súmula/TCU nº 260)</w:t>
            </w:r>
          </w:p>
        </w:tc>
        <w:tc>
          <w:tcPr>
            <w:tcW w:w="1134" w:type="dxa"/>
          </w:tcPr>
          <w:p w14:paraId="2B7AF68A" w14:textId="77777777" w:rsidR="00761E94" w:rsidRPr="00893E5F" w:rsidRDefault="00761E94" w:rsidP="00761E94">
            <w:pPr>
              <w:autoSpaceDE w:val="0"/>
              <w:autoSpaceDN w:val="0"/>
              <w:adjustRightInd w:val="0"/>
              <w:jc w:val="both"/>
              <w:rPr>
                <w:rFonts w:cstheme="minorHAnsi"/>
                <w:sz w:val="24"/>
                <w:szCs w:val="24"/>
              </w:rPr>
            </w:pPr>
          </w:p>
        </w:tc>
      </w:tr>
      <w:tr w:rsidR="00761E94" w:rsidRPr="00893E5F" w14:paraId="0047A9B9" w14:textId="77777777" w:rsidTr="0B365B07">
        <w:tc>
          <w:tcPr>
            <w:tcW w:w="8500" w:type="dxa"/>
          </w:tcPr>
          <w:p w14:paraId="29C4FE56" w14:textId="0F8B70B9" w:rsidR="00761E94" w:rsidRPr="00761E94" w:rsidRDefault="00761E94" w:rsidP="0B365B07">
            <w:pPr>
              <w:pStyle w:val="PargrafodaLista"/>
              <w:numPr>
                <w:ilvl w:val="0"/>
                <w:numId w:val="9"/>
              </w:numPr>
              <w:autoSpaceDE w:val="0"/>
              <w:autoSpaceDN w:val="0"/>
              <w:adjustRightInd w:val="0"/>
              <w:ind w:left="22" w:firstLine="0"/>
              <w:jc w:val="both"/>
            </w:pPr>
            <w:r w:rsidRPr="0B365B07">
              <w:rPr>
                <w:sz w:val="24"/>
                <w:szCs w:val="24"/>
              </w:rPr>
              <w:t>Houve juntada de ART ou RRT relativa aos elementos e/ou peças técnicas de arquitetura e/ou engenharia que instruem os autos, inclusive das planilhas orçamentárias? (</w:t>
            </w:r>
            <w:proofErr w:type="spellStart"/>
            <w:r w:rsidRPr="0B365B07">
              <w:rPr>
                <w:sz w:val="24"/>
                <w:szCs w:val="24"/>
              </w:rPr>
              <w:t>arts</w:t>
            </w:r>
            <w:proofErr w:type="spellEnd"/>
            <w:r w:rsidRPr="0B365B07">
              <w:rPr>
                <w:sz w:val="24"/>
                <w:szCs w:val="24"/>
              </w:rPr>
              <w:t>. 1º e 2º da Lei 6.496/1977, art. 45 da Lei n.º 12378/2010 e art. 10 do Decreto</w:t>
            </w:r>
            <w:r w:rsidR="00420C96" w:rsidRPr="0B365B07">
              <w:rPr>
                <w:sz w:val="24"/>
                <w:szCs w:val="24"/>
              </w:rPr>
              <w:t xml:space="preserve"> nº 7.983/13</w:t>
            </w:r>
            <w:r w:rsidRPr="0B365B07">
              <w:rPr>
                <w:sz w:val="24"/>
                <w:szCs w:val="24"/>
              </w:rPr>
              <w:t>, Súmula TCU nº 260)</w:t>
            </w:r>
          </w:p>
        </w:tc>
        <w:tc>
          <w:tcPr>
            <w:tcW w:w="1134" w:type="dxa"/>
          </w:tcPr>
          <w:p w14:paraId="055DF333" w14:textId="77777777" w:rsidR="00761E94" w:rsidRPr="00893E5F" w:rsidRDefault="00761E94" w:rsidP="00761E94">
            <w:pPr>
              <w:autoSpaceDE w:val="0"/>
              <w:autoSpaceDN w:val="0"/>
              <w:adjustRightInd w:val="0"/>
              <w:jc w:val="both"/>
              <w:rPr>
                <w:rFonts w:cstheme="minorHAnsi"/>
                <w:sz w:val="24"/>
                <w:szCs w:val="24"/>
              </w:rPr>
            </w:pPr>
          </w:p>
        </w:tc>
      </w:tr>
      <w:tr w:rsidR="00761E94" w:rsidRPr="00893E5F" w14:paraId="14AD49EA" w14:textId="77777777" w:rsidTr="0B365B07">
        <w:tc>
          <w:tcPr>
            <w:tcW w:w="8500" w:type="dxa"/>
          </w:tcPr>
          <w:p w14:paraId="52F1B944" w14:textId="77777777" w:rsidR="00761E94" w:rsidRPr="00E06A36" w:rsidRDefault="00761E94"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Foram obtidas as aprovações e os licenciamentos pertinentes junto às autoridades competentes, se for o caso?</w:t>
            </w:r>
          </w:p>
          <w:p w14:paraId="7A728821" w14:textId="1AC8BD94" w:rsidR="00761E94" w:rsidRPr="00E06A36" w:rsidRDefault="00761E94" w:rsidP="0B365B07">
            <w:pPr>
              <w:pStyle w:val="PargrafodaLista"/>
              <w:autoSpaceDE w:val="0"/>
              <w:autoSpaceDN w:val="0"/>
              <w:adjustRightInd w:val="0"/>
              <w:ind w:left="22"/>
              <w:jc w:val="both"/>
              <w:rPr>
                <w:color w:val="FF0000"/>
                <w:sz w:val="24"/>
                <w:szCs w:val="24"/>
              </w:rPr>
            </w:pPr>
            <w:proofErr w:type="spellStart"/>
            <w:r w:rsidRPr="0B365B07">
              <w:rPr>
                <w:color w:val="FF0000"/>
                <w:sz w:val="24"/>
                <w:szCs w:val="24"/>
              </w:rPr>
              <w:t>Obs</w:t>
            </w:r>
            <w:proofErr w:type="spellEnd"/>
            <w:r w:rsidRPr="0B365B07">
              <w:rPr>
                <w:color w:val="FF0000"/>
                <w:sz w:val="24"/>
                <w:szCs w:val="24"/>
              </w:rPr>
              <w:t xml:space="preserve"> 1: Quanto ao licenciamento ambiental, cf. Resoluções do Conselho Nacional do Meio Ambiente (CONAMA) nº 001/1986 e nº 237/1997, e Lei nº 6.938/1981. Tratando-se de atividade prevista no Anexo I da Resolução CONAMA nº 237/1997, pode ser necessário o licenciamento prévio.</w:t>
            </w:r>
          </w:p>
          <w:p w14:paraId="45979303" w14:textId="221D8526" w:rsidR="00761E94" w:rsidRPr="00E06A36" w:rsidRDefault="00761E94" w:rsidP="0B365B07">
            <w:pPr>
              <w:pStyle w:val="PargrafodaLista"/>
              <w:autoSpaceDE w:val="0"/>
              <w:autoSpaceDN w:val="0"/>
              <w:adjustRightInd w:val="0"/>
              <w:ind w:left="22"/>
              <w:jc w:val="both"/>
              <w:rPr>
                <w:color w:val="FF0000"/>
                <w:sz w:val="24"/>
                <w:szCs w:val="24"/>
              </w:rPr>
            </w:pPr>
            <w:proofErr w:type="spellStart"/>
            <w:r w:rsidRPr="0B365B07">
              <w:rPr>
                <w:color w:val="FF0000"/>
                <w:sz w:val="24"/>
                <w:szCs w:val="24"/>
              </w:rPr>
              <w:t>Obs</w:t>
            </w:r>
            <w:proofErr w:type="spellEnd"/>
            <w:r w:rsidRPr="0B365B07">
              <w:rPr>
                <w:color w:val="FF0000"/>
                <w:sz w:val="24"/>
                <w:szCs w:val="24"/>
              </w:rPr>
              <w:t xml:space="preserve"> 2: Deve ser aprovado pela autoridade competente o projeto de extensão de rede, reforço ou modificação da rede existente, se for o caso.  (Resolução Normativa ANEEL n. 414/2010, art. 414).</w:t>
            </w:r>
          </w:p>
          <w:p w14:paraId="214C5DD5" w14:textId="6189C6FD" w:rsidR="00761E94" w:rsidRPr="00E06A36" w:rsidRDefault="00761E94" w:rsidP="0B365B07">
            <w:pPr>
              <w:pStyle w:val="PargrafodaLista"/>
              <w:autoSpaceDE w:val="0"/>
              <w:autoSpaceDN w:val="0"/>
              <w:adjustRightInd w:val="0"/>
              <w:ind w:left="22"/>
              <w:jc w:val="both"/>
              <w:rPr>
                <w:color w:val="FF0000"/>
                <w:sz w:val="24"/>
                <w:szCs w:val="24"/>
              </w:rPr>
            </w:pPr>
            <w:r w:rsidRPr="0B365B07">
              <w:rPr>
                <w:color w:val="FF0000"/>
                <w:sz w:val="24"/>
                <w:szCs w:val="24"/>
              </w:rPr>
              <w:t>Obs. 3. Não se pode perder de vista, por exemplo, que alguns serviços exigem apresentação de projeto e obtenção de alvará junto ao órgão municipal.</w:t>
            </w:r>
          </w:p>
          <w:p w14:paraId="05D08791" w14:textId="7DA3BCFC" w:rsidR="00761E94" w:rsidRPr="00E06A36" w:rsidRDefault="00761E94" w:rsidP="0B365B07">
            <w:pPr>
              <w:pStyle w:val="PargrafodaLista"/>
              <w:autoSpaceDE w:val="0"/>
              <w:autoSpaceDN w:val="0"/>
              <w:adjustRightInd w:val="0"/>
              <w:ind w:left="22"/>
              <w:jc w:val="both"/>
              <w:rPr>
                <w:color w:val="FF0000"/>
                <w:sz w:val="24"/>
                <w:szCs w:val="24"/>
              </w:rPr>
            </w:pPr>
            <w:r w:rsidRPr="0B365B07">
              <w:rPr>
                <w:color w:val="FF0000"/>
                <w:sz w:val="24"/>
                <w:szCs w:val="24"/>
              </w:rPr>
              <w:t>Obs. 4. Conforme a natureza dos serviços, podem ser exigidas aprovações do projeto junto ao Corpo de Bombeiros, IPHAN, concessionárias de água, entre outros, competindo ao órgão verificar quais seriam as autorizações pertinentes (Acórdão nº 312/2006 – 2ª Câmara e Acórdão nº 2.352/2006- Plenário)</w:t>
            </w:r>
          </w:p>
          <w:p w14:paraId="1888BFA1" w14:textId="6D8957B3" w:rsidR="00761E94" w:rsidRPr="00761E94" w:rsidRDefault="00761E94" w:rsidP="0B365B07">
            <w:pPr>
              <w:autoSpaceDE w:val="0"/>
              <w:autoSpaceDN w:val="0"/>
              <w:adjustRightInd w:val="0"/>
              <w:jc w:val="both"/>
              <w:rPr>
                <w:sz w:val="24"/>
                <w:szCs w:val="24"/>
              </w:rPr>
            </w:pPr>
            <w:proofErr w:type="spellStart"/>
            <w:r w:rsidRPr="0B365B07">
              <w:rPr>
                <w:color w:val="FF0000"/>
                <w:sz w:val="24"/>
                <w:szCs w:val="24"/>
              </w:rPr>
              <w:t>Obs</w:t>
            </w:r>
            <w:proofErr w:type="spellEnd"/>
            <w:r w:rsidRPr="0B365B07">
              <w:rPr>
                <w:color w:val="FF0000"/>
                <w:sz w:val="24"/>
                <w:szCs w:val="24"/>
              </w:rPr>
              <w:t xml:space="preserve"> 5. Mais que um procedimento burocrático, o contato com concessionárias de serviço público ou órgãos públicos, resolvendo eventuais pendências, pode evitar atrasos na execução do contrato, principalmente na sua etapa final.</w:t>
            </w:r>
          </w:p>
        </w:tc>
        <w:tc>
          <w:tcPr>
            <w:tcW w:w="1134" w:type="dxa"/>
          </w:tcPr>
          <w:p w14:paraId="512C4E31" w14:textId="0C0420F0" w:rsidR="00761E94" w:rsidRPr="00893E5F" w:rsidRDefault="00761E94" w:rsidP="00761E94">
            <w:pPr>
              <w:autoSpaceDE w:val="0"/>
              <w:autoSpaceDN w:val="0"/>
              <w:adjustRightInd w:val="0"/>
              <w:jc w:val="both"/>
              <w:rPr>
                <w:rFonts w:cstheme="minorHAnsi"/>
                <w:sz w:val="24"/>
                <w:szCs w:val="24"/>
              </w:rPr>
            </w:pPr>
          </w:p>
        </w:tc>
      </w:tr>
      <w:tr w:rsidR="00761E94" w:rsidRPr="00893E5F" w14:paraId="0325B314" w14:textId="77777777" w:rsidTr="0B365B07">
        <w:tc>
          <w:tcPr>
            <w:tcW w:w="8500" w:type="dxa"/>
          </w:tcPr>
          <w:p w14:paraId="3B31A583" w14:textId="614AB903" w:rsidR="00291994" w:rsidRPr="00291994" w:rsidRDefault="312AF4A0" w:rsidP="0B365B07">
            <w:pPr>
              <w:pStyle w:val="PargrafodaLista"/>
              <w:numPr>
                <w:ilvl w:val="0"/>
                <w:numId w:val="9"/>
              </w:numPr>
              <w:autoSpaceDE w:val="0"/>
              <w:autoSpaceDN w:val="0"/>
              <w:adjustRightInd w:val="0"/>
              <w:ind w:left="22" w:firstLine="0"/>
              <w:jc w:val="both"/>
            </w:pPr>
            <w:r w:rsidRPr="0B365B07">
              <w:rPr>
                <w:sz w:val="24"/>
                <w:szCs w:val="24"/>
              </w:rPr>
              <w:lastRenderedPageBreak/>
              <w:t>Foi elaborado o Projeto Executivo (art. 6º, inciso X, da Lei n.º 8.666/1993), ou previsto no Termo de Referência ou Projeto Básico que esse documento técnico será desenvolvido concomitantemente com a execução dos serviços? (art. 7º, inciso II e § 1°, da Lei n.º 8.666/1993)</w:t>
            </w:r>
          </w:p>
        </w:tc>
        <w:tc>
          <w:tcPr>
            <w:tcW w:w="1134" w:type="dxa"/>
          </w:tcPr>
          <w:p w14:paraId="7AA766F5" w14:textId="77777777" w:rsidR="00761E94" w:rsidRPr="00893E5F" w:rsidRDefault="00761E94" w:rsidP="00761E94">
            <w:pPr>
              <w:autoSpaceDE w:val="0"/>
              <w:autoSpaceDN w:val="0"/>
              <w:adjustRightInd w:val="0"/>
              <w:jc w:val="both"/>
              <w:rPr>
                <w:rFonts w:cstheme="minorHAnsi"/>
                <w:sz w:val="24"/>
                <w:szCs w:val="24"/>
              </w:rPr>
            </w:pPr>
          </w:p>
        </w:tc>
      </w:tr>
      <w:tr w:rsidR="00291994" w:rsidRPr="00893E5F" w14:paraId="53F1CCD5" w14:textId="77777777" w:rsidTr="0B365B07">
        <w:tc>
          <w:tcPr>
            <w:tcW w:w="8500" w:type="dxa"/>
          </w:tcPr>
          <w:p w14:paraId="6FF21508" w14:textId="7301CD2B" w:rsidR="00291994" w:rsidRPr="006D3019" w:rsidRDefault="00291994"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Tratando-se de atividade de custeio, foi observado o art. 3º do Decreto 10.193</w:t>
            </w:r>
            <w:r w:rsidR="00810400" w:rsidRPr="0B365B07">
              <w:rPr>
                <w:sz w:val="24"/>
                <w:szCs w:val="24"/>
              </w:rPr>
              <w:t>/2019</w:t>
            </w:r>
            <w:r w:rsidRPr="0B365B07">
              <w:rPr>
                <w:sz w:val="24"/>
                <w:szCs w:val="24"/>
              </w:rPr>
              <w:t xml:space="preserve"> c/c art. 3º da Portaria MP nº 249/2012?</w:t>
            </w:r>
          </w:p>
        </w:tc>
        <w:tc>
          <w:tcPr>
            <w:tcW w:w="1134" w:type="dxa"/>
          </w:tcPr>
          <w:p w14:paraId="351DD143" w14:textId="77777777" w:rsidR="00291994" w:rsidRPr="00893E5F" w:rsidRDefault="00291994" w:rsidP="0B365B07">
            <w:pPr>
              <w:autoSpaceDE w:val="0"/>
              <w:autoSpaceDN w:val="0"/>
              <w:adjustRightInd w:val="0"/>
              <w:jc w:val="both"/>
              <w:rPr>
                <w:sz w:val="24"/>
                <w:szCs w:val="24"/>
              </w:rPr>
            </w:pPr>
          </w:p>
        </w:tc>
      </w:tr>
      <w:tr w:rsidR="00761E94" w:rsidRPr="00893E5F" w14:paraId="320BAF8F" w14:textId="77777777" w:rsidTr="0B365B07">
        <w:tc>
          <w:tcPr>
            <w:tcW w:w="8500" w:type="dxa"/>
          </w:tcPr>
          <w:p w14:paraId="3D3FFA01" w14:textId="22316804" w:rsidR="00761E94" w:rsidRPr="00761E94" w:rsidRDefault="00761E94"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Consta indicação do recurso orçamentário próprio para a despesa e da respectiva rubrica, caso não se trate de licitação processada pelo SRP? (art. 8º, IV, do Decreto 10.024/19, e </w:t>
            </w:r>
            <w:proofErr w:type="spellStart"/>
            <w:r w:rsidRPr="0B365B07">
              <w:rPr>
                <w:sz w:val="24"/>
                <w:szCs w:val="24"/>
              </w:rPr>
              <w:t>arts</w:t>
            </w:r>
            <w:proofErr w:type="spellEnd"/>
            <w:r w:rsidRPr="0B365B07">
              <w:rPr>
                <w:sz w:val="24"/>
                <w:szCs w:val="24"/>
              </w:rPr>
              <w:t xml:space="preserve">. 7º, § 2º, III, e 38, </w:t>
            </w:r>
            <w:r w:rsidRPr="0B365B07">
              <w:rPr>
                <w:i/>
                <w:iCs/>
                <w:sz w:val="24"/>
                <w:szCs w:val="24"/>
              </w:rPr>
              <w:t>caput</w:t>
            </w:r>
            <w:r w:rsidRPr="0B365B07">
              <w:rPr>
                <w:sz w:val="24"/>
                <w:szCs w:val="24"/>
              </w:rPr>
              <w:t>, da Lei 8.666/93)</w:t>
            </w:r>
          </w:p>
        </w:tc>
        <w:tc>
          <w:tcPr>
            <w:tcW w:w="1134" w:type="dxa"/>
          </w:tcPr>
          <w:p w14:paraId="5A66BA73" w14:textId="77777777" w:rsidR="00761E94" w:rsidRPr="00893E5F" w:rsidRDefault="00761E94" w:rsidP="00761E94">
            <w:pPr>
              <w:autoSpaceDE w:val="0"/>
              <w:autoSpaceDN w:val="0"/>
              <w:adjustRightInd w:val="0"/>
              <w:jc w:val="both"/>
              <w:rPr>
                <w:rFonts w:cstheme="minorHAnsi"/>
                <w:sz w:val="24"/>
                <w:szCs w:val="24"/>
              </w:rPr>
            </w:pPr>
          </w:p>
        </w:tc>
      </w:tr>
      <w:tr w:rsidR="00761E94" w:rsidRPr="00893E5F" w14:paraId="7FA72A3B" w14:textId="77777777" w:rsidTr="0B365B07">
        <w:tc>
          <w:tcPr>
            <w:tcW w:w="8500" w:type="dxa"/>
          </w:tcPr>
          <w:p w14:paraId="123CE479" w14:textId="28E5DEC4" w:rsidR="00761E94" w:rsidRPr="00291994" w:rsidRDefault="00761E94"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Se for o caso, consta</w:t>
            </w:r>
            <w:r w:rsidR="00291994" w:rsidRPr="0B365B07">
              <w:rPr>
                <w:sz w:val="24"/>
                <w:szCs w:val="24"/>
              </w:rPr>
              <w:t>m</w:t>
            </w:r>
            <w:r w:rsidRPr="0B365B07">
              <w:rPr>
                <w:sz w:val="24"/>
                <w:szCs w:val="24"/>
              </w:rPr>
              <w:t xml:space="preserve"> a estimativa</w:t>
            </w:r>
            <w:r w:rsidR="00291994" w:rsidRPr="0B365B07">
              <w:rPr>
                <w:sz w:val="24"/>
                <w:szCs w:val="24"/>
              </w:rPr>
              <w:t xml:space="preserve"> do impacto orçamentário-financeiro da despesa no exercício em que deva entrar em vigor e nos dois subsequentes e a declaração</w:t>
            </w:r>
            <w:r w:rsidR="00291994">
              <w:t xml:space="preserve"> de </w:t>
            </w:r>
            <w:r w:rsidR="00291994" w:rsidRPr="0B365B07">
              <w:rPr>
                <w:sz w:val="24"/>
                <w:szCs w:val="24"/>
              </w:rPr>
              <w:t>adequação orçamentária e financeira do ordenador da despesa,</w:t>
            </w:r>
            <w:r w:rsidRPr="0B365B07">
              <w:rPr>
                <w:sz w:val="24"/>
                <w:szCs w:val="24"/>
              </w:rPr>
              <w:t xml:space="preserve"> prevista</w:t>
            </w:r>
            <w:r w:rsidR="00291994" w:rsidRPr="0B365B07">
              <w:rPr>
                <w:sz w:val="24"/>
                <w:szCs w:val="24"/>
              </w:rPr>
              <w:t xml:space="preserve">s, respectivamente, </w:t>
            </w:r>
            <w:r w:rsidRPr="0B365B07">
              <w:rPr>
                <w:sz w:val="24"/>
                <w:szCs w:val="24"/>
              </w:rPr>
              <w:t>no</w:t>
            </w:r>
            <w:r w:rsidR="00291994" w:rsidRPr="0B365B07">
              <w:rPr>
                <w:sz w:val="24"/>
                <w:szCs w:val="24"/>
              </w:rPr>
              <w:t xml:space="preserve">s incisos </w:t>
            </w:r>
            <w:r w:rsidRPr="0B365B07">
              <w:rPr>
                <w:sz w:val="24"/>
                <w:szCs w:val="24"/>
              </w:rPr>
              <w:t xml:space="preserve"> </w:t>
            </w:r>
            <w:r w:rsidR="00291994" w:rsidRPr="0B365B07">
              <w:rPr>
                <w:sz w:val="24"/>
                <w:szCs w:val="24"/>
              </w:rPr>
              <w:t xml:space="preserve">I e II, do </w:t>
            </w:r>
            <w:r w:rsidRPr="0B365B07">
              <w:rPr>
                <w:sz w:val="24"/>
                <w:szCs w:val="24"/>
              </w:rPr>
              <w:t xml:space="preserve">art. 16, </w:t>
            </w:r>
            <w:r w:rsidR="00291994" w:rsidRPr="0B365B07">
              <w:rPr>
                <w:sz w:val="24"/>
                <w:szCs w:val="24"/>
              </w:rPr>
              <w:t>da</w:t>
            </w:r>
            <w:r w:rsidRPr="0B365B07">
              <w:rPr>
                <w:sz w:val="24"/>
                <w:szCs w:val="24"/>
              </w:rPr>
              <w:t xml:space="preserve"> L</w:t>
            </w:r>
            <w:r w:rsidR="00291994" w:rsidRPr="0B365B07">
              <w:rPr>
                <w:sz w:val="24"/>
                <w:szCs w:val="24"/>
              </w:rPr>
              <w:t>ei Complementar</w:t>
            </w:r>
            <w:r w:rsidRPr="0B365B07">
              <w:rPr>
                <w:sz w:val="24"/>
                <w:szCs w:val="24"/>
              </w:rPr>
              <w:t xml:space="preserve"> 101/2000? (ON/AGU 52/2014)</w:t>
            </w:r>
          </w:p>
          <w:p w14:paraId="49C9FF3C" w14:textId="76884CF3" w:rsidR="00761E94" w:rsidRPr="00291994" w:rsidRDefault="00761E94" w:rsidP="0B365B07">
            <w:pPr>
              <w:autoSpaceDE w:val="0"/>
              <w:autoSpaceDN w:val="0"/>
              <w:adjustRightInd w:val="0"/>
              <w:jc w:val="both"/>
              <w:rPr>
                <w:sz w:val="24"/>
                <w:szCs w:val="24"/>
              </w:rPr>
            </w:pPr>
            <w:r w:rsidRPr="0B365B07">
              <w:rPr>
                <w:color w:val="FF0000"/>
                <w:sz w:val="24"/>
                <w:szCs w:val="24"/>
              </w:rPr>
              <w:t>Obs. 1: ON AGU 52: “As despesas ordinárias e rotineiras da administração, já previstas no orçamento e destinadas à manutenção das ações governamentais preexistentes, dispensam as exigências previstas nos incisos I e II do art. 16 da Lei Complementar 101, de 2000.”</w:t>
            </w:r>
          </w:p>
        </w:tc>
        <w:tc>
          <w:tcPr>
            <w:tcW w:w="1134" w:type="dxa"/>
          </w:tcPr>
          <w:p w14:paraId="65516BF3" w14:textId="78E0576E" w:rsidR="00761E94" w:rsidRPr="00893E5F" w:rsidRDefault="00761E94" w:rsidP="0B365B07">
            <w:pPr>
              <w:autoSpaceDE w:val="0"/>
              <w:autoSpaceDN w:val="0"/>
              <w:adjustRightInd w:val="0"/>
              <w:jc w:val="both"/>
              <w:rPr>
                <w:sz w:val="24"/>
                <w:szCs w:val="24"/>
              </w:rPr>
            </w:pPr>
          </w:p>
        </w:tc>
      </w:tr>
      <w:tr w:rsidR="00761E94" w:rsidRPr="00893E5F" w14:paraId="17275C6F" w14:textId="77777777" w:rsidTr="0B365B07">
        <w:tc>
          <w:tcPr>
            <w:tcW w:w="8500" w:type="dxa"/>
          </w:tcPr>
          <w:p w14:paraId="1C118172" w14:textId="17C5DC7B" w:rsidR="00761E94" w:rsidRPr="00EB2236" w:rsidRDefault="00EB2236"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Foram utilizados os modelos padronizados de instrumentos contratuais da Advocacia-Geral</w:t>
            </w:r>
            <w:r w:rsidR="0089336A" w:rsidRPr="0B365B07">
              <w:rPr>
                <w:sz w:val="24"/>
                <w:szCs w:val="24"/>
              </w:rPr>
              <w:t xml:space="preserve"> da</w:t>
            </w:r>
            <w:r w:rsidRPr="0B365B07">
              <w:rPr>
                <w:sz w:val="24"/>
                <w:szCs w:val="24"/>
              </w:rPr>
              <w:t xml:space="preserve"> União</w:t>
            </w:r>
            <w:r w:rsidR="00B21157" w:rsidRPr="0B365B07">
              <w:rPr>
                <w:sz w:val="24"/>
                <w:szCs w:val="24"/>
              </w:rPr>
              <w:t>, observadas as diretrizes dispostas no Anexo VII-F da IN SEGES/MP n.º 05/2017</w:t>
            </w:r>
            <w:r w:rsidR="00B21157" w:rsidRPr="0B365B07">
              <w:rPr>
                <w:sz w:val="24"/>
                <w:szCs w:val="24"/>
                <w:lang w:val="en-US"/>
              </w:rPr>
              <w:t>?</w:t>
            </w:r>
            <w:r w:rsidRPr="0B365B07">
              <w:rPr>
                <w:sz w:val="24"/>
                <w:szCs w:val="24"/>
              </w:rPr>
              <w:t xml:space="preserve"> (Art. 3</w:t>
            </w:r>
            <w:r w:rsidR="00B21157" w:rsidRPr="0B365B07">
              <w:rPr>
                <w:sz w:val="24"/>
                <w:szCs w:val="24"/>
              </w:rPr>
              <w:t>5</w:t>
            </w:r>
            <w:r w:rsidRPr="0B365B07">
              <w:rPr>
                <w:sz w:val="24"/>
                <w:szCs w:val="24"/>
              </w:rPr>
              <w:t xml:space="preserve"> da IN SEGES/MP nº 5/2017).</w:t>
            </w:r>
          </w:p>
        </w:tc>
        <w:tc>
          <w:tcPr>
            <w:tcW w:w="1134" w:type="dxa"/>
          </w:tcPr>
          <w:p w14:paraId="669FAFC7" w14:textId="457104F0" w:rsidR="00761E94" w:rsidRPr="00893E5F" w:rsidRDefault="00761E94" w:rsidP="0B365B07">
            <w:pPr>
              <w:autoSpaceDE w:val="0"/>
              <w:autoSpaceDN w:val="0"/>
              <w:adjustRightInd w:val="0"/>
              <w:jc w:val="both"/>
              <w:rPr>
                <w:sz w:val="24"/>
                <w:szCs w:val="24"/>
              </w:rPr>
            </w:pPr>
          </w:p>
        </w:tc>
      </w:tr>
      <w:tr w:rsidR="00761E94" w:rsidRPr="00893E5F" w14:paraId="2684A42B" w14:textId="77777777" w:rsidTr="00D2139D">
        <w:trPr>
          <w:trHeight w:val="124"/>
        </w:trPr>
        <w:tc>
          <w:tcPr>
            <w:tcW w:w="8500" w:type="dxa"/>
          </w:tcPr>
          <w:p w14:paraId="7AEEFE51" w14:textId="34DF920D" w:rsidR="00761E94" w:rsidRPr="00EB2236" w:rsidRDefault="5C2EC609"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 </w:t>
            </w:r>
            <w:r w:rsidR="008A4F28" w:rsidRPr="0B365B07">
              <w:rPr>
                <w:sz w:val="24"/>
                <w:szCs w:val="24"/>
              </w:rPr>
              <w:t>Eventuais alterações nos modelos ou sua não utilização foram devidamente justificadas no processo?</w:t>
            </w:r>
          </w:p>
        </w:tc>
        <w:tc>
          <w:tcPr>
            <w:tcW w:w="1134" w:type="dxa"/>
          </w:tcPr>
          <w:p w14:paraId="3D9F6223" w14:textId="77777777" w:rsidR="00761E94" w:rsidRPr="00893E5F" w:rsidRDefault="00761E94" w:rsidP="0B365B07">
            <w:pPr>
              <w:autoSpaceDE w:val="0"/>
              <w:autoSpaceDN w:val="0"/>
              <w:adjustRightInd w:val="0"/>
              <w:jc w:val="both"/>
              <w:rPr>
                <w:sz w:val="24"/>
                <w:szCs w:val="24"/>
              </w:rPr>
            </w:pPr>
          </w:p>
        </w:tc>
      </w:tr>
    </w:tbl>
    <w:p w14:paraId="56F96548" w14:textId="77777777" w:rsidR="00187AB9" w:rsidRDefault="00187AB9" w:rsidP="00A14074">
      <w:pPr>
        <w:autoSpaceDE w:val="0"/>
        <w:autoSpaceDN w:val="0"/>
        <w:adjustRightInd w:val="0"/>
        <w:spacing w:after="0" w:line="240" w:lineRule="auto"/>
        <w:jc w:val="both"/>
        <w:rPr>
          <w:rFonts w:cstheme="minorHAnsi"/>
          <w:sz w:val="24"/>
          <w:szCs w:val="24"/>
        </w:rPr>
      </w:pPr>
    </w:p>
    <w:p w14:paraId="38AF5BBD" w14:textId="77777777" w:rsidR="002762A5" w:rsidRDefault="002762A5" w:rsidP="00A14074">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8500"/>
        <w:gridCol w:w="1134"/>
      </w:tblGrid>
      <w:tr w:rsidR="00786ACC" w:rsidRPr="00163F8E" w14:paraId="12642E67" w14:textId="77777777" w:rsidTr="0B365B07">
        <w:tc>
          <w:tcPr>
            <w:tcW w:w="8500" w:type="dxa"/>
          </w:tcPr>
          <w:p w14:paraId="3A5F40AB" w14:textId="77777777" w:rsidR="00786ACC" w:rsidRPr="00163F8E" w:rsidRDefault="00786ACC" w:rsidP="00761E94">
            <w:pPr>
              <w:autoSpaceDE w:val="0"/>
              <w:autoSpaceDN w:val="0"/>
              <w:adjustRightInd w:val="0"/>
              <w:jc w:val="both"/>
              <w:rPr>
                <w:rFonts w:cstheme="minorHAnsi"/>
                <w:sz w:val="24"/>
                <w:szCs w:val="24"/>
              </w:rPr>
            </w:pPr>
            <w:r w:rsidRPr="00163F8E">
              <w:rPr>
                <w:rFonts w:cstheme="minorHAnsi"/>
                <w:b/>
                <w:bCs/>
                <w:sz w:val="24"/>
                <w:szCs w:val="24"/>
              </w:rPr>
              <w:t xml:space="preserve">LISTA DE VERIFICAÇÃO ESPECÍFICA PARA CONTRATAÇÃO PRECEDIDA DE LICITAÇÃO </w:t>
            </w:r>
          </w:p>
        </w:tc>
        <w:tc>
          <w:tcPr>
            <w:tcW w:w="1134" w:type="dxa"/>
          </w:tcPr>
          <w:p w14:paraId="7340C63F" w14:textId="77777777" w:rsidR="00786ACC" w:rsidRPr="00163F8E" w:rsidRDefault="00786ACC" w:rsidP="00761E94">
            <w:pPr>
              <w:autoSpaceDE w:val="0"/>
              <w:autoSpaceDN w:val="0"/>
              <w:adjustRightInd w:val="0"/>
              <w:jc w:val="both"/>
              <w:rPr>
                <w:rFonts w:cstheme="minorHAnsi"/>
                <w:szCs w:val="24"/>
              </w:rPr>
            </w:pPr>
            <w:r w:rsidRPr="00163F8E">
              <w:rPr>
                <w:rFonts w:cstheme="minorHAnsi"/>
                <w:szCs w:val="24"/>
              </w:rPr>
              <w:t>ESTADO</w:t>
            </w:r>
          </w:p>
          <w:p w14:paraId="17024ED5" w14:textId="77777777" w:rsidR="00786ACC" w:rsidRPr="00163F8E" w:rsidRDefault="00786ACC" w:rsidP="00761E94">
            <w:pPr>
              <w:autoSpaceDE w:val="0"/>
              <w:autoSpaceDN w:val="0"/>
              <w:adjustRightInd w:val="0"/>
              <w:jc w:val="both"/>
              <w:rPr>
                <w:rFonts w:cstheme="minorHAnsi"/>
                <w:szCs w:val="24"/>
              </w:rPr>
            </w:pPr>
            <w:r w:rsidRPr="00163F8E">
              <w:rPr>
                <w:rFonts w:cstheme="minorHAnsi"/>
                <w:szCs w:val="24"/>
              </w:rPr>
              <w:t>S/N/N.A.</w:t>
            </w:r>
          </w:p>
        </w:tc>
      </w:tr>
      <w:tr w:rsidR="00786ACC" w:rsidRPr="00163F8E" w14:paraId="08D9FF4B" w14:textId="77777777" w:rsidTr="0B365B07">
        <w:tc>
          <w:tcPr>
            <w:tcW w:w="8500" w:type="dxa"/>
          </w:tcPr>
          <w:p w14:paraId="2854E6D5" w14:textId="2B4B6352" w:rsidR="00786ACC" w:rsidRDefault="00786AC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Houve justificativa do enquadramento ou não do objeto como sendo serviço comum</w:t>
            </w:r>
            <w:r w:rsidR="0060641A" w:rsidRPr="0B365B07">
              <w:rPr>
                <w:sz w:val="24"/>
                <w:szCs w:val="24"/>
              </w:rPr>
              <w:t xml:space="preserve"> de engenharia</w:t>
            </w:r>
            <w:r w:rsidRPr="0B365B07">
              <w:rPr>
                <w:sz w:val="24"/>
                <w:szCs w:val="24"/>
              </w:rPr>
              <w:t>? (</w:t>
            </w:r>
            <w:r w:rsidR="00167A8F" w:rsidRPr="0B365B07">
              <w:rPr>
                <w:sz w:val="24"/>
                <w:szCs w:val="24"/>
              </w:rPr>
              <w:t xml:space="preserve">art. 3º, inciso VIII, do Decreto n.º 10.024/2019; </w:t>
            </w:r>
            <w:r w:rsidRPr="0B365B07">
              <w:rPr>
                <w:sz w:val="24"/>
                <w:szCs w:val="24"/>
              </w:rPr>
              <w:t>ON AGU nº 54/2014)</w:t>
            </w:r>
          </w:p>
          <w:p w14:paraId="3E7634D2" w14:textId="1005F76E" w:rsidR="0059246A" w:rsidRDefault="00167A8F" w:rsidP="0B365B07">
            <w:pPr>
              <w:autoSpaceDE w:val="0"/>
              <w:autoSpaceDN w:val="0"/>
              <w:adjustRightInd w:val="0"/>
              <w:jc w:val="both"/>
              <w:rPr>
                <w:color w:val="FF0000"/>
                <w:sz w:val="24"/>
                <w:szCs w:val="24"/>
              </w:rPr>
            </w:pPr>
            <w:r w:rsidRPr="0B365B07">
              <w:rPr>
                <w:color w:val="FF0000"/>
                <w:sz w:val="24"/>
                <w:szCs w:val="24"/>
              </w:rPr>
              <w:t xml:space="preserve">Obs.1: O art. 3º, inciso VIII, do Decreto n.º 10.024/2019 define serviço comum de engenharia como a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 </w:t>
            </w:r>
          </w:p>
          <w:p w14:paraId="5C2842CF" w14:textId="344E649A" w:rsidR="00786ACC" w:rsidRPr="008B4E9F" w:rsidRDefault="00786ACC" w:rsidP="0B365B07">
            <w:pPr>
              <w:autoSpaceDE w:val="0"/>
              <w:autoSpaceDN w:val="0"/>
              <w:adjustRightInd w:val="0"/>
              <w:jc w:val="both"/>
              <w:rPr>
                <w:sz w:val="24"/>
                <w:szCs w:val="24"/>
              </w:rPr>
            </w:pPr>
            <w:r w:rsidRPr="0B365B07">
              <w:rPr>
                <w:color w:val="FF0000"/>
                <w:sz w:val="24"/>
                <w:szCs w:val="24"/>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1134" w:type="dxa"/>
          </w:tcPr>
          <w:p w14:paraId="0F97D957"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38845AD7" w14:textId="77777777" w:rsidTr="0B365B07">
        <w:tc>
          <w:tcPr>
            <w:tcW w:w="8500" w:type="dxa"/>
          </w:tcPr>
          <w:p w14:paraId="0C94FB9C" w14:textId="197F2E32" w:rsidR="00786ACC" w:rsidRDefault="00786AC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Sendo enquadrado o objeto como serviço comum, foi adotado o pregão? (art. 1º da Lei 10.520/02; </w:t>
            </w:r>
            <w:r w:rsidR="00B8293E" w:rsidRPr="0B365B07">
              <w:rPr>
                <w:sz w:val="24"/>
                <w:szCs w:val="24"/>
              </w:rPr>
              <w:t>art. 1º</w:t>
            </w:r>
            <w:r w:rsidR="00DE10EF" w:rsidRPr="0B365B07">
              <w:rPr>
                <w:sz w:val="24"/>
                <w:szCs w:val="24"/>
              </w:rPr>
              <w:t>, caput,</w:t>
            </w:r>
            <w:r w:rsidR="00B8293E" w:rsidRPr="0B365B07">
              <w:rPr>
                <w:sz w:val="24"/>
                <w:szCs w:val="24"/>
              </w:rPr>
              <w:t xml:space="preserve"> do Decreto 10.024/2019</w:t>
            </w:r>
            <w:r w:rsidR="00DE10EF" w:rsidRPr="0B365B07">
              <w:rPr>
                <w:sz w:val="24"/>
                <w:szCs w:val="24"/>
              </w:rPr>
              <w:t>; ON AGU n.º 67/2020</w:t>
            </w:r>
            <w:r w:rsidRPr="0B365B07">
              <w:rPr>
                <w:sz w:val="24"/>
                <w:szCs w:val="24"/>
              </w:rPr>
              <w:t>)</w:t>
            </w:r>
          </w:p>
          <w:p w14:paraId="2E23899C" w14:textId="2CA46314" w:rsidR="00602A83" w:rsidRPr="00163F8E" w:rsidRDefault="00602A83" w:rsidP="0B365B07">
            <w:pPr>
              <w:autoSpaceDE w:val="0"/>
              <w:autoSpaceDN w:val="0"/>
              <w:adjustRightInd w:val="0"/>
              <w:jc w:val="both"/>
              <w:rPr>
                <w:sz w:val="24"/>
                <w:szCs w:val="24"/>
              </w:rPr>
            </w:pPr>
            <w:r w:rsidRPr="0B365B07">
              <w:rPr>
                <w:color w:val="FF0000"/>
                <w:sz w:val="24"/>
                <w:szCs w:val="24"/>
              </w:rPr>
              <w:t>ON AGU nº 67</w:t>
            </w:r>
            <w:r w:rsidR="008B4E9F" w:rsidRPr="0B365B07">
              <w:rPr>
                <w:color w:val="FF0000"/>
                <w:sz w:val="24"/>
                <w:szCs w:val="24"/>
              </w:rPr>
              <w:t>/</w:t>
            </w:r>
            <w:r w:rsidRPr="0B365B07">
              <w:rPr>
                <w:color w:val="FF0000"/>
                <w:sz w:val="24"/>
                <w:szCs w:val="24"/>
              </w:rPr>
              <w:t>2020: Não há óbice jurídico para adoção da modalidade pregão para contração de serviços de engenharia caso o objeto seja tecnicamente caracterizado como serviço de natureza comum, na forma do parágrafo único do art. 1º da Lei nº 10.520, de 2002.</w:t>
            </w:r>
          </w:p>
        </w:tc>
        <w:tc>
          <w:tcPr>
            <w:tcW w:w="1134" w:type="dxa"/>
          </w:tcPr>
          <w:p w14:paraId="2462E357"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6DC27B3B" w14:textId="77777777" w:rsidTr="0B365B07">
        <w:tc>
          <w:tcPr>
            <w:tcW w:w="8500" w:type="dxa"/>
          </w:tcPr>
          <w:p w14:paraId="489DC4EB" w14:textId="5578D9DC"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lastRenderedPageBreak/>
              <w:t>Sendo adotado o pregão, a autoridade competente designou o pregoeiro e a respectiva equipe de apoio? (art. 3º, IV, §§1º e 2º da Lei 10.520/02</w:t>
            </w:r>
            <w:r w:rsidR="13F3332B" w:rsidRPr="0B365B07">
              <w:rPr>
                <w:sz w:val="24"/>
                <w:szCs w:val="24"/>
              </w:rPr>
              <w:t>, art. 8º, VI do Decreto 10.024/19</w:t>
            </w:r>
            <w:r w:rsidRPr="0B365B07">
              <w:rPr>
                <w:sz w:val="24"/>
                <w:szCs w:val="24"/>
              </w:rPr>
              <w:t>)</w:t>
            </w:r>
          </w:p>
        </w:tc>
        <w:tc>
          <w:tcPr>
            <w:tcW w:w="1134" w:type="dxa"/>
          </w:tcPr>
          <w:p w14:paraId="6798565E"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06D1F7C9" w14:textId="77777777" w:rsidTr="0B365B07">
        <w:tc>
          <w:tcPr>
            <w:tcW w:w="8500" w:type="dxa"/>
          </w:tcPr>
          <w:p w14:paraId="58FE8416" w14:textId="3E5895CE"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No caso de realizada a licitação por pregão presencial, consta a justificativa válida quanto à inviabilidade de utilizar-se o formato eletrônico? (</w:t>
            </w:r>
            <w:r w:rsidR="13F3332B" w:rsidRPr="0B365B07">
              <w:rPr>
                <w:sz w:val="24"/>
                <w:szCs w:val="24"/>
              </w:rPr>
              <w:t>art. 1º, §4º</w:t>
            </w:r>
            <w:r w:rsidR="780BA241" w:rsidRPr="0B365B07">
              <w:rPr>
                <w:sz w:val="24"/>
                <w:szCs w:val="24"/>
              </w:rPr>
              <w:t>,</w:t>
            </w:r>
            <w:r w:rsidR="13F3332B" w:rsidRPr="0B365B07">
              <w:rPr>
                <w:sz w:val="24"/>
                <w:szCs w:val="24"/>
              </w:rPr>
              <w:t xml:space="preserve"> do Decreto 10.024/2019</w:t>
            </w:r>
            <w:r w:rsidRPr="0B365B07">
              <w:rPr>
                <w:sz w:val="24"/>
                <w:szCs w:val="24"/>
              </w:rPr>
              <w:t xml:space="preserve">) </w:t>
            </w:r>
          </w:p>
        </w:tc>
        <w:tc>
          <w:tcPr>
            <w:tcW w:w="1134" w:type="dxa"/>
          </w:tcPr>
          <w:p w14:paraId="371E315C"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21DD4E8C" w14:textId="77777777" w:rsidTr="0B365B07">
        <w:tc>
          <w:tcPr>
            <w:tcW w:w="8500" w:type="dxa"/>
          </w:tcPr>
          <w:p w14:paraId="401B846E" w14:textId="3D3446E0" w:rsidR="00786ACC" w:rsidRPr="00163F8E" w:rsidRDefault="07DD3F1C" w:rsidP="00C04A10">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Sendo </w:t>
            </w:r>
            <w:r w:rsidR="28A535CC" w:rsidRPr="0B365B07">
              <w:rPr>
                <w:sz w:val="24"/>
                <w:szCs w:val="24"/>
              </w:rPr>
              <w:t xml:space="preserve">enquadrado o objeto como </w:t>
            </w:r>
            <w:r w:rsidRPr="0B365B07">
              <w:rPr>
                <w:sz w:val="24"/>
                <w:szCs w:val="24"/>
              </w:rPr>
              <w:t>serviço especial</w:t>
            </w:r>
            <w:r w:rsidR="2A200D56" w:rsidRPr="0B365B07">
              <w:rPr>
                <w:sz w:val="24"/>
                <w:szCs w:val="24"/>
              </w:rPr>
              <w:t>,</w:t>
            </w:r>
            <w:r w:rsidRPr="0B365B07">
              <w:rPr>
                <w:sz w:val="24"/>
                <w:szCs w:val="24"/>
              </w:rPr>
              <w:t xml:space="preserve"> </w:t>
            </w:r>
            <w:r w:rsidR="5ADA35F7" w:rsidRPr="0B365B07">
              <w:rPr>
                <w:sz w:val="24"/>
                <w:szCs w:val="24"/>
              </w:rPr>
              <w:t xml:space="preserve">foi </w:t>
            </w:r>
            <w:r w:rsidR="636A9E72" w:rsidRPr="0B365B07">
              <w:rPr>
                <w:sz w:val="24"/>
                <w:szCs w:val="24"/>
              </w:rPr>
              <w:t>adotada modalidade de licitação diversa do pregão</w:t>
            </w:r>
            <w:r w:rsidR="5ADA35F7" w:rsidRPr="0B365B07">
              <w:rPr>
                <w:sz w:val="24"/>
                <w:szCs w:val="24"/>
              </w:rPr>
              <w:t>?</w:t>
            </w:r>
            <w:r w:rsidR="03AAF159" w:rsidRPr="0B365B07">
              <w:rPr>
                <w:sz w:val="24"/>
                <w:szCs w:val="24"/>
              </w:rPr>
              <w:t xml:space="preserve"> (art. 3º, inciso III, c/c o art. 4º, inciso III, do Decreto n.º 10.024/2019)</w:t>
            </w:r>
            <w:r w:rsidR="636A9E72" w:rsidRPr="0B365B07">
              <w:rPr>
                <w:sz w:val="24"/>
                <w:szCs w:val="24"/>
              </w:rPr>
              <w:t xml:space="preserve"> </w:t>
            </w:r>
          </w:p>
        </w:tc>
        <w:tc>
          <w:tcPr>
            <w:tcW w:w="1134" w:type="dxa"/>
          </w:tcPr>
          <w:p w14:paraId="7AB44274" w14:textId="77777777" w:rsidR="00786ACC" w:rsidRPr="00163F8E" w:rsidRDefault="00786ACC" w:rsidP="00761E94">
            <w:pPr>
              <w:autoSpaceDE w:val="0"/>
              <w:autoSpaceDN w:val="0"/>
              <w:adjustRightInd w:val="0"/>
              <w:jc w:val="both"/>
              <w:rPr>
                <w:rFonts w:cstheme="minorHAnsi"/>
                <w:sz w:val="24"/>
                <w:szCs w:val="24"/>
              </w:rPr>
            </w:pPr>
          </w:p>
        </w:tc>
      </w:tr>
      <w:tr w:rsidR="00C04A10" w:rsidRPr="00163F8E" w14:paraId="505AF093" w14:textId="77777777" w:rsidTr="0B365B07">
        <w:tc>
          <w:tcPr>
            <w:tcW w:w="8500" w:type="dxa"/>
          </w:tcPr>
          <w:p w14:paraId="68387AC5" w14:textId="5A6C8085" w:rsidR="00C04A10" w:rsidRDefault="00C04A10" w:rsidP="0B365B07">
            <w:pPr>
              <w:pStyle w:val="PargrafodaLista"/>
              <w:numPr>
                <w:ilvl w:val="1"/>
                <w:numId w:val="9"/>
              </w:numPr>
              <w:autoSpaceDE w:val="0"/>
              <w:autoSpaceDN w:val="0"/>
              <w:adjustRightInd w:val="0"/>
              <w:jc w:val="both"/>
              <w:rPr>
                <w:sz w:val="24"/>
                <w:szCs w:val="24"/>
              </w:rPr>
            </w:pPr>
            <w:r w:rsidRPr="0B365B07">
              <w:rPr>
                <w:sz w:val="24"/>
                <w:szCs w:val="24"/>
              </w:rPr>
              <w:t>Consta designação da Comissão de Licitação? (art. 38, III, da Lei 8.666/93)</w:t>
            </w:r>
          </w:p>
        </w:tc>
        <w:tc>
          <w:tcPr>
            <w:tcW w:w="1134" w:type="dxa"/>
          </w:tcPr>
          <w:p w14:paraId="59CAB3A7" w14:textId="77777777" w:rsidR="00C04A10" w:rsidRPr="00163F8E" w:rsidRDefault="00C04A10" w:rsidP="0B365B07">
            <w:pPr>
              <w:autoSpaceDE w:val="0"/>
              <w:autoSpaceDN w:val="0"/>
              <w:adjustRightInd w:val="0"/>
              <w:jc w:val="both"/>
              <w:rPr>
                <w:sz w:val="24"/>
                <w:szCs w:val="24"/>
              </w:rPr>
            </w:pPr>
          </w:p>
        </w:tc>
      </w:tr>
      <w:tr w:rsidR="00786ACC" w:rsidRPr="00163F8E" w14:paraId="3C408E55" w14:textId="77777777" w:rsidTr="0B365B07">
        <w:tc>
          <w:tcPr>
            <w:tcW w:w="8500" w:type="dxa"/>
          </w:tcPr>
          <w:p w14:paraId="421B20CF" w14:textId="2524D10C"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Há autorização da autoridade competente permitindo o início do procedimento licitatório? (art. 38, caput, da Lei 8.666/93 </w:t>
            </w:r>
            <w:r w:rsidR="13F3332B" w:rsidRPr="0B365B07">
              <w:rPr>
                <w:sz w:val="24"/>
                <w:szCs w:val="24"/>
              </w:rPr>
              <w:t>e art. 8º, V do Decreto nº 10.024/19</w:t>
            </w:r>
            <w:r w:rsidRPr="0B365B07">
              <w:rPr>
                <w:sz w:val="24"/>
                <w:szCs w:val="24"/>
              </w:rPr>
              <w:t>)</w:t>
            </w:r>
          </w:p>
        </w:tc>
        <w:tc>
          <w:tcPr>
            <w:tcW w:w="1134" w:type="dxa"/>
          </w:tcPr>
          <w:p w14:paraId="25C677C6"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78C2C13D" w14:textId="77777777" w:rsidTr="0B365B07">
        <w:tc>
          <w:tcPr>
            <w:tcW w:w="8500" w:type="dxa"/>
          </w:tcPr>
          <w:p w14:paraId="13A12321" w14:textId="48AC48CB"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Há minuta de edital? (art. 4º, III, da Lei 10.520/02, </w:t>
            </w:r>
            <w:r w:rsidR="780BA241" w:rsidRPr="0B365B07">
              <w:rPr>
                <w:sz w:val="24"/>
                <w:szCs w:val="24"/>
              </w:rPr>
              <w:t xml:space="preserve">art. 40 da Lei 8.666/93 e </w:t>
            </w:r>
            <w:r w:rsidR="13F3332B" w:rsidRPr="0B365B07">
              <w:rPr>
                <w:sz w:val="24"/>
                <w:szCs w:val="24"/>
              </w:rPr>
              <w:t>art. 8º, VII</w:t>
            </w:r>
            <w:r w:rsidR="780BA241" w:rsidRPr="0B365B07">
              <w:rPr>
                <w:sz w:val="24"/>
                <w:szCs w:val="24"/>
              </w:rPr>
              <w:t>,</w:t>
            </w:r>
            <w:r w:rsidR="13F3332B" w:rsidRPr="0B365B07">
              <w:rPr>
                <w:sz w:val="24"/>
                <w:szCs w:val="24"/>
              </w:rPr>
              <w:t xml:space="preserve"> do Decreto nº 10.024/19</w:t>
            </w:r>
            <w:r w:rsidRPr="0B365B07">
              <w:rPr>
                <w:sz w:val="24"/>
                <w:szCs w:val="24"/>
              </w:rPr>
              <w:t>)</w:t>
            </w:r>
          </w:p>
        </w:tc>
        <w:tc>
          <w:tcPr>
            <w:tcW w:w="1134" w:type="dxa"/>
          </w:tcPr>
          <w:p w14:paraId="27CD7112"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77DCEE06" w14:textId="77777777" w:rsidTr="0B365B07">
        <w:tc>
          <w:tcPr>
            <w:tcW w:w="8500" w:type="dxa"/>
          </w:tcPr>
          <w:p w14:paraId="210BBA6E" w14:textId="6BAD2F09" w:rsidR="00786ACC" w:rsidRPr="00163F8E"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Fo</w:t>
            </w:r>
            <w:r w:rsidR="004F43FB" w:rsidRPr="0B365B07">
              <w:rPr>
                <w:sz w:val="24"/>
                <w:szCs w:val="24"/>
              </w:rPr>
              <w:t>i</w:t>
            </w:r>
            <w:r w:rsidRPr="0B365B07">
              <w:rPr>
                <w:sz w:val="24"/>
                <w:szCs w:val="24"/>
              </w:rPr>
              <w:t xml:space="preserve"> utilizado o modelo padronizado de instrumento convocatório da Advocacia-Geral União? (Art. 3</w:t>
            </w:r>
            <w:r w:rsidR="004F43FB" w:rsidRPr="0B365B07">
              <w:rPr>
                <w:sz w:val="24"/>
                <w:szCs w:val="24"/>
              </w:rPr>
              <w:t>5</w:t>
            </w:r>
            <w:r w:rsidRPr="0B365B07">
              <w:rPr>
                <w:sz w:val="24"/>
                <w:szCs w:val="24"/>
              </w:rPr>
              <w:t xml:space="preserve"> da IN SEGES/MP nº 5/2017)</w:t>
            </w:r>
          </w:p>
        </w:tc>
        <w:tc>
          <w:tcPr>
            <w:tcW w:w="1134" w:type="dxa"/>
          </w:tcPr>
          <w:p w14:paraId="59FBD897"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401925AC" w14:textId="77777777" w:rsidTr="0B365B07">
        <w:tc>
          <w:tcPr>
            <w:tcW w:w="8500" w:type="dxa"/>
          </w:tcPr>
          <w:p w14:paraId="71A45171" w14:textId="454F1906" w:rsidR="00786ACC" w:rsidRPr="00163F8E"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Eventuais alterações no model</w:t>
            </w:r>
            <w:r w:rsidR="007D0B34" w:rsidRPr="0B365B07">
              <w:rPr>
                <w:sz w:val="24"/>
                <w:szCs w:val="24"/>
              </w:rPr>
              <w:t>o,</w:t>
            </w:r>
            <w:r w:rsidRPr="0B365B07">
              <w:rPr>
                <w:sz w:val="24"/>
                <w:szCs w:val="24"/>
              </w:rPr>
              <w:t xml:space="preserve"> ou a</w:t>
            </w:r>
            <w:r w:rsidR="007D0B34" w:rsidRPr="0B365B07">
              <w:rPr>
                <w:sz w:val="24"/>
                <w:szCs w:val="24"/>
              </w:rPr>
              <w:t xml:space="preserve"> sua </w:t>
            </w:r>
            <w:r w:rsidRPr="0B365B07">
              <w:rPr>
                <w:sz w:val="24"/>
                <w:szCs w:val="24"/>
              </w:rPr>
              <w:t xml:space="preserve">não utilização, foram devidamente justificadas no processo? </w:t>
            </w:r>
          </w:p>
        </w:tc>
        <w:tc>
          <w:tcPr>
            <w:tcW w:w="1134" w:type="dxa"/>
          </w:tcPr>
          <w:p w14:paraId="47D5403B"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460195D7" w14:textId="77777777" w:rsidTr="0B365B07">
        <w:tc>
          <w:tcPr>
            <w:tcW w:w="8500" w:type="dxa"/>
          </w:tcPr>
          <w:p w14:paraId="1FC70EEE" w14:textId="54BF6C00" w:rsidR="00786ACC" w:rsidRPr="00C33176" w:rsidRDefault="00786ACC" w:rsidP="0B365B07">
            <w:pPr>
              <w:pStyle w:val="PargrafodaLista"/>
              <w:numPr>
                <w:ilvl w:val="1"/>
                <w:numId w:val="9"/>
              </w:numPr>
              <w:autoSpaceDE w:val="0"/>
              <w:autoSpaceDN w:val="0"/>
              <w:adjustRightInd w:val="0"/>
              <w:ind w:left="1014" w:hanging="654"/>
              <w:jc w:val="both"/>
              <w:rPr>
                <w:color w:val="FF0000"/>
                <w:sz w:val="24"/>
                <w:szCs w:val="24"/>
              </w:rPr>
            </w:pPr>
            <w:r w:rsidRPr="0B365B07">
              <w:rPr>
                <w:sz w:val="24"/>
                <w:szCs w:val="24"/>
              </w:rPr>
              <w:t>A minuta de contrato ou de instrumento assemelhado constitui anexo à minuta do edital? (art. 40, §2º, III, da Lei 8.666/93)</w:t>
            </w:r>
          </w:p>
          <w:p w14:paraId="329472F7" w14:textId="75F7D6F6" w:rsidR="00786ACC" w:rsidRPr="00163F8E" w:rsidRDefault="00786ACC" w:rsidP="0B365B07">
            <w:pPr>
              <w:autoSpaceDE w:val="0"/>
              <w:autoSpaceDN w:val="0"/>
              <w:adjustRightInd w:val="0"/>
              <w:jc w:val="both"/>
              <w:rPr>
                <w:color w:val="FF0000"/>
                <w:sz w:val="24"/>
                <w:szCs w:val="24"/>
              </w:rPr>
            </w:pPr>
            <w:r w:rsidRPr="0B365B07">
              <w:rPr>
                <w:color w:val="FF0000"/>
                <w:sz w:val="24"/>
                <w:szCs w:val="24"/>
              </w:rPr>
              <w:t xml:space="preserve">Obs. 1: </w:t>
            </w:r>
            <w:r w:rsidR="007D0B34" w:rsidRPr="0B365B07">
              <w:rPr>
                <w:color w:val="FF0000"/>
                <w:sz w:val="24"/>
                <w:szCs w:val="24"/>
              </w:rPr>
              <w:t>S</w:t>
            </w:r>
            <w:r w:rsidRPr="0B365B07">
              <w:rPr>
                <w:color w:val="FF0000"/>
                <w:sz w:val="24"/>
                <w:szCs w:val="24"/>
              </w:rPr>
              <w:t>e a Administração Pública desejar substituir o contrato por outros instrumentos hábeis na forma do art. 62 da Lei 8.666/93, deverá justificar a decisão.</w:t>
            </w:r>
          </w:p>
        </w:tc>
        <w:tc>
          <w:tcPr>
            <w:tcW w:w="1134" w:type="dxa"/>
          </w:tcPr>
          <w:p w14:paraId="3C7863BC" w14:textId="77777777" w:rsidR="00786ACC" w:rsidRPr="00163F8E" w:rsidRDefault="00786ACC" w:rsidP="00761E94">
            <w:pPr>
              <w:autoSpaceDE w:val="0"/>
              <w:autoSpaceDN w:val="0"/>
              <w:adjustRightInd w:val="0"/>
              <w:jc w:val="both"/>
              <w:rPr>
                <w:rFonts w:cstheme="minorHAnsi"/>
                <w:sz w:val="24"/>
                <w:szCs w:val="24"/>
              </w:rPr>
            </w:pPr>
          </w:p>
        </w:tc>
      </w:tr>
      <w:tr w:rsidR="00786ACC" w:rsidRPr="00163F8E" w14:paraId="278B2379" w14:textId="77777777" w:rsidTr="0B365B07">
        <w:tc>
          <w:tcPr>
            <w:tcW w:w="8500" w:type="dxa"/>
          </w:tcPr>
          <w:p w14:paraId="45DE248F" w14:textId="678AD9AE"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color w:val="000000" w:themeColor="text1"/>
                <w:sz w:val="24"/>
                <w:szCs w:val="24"/>
              </w:rPr>
              <w:t xml:space="preserve">Tratando-se de modalidade diversa do pregão, o orçamento estimado em planilhas de quantitativos e preços unitários está anexo ao edital? (art. </w:t>
            </w:r>
            <w:proofErr w:type="gramStart"/>
            <w:r w:rsidRPr="0B365B07">
              <w:rPr>
                <w:color w:val="000000" w:themeColor="text1"/>
                <w:sz w:val="24"/>
                <w:szCs w:val="24"/>
              </w:rPr>
              <w:t>40 ,</w:t>
            </w:r>
            <w:proofErr w:type="gramEnd"/>
            <w:r w:rsidRPr="0B365B07">
              <w:rPr>
                <w:color w:val="000000" w:themeColor="text1"/>
                <w:sz w:val="24"/>
                <w:szCs w:val="24"/>
              </w:rPr>
              <w:t xml:space="preserve"> §2º, II, da Lei 8.666/93) </w:t>
            </w:r>
          </w:p>
        </w:tc>
        <w:tc>
          <w:tcPr>
            <w:tcW w:w="1134" w:type="dxa"/>
          </w:tcPr>
          <w:p w14:paraId="762D586A" w14:textId="77777777" w:rsidR="00786ACC" w:rsidRPr="00163F8E" w:rsidRDefault="00786ACC" w:rsidP="00761E94">
            <w:pPr>
              <w:autoSpaceDE w:val="0"/>
              <w:autoSpaceDN w:val="0"/>
              <w:adjustRightInd w:val="0"/>
              <w:jc w:val="both"/>
              <w:rPr>
                <w:rFonts w:cstheme="minorHAnsi"/>
                <w:color w:val="000000" w:themeColor="text1"/>
                <w:sz w:val="24"/>
                <w:szCs w:val="24"/>
              </w:rPr>
            </w:pPr>
          </w:p>
        </w:tc>
      </w:tr>
      <w:tr w:rsidR="00786ACC" w:rsidRPr="00163F8E" w14:paraId="5EA4F060" w14:textId="77777777" w:rsidTr="0B365B07">
        <w:tc>
          <w:tcPr>
            <w:tcW w:w="8500" w:type="dxa"/>
          </w:tcPr>
          <w:p w14:paraId="4C463C8F" w14:textId="3F81D272" w:rsidR="00786ACC" w:rsidRPr="00163F8E"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Os </w:t>
            </w:r>
            <w:r w:rsidRPr="0B365B07">
              <w:rPr>
                <w:color w:val="000000" w:themeColor="text1"/>
                <w:sz w:val="24"/>
                <w:szCs w:val="24"/>
              </w:rPr>
              <w:t>responsáveis</w:t>
            </w:r>
            <w:r w:rsidRPr="0B365B07">
              <w:rPr>
                <w:sz w:val="24"/>
                <w:szCs w:val="24"/>
              </w:rPr>
              <w:t xml:space="preserve"> pela elaboração do edital e dos anexos foram devidamente identificados no processo? (art. 21, VI, da IN </w:t>
            </w:r>
            <w:r w:rsidR="5F9F6A5E" w:rsidRPr="0B365B07">
              <w:rPr>
                <w:sz w:val="24"/>
                <w:szCs w:val="24"/>
              </w:rPr>
              <w:t>Conjunta</w:t>
            </w:r>
            <w:r w:rsidRPr="0B365B07">
              <w:rPr>
                <w:sz w:val="24"/>
                <w:szCs w:val="24"/>
              </w:rPr>
              <w:t xml:space="preserve"> MP/CGU </w:t>
            </w:r>
            <w:r w:rsidR="5F9F6A5E" w:rsidRPr="0B365B07">
              <w:rPr>
                <w:sz w:val="24"/>
                <w:szCs w:val="24"/>
              </w:rPr>
              <w:t xml:space="preserve">n.º </w:t>
            </w:r>
            <w:r w:rsidRPr="0B365B07">
              <w:rPr>
                <w:sz w:val="24"/>
                <w:szCs w:val="24"/>
              </w:rPr>
              <w:t>01/2016)</w:t>
            </w:r>
          </w:p>
        </w:tc>
        <w:tc>
          <w:tcPr>
            <w:tcW w:w="1134" w:type="dxa"/>
          </w:tcPr>
          <w:p w14:paraId="3D8E0627" w14:textId="2D603B71" w:rsidR="00786ACC" w:rsidRPr="00163F8E" w:rsidRDefault="00786ACC" w:rsidP="00761E94">
            <w:pPr>
              <w:autoSpaceDE w:val="0"/>
              <w:autoSpaceDN w:val="0"/>
              <w:adjustRightInd w:val="0"/>
              <w:jc w:val="both"/>
              <w:rPr>
                <w:rFonts w:cstheme="minorHAnsi"/>
                <w:sz w:val="24"/>
                <w:szCs w:val="24"/>
              </w:rPr>
            </w:pPr>
          </w:p>
        </w:tc>
      </w:tr>
    </w:tbl>
    <w:p w14:paraId="78A669A4" w14:textId="77777777" w:rsidR="002762A5" w:rsidRDefault="002762A5" w:rsidP="00A14074">
      <w:pPr>
        <w:autoSpaceDE w:val="0"/>
        <w:autoSpaceDN w:val="0"/>
        <w:adjustRightInd w:val="0"/>
        <w:spacing w:after="0" w:line="240" w:lineRule="auto"/>
        <w:jc w:val="both"/>
        <w:rPr>
          <w:rFonts w:cstheme="minorHAnsi"/>
          <w:sz w:val="24"/>
          <w:szCs w:val="24"/>
        </w:rPr>
      </w:pPr>
    </w:p>
    <w:p w14:paraId="232F9F75" w14:textId="77777777" w:rsidR="002762A5" w:rsidRPr="00893E5F" w:rsidRDefault="002762A5" w:rsidP="00A14074">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8500"/>
        <w:gridCol w:w="1134"/>
      </w:tblGrid>
      <w:tr w:rsidR="00786ACC" w:rsidRPr="00BD15D6" w14:paraId="4BC96727" w14:textId="77777777" w:rsidTr="0B365B07">
        <w:tc>
          <w:tcPr>
            <w:tcW w:w="8500" w:type="dxa"/>
          </w:tcPr>
          <w:p w14:paraId="75050E1D" w14:textId="77777777" w:rsidR="00786ACC" w:rsidRPr="00BD15D6" w:rsidRDefault="00786ACC" w:rsidP="0B365B07">
            <w:pPr>
              <w:autoSpaceDE w:val="0"/>
              <w:autoSpaceDN w:val="0"/>
              <w:adjustRightInd w:val="0"/>
              <w:jc w:val="center"/>
              <w:rPr>
                <w:b/>
                <w:bCs/>
                <w:sz w:val="24"/>
                <w:szCs w:val="24"/>
              </w:rPr>
            </w:pPr>
            <w:r w:rsidRPr="0B365B07">
              <w:rPr>
                <w:b/>
                <w:bCs/>
                <w:sz w:val="24"/>
                <w:szCs w:val="24"/>
              </w:rPr>
              <w:t xml:space="preserve">VERIFICAÇÃO </w:t>
            </w:r>
            <w:r w:rsidRPr="0B365B07">
              <w:rPr>
                <w:b/>
                <w:bCs/>
                <w:sz w:val="24"/>
                <w:szCs w:val="24"/>
                <w:u w:val="single"/>
              </w:rPr>
              <w:t>ESPECÍFICA PARA SISTEMA DE REGISTRO DE PREÇOS</w:t>
            </w:r>
          </w:p>
        </w:tc>
        <w:tc>
          <w:tcPr>
            <w:tcW w:w="1134" w:type="dxa"/>
          </w:tcPr>
          <w:p w14:paraId="5DFB5ABB" w14:textId="77777777" w:rsidR="00786ACC" w:rsidRPr="00BD15D6" w:rsidRDefault="00786ACC" w:rsidP="00761E94">
            <w:pPr>
              <w:autoSpaceDE w:val="0"/>
              <w:autoSpaceDN w:val="0"/>
              <w:adjustRightInd w:val="0"/>
              <w:jc w:val="both"/>
              <w:rPr>
                <w:rFonts w:cstheme="minorHAnsi"/>
                <w:szCs w:val="24"/>
              </w:rPr>
            </w:pPr>
            <w:r w:rsidRPr="00BD15D6">
              <w:rPr>
                <w:rFonts w:cstheme="minorHAnsi"/>
                <w:szCs w:val="24"/>
              </w:rPr>
              <w:t>ESTADO</w:t>
            </w:r>
          </w:p>
          <w:p w14:paraId="0ED49CDE" w14:textId="77777777" w:rsidR="00786ACC" w:rsidRPr="00BD15D6" w:rsidRDefault="00786ACC" w:rsidP="00761E94">
            <w:pPr>
              <w:autoSpaceDE w:val="0"/>
              <w:autoSpaceDN w:val="0"/>
              <w:adjustRightInd w:val="0"/>
              <w:jc w:val="both"/>
              <w:rPr>
                <w:rFonts w:cstheme="minorHAnsi"/>
                <w:b/>
                <w:szCs w:val="24"/>
              </w:rPr>
            </w:pPr>
            <w:r w:rsidRPr="00BD15D6">
              <w:rPr>
                <w:rFonts w:cstheme="minorHAnsi"/>
                <w:szCs w:val="24"/>
              </w:rPr>
              <w:t>S / N / N.A.</w:t>
            </w:r>
          </w:p>
        </w:tc>
      </w:tr>
      <w:tr w:rsidR="00786ACC" w:rsidRPr="00BD15D6" w14:paraId="00E33B72" w14:textId="77777777" w:rsidTr="0B365B07">
        <w:tc>
          <w:tcPr>
            <w:tcW w:w="8500" w:type="dxa"/>
          </w:tcPr>
          <w:p w14:paraId="0887227B" w14:textId="69F0EA7C" w:rsidR="00786ACC" w:rsidRPr="00BD15D6"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Autoridade competente justificou a utilização do SRP com base em alguma das hipóteses previstas no artigo 3º do Decreto 7.892/2013?</w:t>
            </w:r>
          </w:p>
        </w:tc>
        <w:tc>
          <w:tcPr>
            <w:tcW w:w="1134" w:type="dxa"/>
          </w:tcPr>
          <w:p w14:paraId="43427DF5"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7B2AB810" w14:textId="77777777" w:rsidTr="0B365B07">
        <w:tc>
          <w:tcPr>
            <w:tcW w:w="8500" w:type="dxa"/>
          </w:tcPr>
          <w:p w14:paraId="286C3545" w14:textId="2EE157F9" w:rsidR="00786ACC" w:rsidRPr="00BD15D6" w:rsidRDefault="70CF008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realizado</w:t>
            </w:r>
            <w:r w:rsidR="2C8D2505" w:rsidRPr="0B365B07">
              <w:rPr>
                <w:sz w:val="24"/>
                <w:szCs w:val="24"/>
              </w:rPr>
              <w:t xml:space="preserve"> procedimento de Intenção de Registro de Preços – IRP, visando o registro e a divulgação dos itens a serem licitados? (art. 4º e 5º, I, do Decreto 7.892/13)</w:t>
            </w:r>
          </w:p>
        </w:tc>
        <w:tc>
          <w:tcPr>
            <w:tcW w:w="1134" w:type="dxa"/>
          </w:tcPr>
          <w:p w14:paraId="5A445C07"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17329726" w14:textId="77777777" w:rsidTr="0B365B07">
        <w:tc>
          <w:tcPr>
            <w:tcW w:w="8500" w:type="dxa"/>
          </w:tcPr>
          <w:p w14:paraId="30E44835" w14:textId="3AE1FF7B"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No caso de dispensa da divulgação da Intenção de Registro de Preços – IRP, há justificativa do órgão gerenciador? (art. 4º, §1º, do Decreto 7.892/13)</w:t>
            </w:r>
            <w:bookmarkStart w:id="0" w:name="_Hlk4256808"/>
            <w:bookmarkEnd w:id="0"/>
          </w:p>
        </w:tc>
        <w:tc>
          <w:tcPr>
            <w:tcW w:w="1134" w:type="dxa"/>
          </w:tcPr>
          <w:p w14:paraId="40B2DF9D"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4D351D6E" w14:textId="77777777" w:rsidTr="0B365B07">
        <w:tc>
          <w:tcPr>
            <w:tcW w:w="8500" w:type="dxa"/>
          </w:tcPr>
          <w:p w14:paraId="0ADD465A" w14:textId="372E174D"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Foram adotadas pelo órgão gerenciador as medidas do §3º do art. 4º do Decreto 7.892/2013?</w:t>
            </w:r>
          </w:p>
        </w:tc>
        <w:tc>
          <w:tcPr>
            <w:tcW w:w="1134" w:type="dxa"/>
          </w:tcPr>
          <w:p w14:paraId="65E0B15A" w14:textId="77777777" w:rsidR="00786ACC" w:rsidRPr="00BD15D6" w:rsidRDefault="00786ACC" w:rsidP="00761E94">
            <w:pPr>
              <w:autoSpaceDE w:val="0"/>
              <w:autoSpaceDN w:val="0"/>
              <w:adjustRightInd w:val="0"/>
              <w:jc w:val="both"/>
              <w:rPr>
                <w:rFonts w:cstheme="minorHAnsi"/>
                <w:sz w:val="24"/>
                <w:szCs w:val="24"/>
              </w:rPr>
            </w:pPr>
          </w:p>
        </w:tc>
      </w:tr>
      <w:tr w:rsidR="00786ACC" w:rsidRPr="00C83F8C" w14:paraId="3E7A7EB3" w14:textId="77777777" w:rsidTr="0B365B07">
        <w:tc>
          <w:tcPr>
            <w:tcW w:w="8500" w:type="dxa"/>
          </w:tcPr>
          <w:p w14:paraId="09B6E672" w14:textId="44CA08E5" w:rsidR="00786ACC" w:rsidRPr="00BD15D6" w:rsidRDefault="00786ACC" w:rsidP="0B365B07">
            <w:pPr>
              <w:pStyle w:val="PargrafodaLista"/>
              <w:numPr>
                <w:ilvl w:val="1"/>
                <w:numId w:val="9"/>
              </w:numPr>
              <w:autoSpaceDE w:val="0"/>
              <w:autoSpaceDN w:val="0"/>
              <w:adjustRightInd w:val="0"/>
              <w:ind w:left="1014" w:hanging="654"/>
              <w:jc w:val="both"/>
              <w:rPr>
                <w:sz w:val="24"/>
                <w:szCs w:val="24"/>
                <w:lang w:val="en-US"/>
              </w:rPr>
            </w:pPr>
            <w:r w:rsidRPr="0B365B07">
              <w:rPr>
                <w:sz w:val="24"/>
                <w:szCs w:val="24"/>
              </w:rPr>
              <w:t xml:space="preserve">No caso de existir órgãos ou entidades participantes, o órgão gerenciador consolidou as informações relativas à estimativa individual e total de consumo? </w:t>
            </w:r>
            <w:r w:rsidRPr="0B365B07">
              <w:rPr>
                <w:sz w:val="24"/>
                <w:szCs w:val="24"/>
                <w:lang w:val="en-US"/>
              </w:rPr>
              <w:t xml:space="preserve">(art. 5º, II, do </w:t>
            </w:r>
            <w:proofErr w:type="spellStart"/>
            <w:r w:rsidRPr="0B365B07">
              <w:rPr>
                <w:sz w:val="24"/>
                <w:szCs w:val="24"/>
                <w:lang w:val="en-US"/>
              </w:rPr>
              <w:t>Decreto</w:t>
            </w:r>
            <w:proofErr w:type="spellEnd"/>
            <w:r w:rsidRPr="0B365B07">
              <w:rPr>
                <w:sz w:val="24"/>
                <w:szCs w:val="24"/>
                <w:lang w:val="en-US"/>
              </w:rPr>
              <w:t xml:space="preserve"> 7.892/13)</w:t>
            </w:r>
          </w:p>
        </w:tc>
        <w:tc>
          <w:tcPr>
            <w:tcW w:w="1134" w:type="dxa"/>
          </w:tcPr>
          <w:p w14:paraId="24E805AE" w14:textId="77777777" w:rsidR="00786ACC" w:rsidRPr="00BD15D6" w:rsidRDefault="00786ACC" w:rsidP="00761E94">
            <w:pPr>
              <w:autoSpaceDE w:val="0"/>
              <w:autoSpaceDN w:val="0"/>
              <w:adjustRightInd w:val="0"/>
              <w:jc w:val="both"/>
              <w:rPr>
                <w:rFonts w:cstheme="minorHAnsi"/>
                <w:sz w:val="24"/>
                <w:szCs w:val="24"/>
                <w:lang w:val="en-US"/>
              </w:rPr>
            </w:pPr>
          </w:p>
        </w:tc>
      </w:tr>
      <w:tr w:rsidR="00786ACC" w:rsidRPr="00BD15D6" w14:paraId="569EBAEE" w14:textId="77777777" w:rsidTr="0B365B07">
        <w:tc>
          <w:tcPr>
            <w:tcW w:w="8500" w:type="dxa"/>
          </w:tcPr>
          <w:p w14:paraId="7C5B6D51" w14:textId="6F70EE1B"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lastRenderedPageBreak/>
              <w:t>Foram consolidados os dados das pesquisas de mercado realizadas pelos órgãos e entidades participantes, inclusive nas hipóteses previstas nos §§ 2º e 3º do art. 6º do Decreto 7.892/13? (art. 5º, IV, do Decreto 7.892/13)</w:t>
            </w:r>
          </w:p>
        </w:tc>
        <w:tc>
          <w:tcPr>
            <w:tcW w:w="1134" w:type="dxa"/>
          </w:tcPr>
          <w:p w14:paraId="5A7DC9E4"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105B1F4F" w14:textId="77777777" w:rsidTr="0B365B07">
        <w:tc>
          <w:tcPr>
            <w:tcW w:w="8500" w:type="dxa"/>
          </w:tcPr>
          <w:p w14:paraId="227626A3" w14:textId="152CD4FD"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O órgão gerenciador confirmou junto aos órgãos ou entidades participantes a sua concordância com o objeto a ser licitado, inclusive quanto aos quantitativos e termo de referência? (art. 5º, V, do Decreto 7.892/13)</w:t>
            </w:r>
          </w:p>
        </w:tc>
        <w:tc>
          <w:tcPr>
            <w:tcW w:w="1134" w:type="dxa"/>
          </w:tcPr>
          <w:p w14:paraId="29B4FD74" w14:textId="77777777" w:rsidR="00786ACC" w:rsidRPr="00BD15D6" w:rsidRDefault="00786ACC" w:rsidP="00761E94">
            <w:pPr>
              <w:jc w:val="both"/>
              <w:rPr>
                <w:rFonts w:cstheme="minorHAnsi"/>
                <w:sz w:val="24"/>
                <w:szCs w:val="24"/>
              </w:rPr>
            </w:pPr>
          </w:p>
        </w:tc>
      </w:tr>
      <w:tr w:rsidR="00786ACC" w:rsidRPr="00BD15D6" w14:paraId="055B05F6" w14:textId="77777777" w:rsidTr="0B365B07">
        <w:tc>
          <w:tcPr>
            <w:tcW w:w="8500" w:type="dxa"/>
          </w:tcPr>
          <w:p w14:paraId="12CCE501" w14:textId="14B9A673" w:rsidR="00786ACC" w:rsidRPr="00BD15D6"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utilizado o modelo padronizado de ata de registro de preços da Advocacia-Geral da União? (Enunciado nº 6 do Manual de Boas Práticas Consultivas)</w:t>
            </w:r>
          </w:p>
        </w:tc>
        <w:tc>
          <w:tcPr>
            <w:tcW w:w="1134" w:type="dxa"/>
          </w:tcPr>
          <w:p w14:paraId="597A1FE5"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2106B2B9" w14:textId="77777777" w:rsidTr="0B365B07">
        <w:tc>
          <w:tcPr>
            <w:tcW w:w="8500" w:type="dxa"/>
          </w:tcPr>
          <w:p w14:paraId="100072C8" w14:textId="2CAB88B2"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Eventuais alterações no modelo ou sua não utilização foram devidamente justificadas no processo?</w:t>
            </w:r>
          </w:p>
        </w:tc>
        <w:tc>
          <w:tcPr>
            <w:tcW w:w="1134" w:type="dxa"/>
          </w:tcPr>
          <w:p w14:paraId="7C400FE9" w14:textId="77777777" w:rsidR="00786ACC" w:rsidRPr="00BD15D6" w:rsidRDefault="00786ACC" w:rsidP="00761E94">
            <w:pPr>
              <w:autoSpaceDE w:val="0"/>
              <w:autoSpaceDN w:val="0"/>
              <w:adjustRightInd w:val="0"/>
              <w:jc w:val="both"/>
              <w:rPr>
                <w:rFonts w:cstheme="minorHAnsi"/>
                <w:sz w:val="24"/>
                <w:szCs w:val="24"/>
              </w:rPr>
            </w:pPr>
          </w:p>
        </w:tc>
      </w:tr>
      <w:tr w:rsidR="00786ACC" w:rsidRPr="00BD15D6" w14:paraId="16A15C1E" w14:textId="77777777" w:rsidTr="0B365B07">
        <w:tc>
          <w:tcPr>
            <w:tcW w:w="8500" w:type="dxa"/>
          </w:tcPr>
          <w:p w14:paraId="1903194F" w14:textId="60C49DEC" w:rsidR="00786ACC" w:rsidRDefault="2C8D25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O Edital permite a adesão a não participantes? (Art. 22 do Decreto nº 7.892/13)</w:t>
            </w:r>
          </w:p>
        </w:tc>
        <w:tc>
          <w:tcPr>
            <w:tcW w:w="1134" w:type="dxa"/>
          </w:tcPr>
          <w:p w14:paraId="26EEA4B9" w14:textId="77777777" w:rsidR="00786ACC" w:rsidRPr="00BD15D6" w:rsidRDefault="00786ACC" w:rsidP="00761E94">
            <w:pPr>
              <w:autoSpaceDE w:val="0"/>
              <w:autoSpaceDN w:val="0"/>
              <w:adjustRightInd w:val="0"/>
              <w:jc w:val="both"/>
              <w:rPr>
                <w:rFonts w:cstheme="minorHAnsi"/>
                <w:sz w:val="24"/>
                <w:szCs w:val="24"/>
              </w:rPr>
            </w:pPr>
          </w:p>
        </w:tc>
      </w:tr>
      <w:tr w:rsidR="00786ACC" w:rsidRPr="00FE36B1" w14:paraId="7CD5AF11" w14:textId="77777777" w:rsidTr="0B365B07">
        <w:tc>
          <w:tcPr>
            <w:tcW w:w="8500" w:type="dxa"/>
          </w:tcPr>
          <w:p w14:paraId="4757AE7C" w14:textId="29FA711A" w:rsidR="00786ACC" w:rsidRPr="00BD15D6"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Houve justificativa para a permissão de futura adesão de interessados não-participantes? (Acórdão nº 757/2015 – Plenário do TCU)</w:t>
            </w:r>
          </w:p>
        </w:tc>
        <w:tc>
          <w:tcPr>
            <w:tcW w:w="1134" w:type="dxa"/>
          </w:tcPr>
          <w:p w14:paraId="09CD9EBF" w14:textId="77777777" w:rsidR="00786ACC" w:rsidRPr="00BD15D6" w:rsidRDefault="00786ACC" w:rsidP="00761E94">
            <w:pPr>
              <w:autoSpaceDE w:val="0"/>
              <w:autoSpaceDN w:val="0"/>
              <w:adjustRightInd w:val="0"/>
              <w:jc w:val="both"/>
              <w:rPr>
                <w:rFonts w:cstheme="minorHAnsi"/>
                <w:sz w:val="24"/>
                <w:szCs w:val="24"/>
              </w:rPr>
            </w:pPr>
          </w:p>
        </w:tc>
      </w:tr>
      <w:tr w:rsidR="00786ACC" w:rsidRPr="00FE36B1" w14:paraId="34B6D988" w14:textId="77777777" w:rsidTr="0B365B07">
        <w:tc>
          <w:tcPr>
            <w:tcW w:w="8500" w:type="dxa"/>
          </w:tcPr>
          <w:p w14:paraId="2CAA1B69" w14:textId="0A0DD241" w:rsidR="00786ACC" w:rsidRDefault="00786ACC"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Havendo possibilidade de adesão, há previsão de quantitativos para máximos por adesão e totais, nos termos do art. 22, §§ 3º, 4º e 4º-A do Decreto nº 7.892/13?</w:t>
            </w:r>
          </w:p>
        </w:tc>
        <w:tc>
          <w:tcPr>
            <w:tcW w:w="1134" w:type="dxa"/>
          </w:tcPr>
          <w:p w14:paraId="14EA44EB" w14:textId="4C440BCD" w:rsidR="00786ACC" w:rsidRPr="00BD15D6" w:rsidRDefault="00786ACC" w:rsidP="00761E94">
            <w:pPr>
              <w:autoSpaceDE w:val="0"/>
              <w:autoSpaceDN w:val="0"/>
              <w:adjustRightInd w:val="0"/>
              <w:jc w:val="both"/>
              <w:rPr>
                <w:rFonts w:cstheme="minorHAnsi"/>
                <w:sz w:val="24"/>
                <w:szCs w:val="24"/>
              </w:rPr>
            </w:pPr>
          </w:p>
        </w:tc>
      </w:tr>
      <w:tr w:rsidR="00B8293E" w:rsidRPr="00FE36B1" w14:paraId="0DBEE612" w14:textId="77777777" w:rsidTr="0B365B07">
        <w:tc>
          <w:tcPr>
            <w:tcW w:w="8500" w:type="dxa"/>
          </w:tcPr>
          <w:p w14:paraId="773602A6" w14:textId="35163543" w:rsidR="00B8293E" w:rsidRDefault="13F3332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A licitação adota o critério de adjudicação por item?</w:t>
            </w:r>
          </w:p>
        </w:tc>
        <w:tc>
          <w:tcPr>
            <w:tcW w:w="1134" w:type="dxa"/>
          </w:tcPr>
          <w:p w14:paraId="6E1098B2" w14:textId="77777777" w:rsidR="00B8293E" w:rsidRPr="00BD15D6" w:rsidRDefault="00B8293E" w:rsidP="00761E94">
            <w:pPr>
              <w:autoSpaceDE w:val="0"/>
              <w:autoSpaceDN w:val="0"/>
              <w:adjustRightInd w:val="0"/>
              <w:jc w:val="both"/>
              <w:rPr>
                <w:rFonts w:cstheme="minorHAnsi"/>
                <w:sz w:val="24"/>
                <w:szCs w:val="24"/>
              </w:rPr>
            </w:pPr>
          </w:p>
        </w:tc>
      </w:tr>
      <w:tr w:rsidR="00B8293E" w:rsidRPr="00FE36B1" w14:paraId="0AB5FAF2" w14:textId="77777777" w:rsidTr="0B365B07">
        <w:tc>
          <w:tcPr>
            <w:tcW w:w="8500" w:type="dxa"/>
          </w:tcPr>
          <w:p w14:paraId="0F77C62E" w14:textId="2787CFCE" w:rsidR="00B8293E" w:rsidRDefault="13F3332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Caso utilizado critério de adjudicação por preço global de grupo de itens, foi apresentada justificativa? </w:t>
            </w:r>
          </w:p>
          <w:p w14:paraId="00FA976D" w14:textId="50282303" w:rsidR="00B8293E" w:rsidRDefault="00B8293E" w:rsidP="0B365B07">
            <w:pPr>
              <w:autoSpaceDE w:val="0"/>
              <w:autoSpaceDN w:val="0"/>
              <w:adjustRightInd w:val="0"/>
              <w:jc w:val="both"/>
              <w:rPr>
                <w:color w:val="FF0000"/>
                <w:sz w:val="24"/>
                <w:szCs w:val="24"/>
              </w:rPr>
            </w:pPr>
            <w:r w:rsidRPr="0B365B07">
              <w:rPr>
                <w:color w:val="FF0000"/>
                <w:sz w:val="24"/>
                <w:szCs w:val="24"/>
              </w:rPr>
              <w:t xml:space="preserve">Atentar para a recomendação do TCU, emanada no acórdão 2037/2019-Plenário, nos </w:t>
            </w:r>
            <w:r w:rsidR="00864F09" w:rsidRPr="0B365B07">
              <w:rPr>
                <w:color w:val="FF0000"/>
                <w:sz w:val="24"/>
                <w:szCs w:val="24"/>
              </w:rPr>
              <w:t>seguintes termos</w:t>
            </w:r>
            <w:r w:rsidRPr="0B365B07">
              <w:rPr>
                <w:color w:val="FF0000"/>
                <w:sz w:val="24"/>
                <w:szCs w:val="24"/>
              </w:rPr>
              <w:t xml:space="preserve">: </w:t>
            </w:r>
          </w:p>
          <w:p w14:paraId="288FD35E" w14:textId="77777777" w:rsidR="00B8293E" w:rsidRDefault="00B8293E" w:rsidP="00B8293E">
            <w:pPr>
              <w:autoSpaceDE w:val="0"/>
              <w:autoSpaceDN w:val="0"/>
              <w:adjustRightInd w:val="0"/>
              <w:jc w:val="both"/>
              <w:rPr>
                <w:rFonts w:cstheme="minorHAnsi"/>
                <w:color w:val="FF0000"/>
                <w:sz w:val="24"/>
                <w:szCs w:val="24"/>
              </w:rPr>
            </w:pPr>
            <w:r>
              <w:rPr>
                <w:rFonts w:cstheme="minorHAnsi"/>
                <w:color w:val="FF0000"/>
                <w:sz w:val="24"/>
                <w:szCs w:val="24"/>
              </w:rPr>
              <w:t xml:space="preserve">9.6. determinar à </w:t>
            </w:r>
            <w:proofErr w:type="spellStart"/>
            <w:r>
              <w:rPr>
                <w:rFonts w:cstheme="minorHAnsi"/>
                <w:color w:val="FF0000"/>
                <w:sz w:val="24"/>
                <w:szCs w:val="24"/>
              </w:rPr>
              <w:t>Secretaria-Geral</w:t>
            </w:r>
            <w:proofErr w:type="spellEnd"/>
            <w:r>
              <w:rPr>
                <w:rFonts w:cstheme="minorHAnsi"/>
                <w:color w:val="FF0000"/>
                <w:sz w:val="24"/>
                <w:szCs w:val="24"/>
              </w:rPr>
              <w:t xml:space="preserve"> de Controle Externo desta Corte que, em reforço ao constante do item 9.3 do Acórdão 757/2015-Plenário, oriente suas unidades sobre a necessidade de sempre avaliar os seguintes aspectos em processos envolvendo pregões para registro de preços: […] </w:t>
            </w:r>
          </w:p>
          <w:p w14:paraId="62CBA63F" w14:textId="30AC7B6B" w:rsidR="00B8293E" w:rsidRDefault="00B8293E" w:rsidP="00B8293E">
            <w:pPr>
              <w:autoSpaceDE w:val="0"/>
              <w:autoSpaceDN w:val="0"/>
              <w:adjustRightInd w:val="0"/>
              <w:jc w:val="both"/>
              <w:rPr>
                <w:rFonts w:cstheme="minorHAnsi"/>
                <w:sz w:val="24"/>
                <w:szCs w:val="24"/>
              </w:rPr>
            </w:pPr>
            <w:r>
              <w:rPr>
                <w:rFonts w:cstheme="minorHAnsi"/>
                <w:color w:val="FF0000"/>
                <w:sz w:val="24"/>
                <w:szCs w:val="24"/>
              </w:rPr>
              <w:t xml:space="preserve">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w:t>
            </w:r>
            <w:proofErr w:type="spellStart"/>
            <w:r>
              <w:rPr>
                <w:rFonts w:cstheme="minorHAnsi"/>
                <w:color w:val="FF0000"/>
                <w:sz w:val="24"/>
                <w:szCs w:val="24"/>
              </w:rPr>
              <w:t>arts</w:t>
            </w:r>
            <w:proofErr w:type="spellEnd"/>
            <w:r>
              <w:rPr>
                <w:rFonts w:cstheme="minorHAnsi"/>
                <w:color w:val="FF0000"/>
                <w:sz w:val="24"/>
                <w:szCs w:val="24"/>
              </w:rPr>
              <w:t>. 3º, § 1º, inciso I, 15, inciso IV, e 23, §§ 1º e 2º, da Lei 8.666/1993, e Acórdãos 529, 1.592, 1.913, 2.695 e 2.796/2013, todos do Plenário.</w:t>
            </w:r>
          </w:p>
        </w:tc>
        <w:tc>
          <w:tcPr>
            <w:tcW w:w="1134" w:type="dxa"/>
          </w:tcPr>
          <w:p w14:paraId="39B5B38D" w14:textId="77777777" w:rsidR="00B8293E" w:rsidRPr="00BD15D6" w:rsidRDefault="00B8293E" w:rsidP="00761E94">
            <w:pPr>
              <w:autoSpaceDE w:val="0"/>
              <w:autoSpaceDN w:val="0"/>
              <w:adjustRightInd w:val="0"/>
              <w:jc w:val="both"/>
              <w:rPr>
                <w:rFonts w:cstheme="minorHAnsi"/>
                <w:sz w:val="24"/>
                <w:szCs w:val="24"/>
              </w:rPr>
            </w:pPr>
          </w:p>
        </w:tc>
      </w:tr>
    </w:tbl>
    <w:p w14:paraId="6509A2DF" w14:textId="3DBA3D59" w:rsidR="00CD4F47" w:rsidRDefault="00CD4F47" w:rsidP="00000BE7">
      <w:pPr>
        <w:tabs>
          <w:tab w:val="left" w:pos="6855"/>
        </w:tabs>
        <w:rPr>
          <w:rFonts w:cstheme="minorHAnsi"/>
          <w:sz w:val="24"/>
          <w:szCs w:val="24"/>
        </w:rPr>
      </w:pPr>
    </w:p>
    <w:tbl>
      <w:tblPr>
        <w:tblStyle w:val="Tabelacomgrade"/>
        <w:tblW w:w="9634" w:type="dxa"/>
        <w:tblLayout w:type="fixed"/>
        <w:tblLook w:val="04A0" w:firstRow="1" w:lastRow="0" w:firstColumn="1" w:lastColumn="0" w:noHBand="0" w:noVBand="1"/>
      </w:tblPr>
      <w:tblGrid>
        <w:gridCol w:w="8359"/>
        <w:gridCol w:w="1275"/>
      </w:tblGrid>
      <w:tr w:rsidR="00CD4F47" w:rsidRPr="000E4D68" w14:paraId="5950AA66" w14:textId="77777777" w:rsidTr="0B365B07">
        <w:tc>
          <w:tcPr>
            <w:tcW w:w="8359" w:type="dxa"/>
          </w:tcPr>
          <w:p w14:paraId="4E56118A" w14:textId="77777777" w:rsidR="00CD4F47" w:rsidRPr="00A421C4" w:rsidRDefault="00CD4F47" w:rsidP="00761E94">
            <w:pPr>
              <w:autoSpaceDE w:val="0"/>
              <w:autoSpaceDN w:val="0"/>
              <w:adjustRightInd w:val="0"/>
              <w:jc w:val="center"/>
              <w:rPr>
                <w:rFonts w:cstheme="minorHAnsi"/>
                <w:bCs/>
                <w:sz w:val="24"/>
                <w:szCs w:val="24"/>
              </w:rPr>
            </w:pPr>
          </w:p>
          <w:p w14:paraId="3116A1EA" w14:textId="77777777" w:rsidR="00CD4F47" w:rsidRPr="000E4D68" w:rsidRDefault="00CD4F47" w:rsidP="00761E94">
            <w:pPr>
              <w:autoSpaceDE w:val="0"/>
              <w:autoSpaceDN w:val="0"/>
              <w:adjustRightInd w:val="0"/>
              <w:jc w:val="center"/>
              <w:rPr>
                <w:rFonts w:cstheme="minorHAnsi"/>
                <w:b/>
                <w:sz w:val="24"/>
                <w:szCs w:val="24"/>
                <w:u w:val="single"/>
              </w:rPr>
            </w:pPr>
            <w:r w:rsidRPr="000E4D68">
              <w:rPr>
                <w:rFonts w:cstheme="minorHAnsi"/>
                <w:b/>
                <w:sz w:val="24"/>
                <w:szCs w:val="24"/>
              </w:rPr>
              <w:t xml:space="preserve">VERIFICAÇÃO </w:t>
            </w:r>
            <w:r w:rsidRPr="000E4D68">
              <w:rPr>
                <w:rFonts w:cstheme="minorHAnsi"/>
                <w:b/>
                <w:sz w:val="24"/>
                <w:szCs w:val="24"/>
                <w:u w:val="single"/>
              </w:rPr>
              <w:t>ESPECÍFICA PARA DISPENSA DE LICITAÇÃO</w:t>
            </w:r>
          </w:p>
          <w:p w14:paraId="76492922" w14:textId="77777777" w:rsidR="008A1BF9" w:rsidRPr="000E4D68" w:rsidRDefault="008A1BF9" w:rsidP="00761E94">
            <w:pPr>
              <w:autoSpaceDE w:val="0"/>
              <w:autoSpaceDN w:val="0"/>
              <w:adjustRightInd w:val="0"/>
              <w:jc w:val="center"/>
              <w:rPr>
                <w:rFonts w:cstheme="minorHAnsi"/>
                <w:bCs/>
                <w:sz w:val="24"/>
                <w:szCs w:val="24"/>
                <w:u w:val="single"/>
              </w:rPr>
            </w:pPr>
          </w:p>
          <w:p w14:paraId="56EBA862" w14:textId="63C748E8" w:rsidR="008A1BF9" w:rsidRPr="000E4D68" w:rsidRDefault="00AE3FDB" w:rsidP="0B365B07">
            <w:pPr>
              <w:autoSpaceDE w:val="0"/>
              <w:autoSpaceDN w:val="0"/>
              <w:adjustRightInd w:val="0"/>
              <w:jc w:val="both"/>
              <w:rPr>
                <w:color w:val="FF0000"/>
                <w:sz w:val="24"/>
                <w:szCs w:val="24"/>
              </w:rPr>
            </w:pPr>
            <w:r w:rsidRPr="0B365B07">
              <w:rPr>
                <w:color w:val="FF0000"/>
                <w:sz w:val="24"/>
                <w:szCs w:val="24"/>
              </w:rPr>
              <w:t xml:space="preserve">OBS: Nos termos da Orientação Normativa AGU nº 46, de 26/02/2014, a manifestação jurídica nas contratações </w:t>
            </w:r>
            <w:r w:rsidR="009515D7" w:rsidRPr="0B365B07">
              <w:rPr>
                <w:color w:val="FF0000"/>
                <w:sz w:val="24"/>
                <w:szCs w:val="24"/>
              </w:rPr>
              <w:t>diretas pelo</w:t>
            </w:r>
            <w:r w:rsidRPr="0B365B07">
              <w:rPr>
                <w:color w:val="FF0000"/>
                <w:sz w:val="24"/>
                <w:szCs w:val="24"/>
              </w:rPr>
              <w:t xml:space="preserve"> pequeno valor (</w:t>
            </w:r>
            <w:r w:rsidR="009515D7" w:rsidRPr="0B365B07">
              <w:rPr>
                <w:color w:val="FF0000"/>
                <w:sz w:val="24"/>
                <w:szCs w:val="24"/>
              </w:rPr>
              <w:t xml:space="preserve">fundadas no </w:t>
            </w:r>
            <w:r w:rsidRPr="0B365B07">
              <w:rPr>
                <w:color w:val="FF0000"/>
                <w:sz w:val="24"/>
                <w:szCs w:val="24"/>
              </w:rPr>
              <w:t xml:space="preserve">art. 24, I e II da Lei nº 8.666/93) é dispensável quando inexistir dúvida jurídica e forem </w:t>
            </w:r>
            <w:r w:rsidR="00C57E2A" w:rsidRPr="0B365B07">
              <w:rPr>
                <w:color w:val="FF0000"/>
                <w:sz w:val="24"/>
                <w:szCs w:val="24"/>
              </w:rPr>
              <w:t xml:space="preserve">usadas minutas padronizadas (como as minutas da AGU). </w:t>
            </w:r>
          </w:p>
        </w:tc>
        <w:tc>
          <w:tcPr>
            <w:tcW w:w="1275" w:type="dxa"/>
          </w:tcPr>
          <w:p w14:paraId="29A79BDB" w14:textId="77777777" w:rsidR="00CD4F47" w:rsidRPr="000E4D68" w:rsidRDefault="00CD4F47" w:rsidP="00761E94">
            <w:pPr>
              <w:autoSpaceDE w:val="0"/>
              <w:autoSpaceDN w:val="0"/>
              <w:adjustRightInd w:val="0"/>
              <w:jc w:val="both"/>
              <w:rPr>
                <w:rFonts w:cstheme="minorHAnsi"/>
                <w:szCs w:val="24"/>
              </w:rPr>
            </w:pPr>
            <w:r w:rsidRPr="000E4D68">
              <w:rPr>
                <w:rFonts w:cstheme="minorHAnsi"/>
                <w:szCs w:val="24"/>
              </w:rPr>
              <w:t>ESTADO</w:t>
            </w:r>
          </w:p>
          <w:p w14:paraId="1E12FBC0" w14:textId="77777777" w:rsidR="00CD4F47" w:rsidRPr="000E4D68" w:rsidRDefault="00CD4F47" w:rsidP="00761E94">
            <w:pPr>
              <w:autoSpaceDE w:val="0"/>
              <w:autoSpaceDN w:val="0"/>
              <w:adjustRightInd w:val="0"/>
              <w:jc w:val="both"/>
              <w:rPr>
                <w:rFonts w:cstheme="minorHAnsi"/>
                <w:b/>
                <w:szCs w:val="24"/>
              </w:rPr>
            </w:pPr>
            <w:r w:rsidRPr="000E4D68">
              <w:rPr>
                <w:rFonts w:cstheme="minorHAnsi"/>
                <w:szCs w:val="24"/>
              </w:rPr>
              <w:t>S / N / N.A.</w:t>
            </w:r>
          </w:p>
        </w:tc>
      </w:tr>
      <w:tr w:rsidR="00CD4F47" w:rsidRPr="000E4D68" w14:paraId="535561C0" w14:textId="77777777" w:rsidTr="0B365B07">
        <w:tc>
          <w:tcPr>
            <w:tcW w:w="8359" w:type="dxa"/>
          </w:tcPr>
          <w:p w14:paraId="6F9A7539" w14:textId="7EDB7777" w:rsidR="00CD4F47" w:rsidRPr="000E4D68" w:rsidRDefault="0D329CF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Houve justificativa do enquadramento ou não do objeto </w:t>
            </w:r>
            <w:r w:rsidR="23AC3315" w:rsidRPr="0B365B07">
              <w:rPr>
                <w:sz w:val="24"/>
                <w:szCs w:val="24"/>
              </w:rPr>
              <w:t>dentro das hipóteses do art. 24 da Lei nº 8.666/93</w:t>
            </w:r>
            <w:r w:rsidR="4DE924CE" w:rsidRPr="0B365B07">
              <w:rPr>
                <w:sz w:val="24"/>
                <w:szCs w:val="24"/>
              </w:rPr>
              <w:t xml:space="preserve"> ou de legislação específica pertinente</w:t>
            </w:r>
            <w:r w:rsidR="689331FF" w:rsidRPr="0B365B07">
              <w:rPr>
                <w:sz w:val="24"/>
                <w:szCs w:val="24"/>
              </w:rPr>
              <w:t>, com indicação expressa do fundamento legal utilizado</w:t>
            </w:r>
            <w:r w:rsidR="23AC3315" w:rsidRPr="0B365B07">
              <w:rPr>
                <w:sz w:val="24"/>
                <w:szCs w:val="24"/>
              </w:rPr>
              <w:t>?</w:t>
            </w:r>
          </w:p>
          <w:p w14:paraId="09557DE7" w14:textId="3C247DF7" w:rsidR="005C2668" w:rsidRPr="000E4D68" w:rsidRDefault="005C2668" w:rsidP="0B365B07">
            <w:pPr>
              <w:autoSpaceDE w:val="0"/>
              <w:autoSpaceDN w:val="0"/>
              <w:adjustRightInd w:val="0"/>
              <w:jc w:val="both"/>
              <w:rPr>
                <w:color w:val="FF0000"/>
                <w:sz w:val="24"/>
                <w:szCs w:val="24"/>
              </w:rPr>
            </w:pPr>
            <w:r w:rsidRPr="0B365B07">
              <w:rPr>
                <w:color w:val="FF0000"/>
                <w:sz w:val="24"/>
                <w:szCs w:val="24"/>
              </w:rPr>
              <w:t xml:space="preserve">OBS </w:t>
            </w:r>
            <w:r w:rsidR="003D5D37">
              <w:rPr>
                <w:color w:val="FF0000"/>
                <w:sz w:val="24"/>
                <w:szCs w:val="24"/>
              </w:rPr>
              <w:t>1</w:t>
            </w:r>
            <w:r w:rsidRPr="0B365B07">
              <w:rPr>
                <w:color w:val="FF0000"/>
                <w:sz w:val="24"/>
                <w:szCs w:val="24"/>
              </w:rPr>
              <w:t xml:space="preserve">: </w:t>
            </w:r>
            <w:r w:rsidR="003A4C00" w:rsidRPr="0B365B07">
              <w:rPr>
                <w:color w:val="FF0000"/>
                <w:sz w:val="24"/>
                <w:szCs w:val="24"/>
              </w:rPr>
              <w:t xml:space="preserve">Orientação Normativa AGU n. 12, de 01/04/2009: Não se dispensa licitação, com fundamento nos </w:t>
            </w:r>
            <w:proofErr w:type="spellStart"/>
            <w:r w:rsidR="003A4C00" w:rsidRPr="0B365B07">
              <w:rPr>
                <w:color w:val="FF0000"/>
                <w:sz w:val="24"/>
                <w:szCs w:val="24"/>
              </w:rPr>
              <w:t>incs</w:t>
            </w:r>
            <w:proofErr w:type="spellEnd"/>
            <w:r w:rsidR="003A4C00" w:rsidRPr="0B365B07">
              <w:rPr>
                <w:color w:val="FF0000"/>
                <w:sz w:val="24"/>
                <w:szCs w:val="24"/>
              </w:rPr>
              <w:t xml:space="preserve">. V e VII do art. 24 da </w:t>
            </w:r>
            <w:r w:rsidR="00864F09" w:rsidRPr="0B365B07">
              <w:rPr>
                <w:color w:val="FF0000"/>
                <w:sz w:val="24"/>
                <w:szCs w:val="24"/>
              </w:rPr>
              <w:t>L</w:t>
            </w:r>
            <w:r w:rsidR="003A4C00" w:rsidRPr="0B365B07">
              <w:rPr>
                <w:color w:val="FF0000"/>
                <w:sz w:val="24"/>
                <w:szCs w:val="24"/>
              </w:rPr>
              <w:t>ei nº 8.666, de 1993,</w:t>
            </w:r>
            <w:r w:rsidR="00CE2D4C" w:rsidRPr="0B365B07">
              <w:rPr>
                <w:color w:val="FF0000"/>
                <w:sz w:val="24"/>
                <w:szCs w:val="24"/>
              </w:rPr>
              <w:t xml:space="preserve"> </w:t>
            </w:r>
            <w:r w:rsidR="003A4C00" w:rsidRPr="0B365B07">
              <w:rPr>
                <w:color w:val="FF0000"/>
                <w:sz w:val="24"/>
                <w:szCs w:val="24"/>
              </w:rPr>
              <w:t>caso   a   licitação   fracassada   ou   deserta   tenha   sido   realizada   na modalidade convite.</w:t>
            </w:r>
          </w:p>
          <w:p w14:paraId="651A56FB" w14:textId="79BC8D20" w:rsidR="00CE2D4C" w:rsidRPr="000E4D68" w:rsidRDefault="00CE2D4C" w:rsidP="005D3DF0">
            <w:pPr>
              <w:autoSpaceDE w:val="0"/>
              <w:autoSpaceDN w:val="0"/>
              <w:adjustRightInd w:val="0"/>
              <w:jc w:val="both"/>
              <w:rPr>
                <w:rFonts w:cstheme="minorHAnsi"/>
                <w:color w:val="FF0000"/>
                <w:sz w:val="24"/>
                <w:szCs w:val="24"/>
              </w:rPr>
            </w:pPr>
            <w:r w:rsidRPr="000E4D68">
              <w:rPr>
                <w:rFonts w:cstheme="minorHAnsi"/>
                <w:color w:val="FF0000"/>
                <w:sz w:val="24"/>
                <w:szCs w:val="24"/>
              </w:rPr>
              <w:lastRenderedPageBreak/>
              <w:t xml:space="preserve">OBS </w:t>
            </w:r>
            <w:r w:rsidR="003D5D37">
              <w:rPr>
                <w:rFonts w:cstheme="minorHAnsi"/>
                <w:color w:val="FF0000"/>
                <w:sz w:val="24"/>
                <w:szCs w:val="24"/>
              </w:rPr>
              <w:t>2:</w:t>
            </w:r>
            <w:r w:rsidRPr="000E4D68">
              <w:rPr>
                <w:rFonts w:cstheme="minorHAnsi"/>
                <w:color w:val="FF0000"/>
                <w:sz w:val="24"/>
                <w:szCs w:val="24"/>
              </w:rPr>
              <w:t xml:space="preserve"> Orientação Normativa n. 13, de 01/04/2009: empresa pública ou sociedade de economia mista que exerça atividade econômica não se enquadra como órgão ou entidade que integra a administração pública, para os fins de dispensa de licitação com fundamento no inc. VIII do art. 24 da lei nº 8.666, de 1993.</w:t>
            </w:r>
          </w:p>
          <w:p w14:paraId="259B733E" w14:textId="0F175FB7" w:rsidR="00916298" w:rsidRPr="000E4D68" w:rsidRDefault="79B342C2" w:rsidP="385125A3">
            <w:pPr>
              <w:autoSpaceDE w:val="0"/>
              <w:autoSpaceDN w:val="0"/>
              <w:adjustRightInd w:val="0"/>
              <w:jc w:val="both"/>
              <w:rPr>
                <w:color w:val="FF0000"/>
                <w:sz w:val="24"/>
                <w:szCs w:val="24"/>
              </w:rPr>
            </w:pPr>
            <w:r w:rsidRPr="0B365B07">
              <w:rPr>
                <w:color w:val="FF0000"/>
                <w:sz w:val="24"/>
                <w:szCs w:val="24"/>
              </w:rPr>
              <w:t xml:space="preserve">OBS </w:t>
            </w:r>
            <w:r w:rsidR="003D5D37">
              <w:rPr>
                <w:color w:val="FF0000"/>
                <w:sz w:val="24"/>
                <w:szCs w:val="24"/>
              </w:rPr>
              <w:t>3</w:t>
            </w:r>
            <w:r w:rsidRPr="0B365B07">
              <w:rPr>
                <w:color w:val="FF0000"/>
                <w:sz w:val="24"/>
                <w:szCs w:val="24"/>
              </w:rPr>
              <w:t xml:space="preserve">: Orientação Normativa n. 14, de 01/04/2009: Os </w:t>
            </w:r>
            <w:r w:rsidR="3020F752" w:rsidRPr="0B365B07">
              <w:rPr>
                <w:color w:val="FF0000"/>
                <w:sz w:val="24"/>
                <w:szCs w:val="24"/>
              </w:rPr>
              <w:t>contratos firmados</w:t>
            </w:r>
            <w:r w:rsidRPr="0B365B07">
              <w:rPr>
                <w:color w:val="FF0000"/>
                <w:sz w:val="24"/>
                <w:szCs w:val="24"/>
              </w:rPr>
              <w:t xml:space="preserve"> com as fundações </w:t>
            </w:r>
            <w:proofErr w:type="gramStart"/>
            <w:r w:rsidRPr="0B365B07">
              <w:rPr>
                <w:color w:val="FF0000"/>
                <w:sz w:val="24"/>
                <w:szCs w:val="24"/>
              </w:rPr>
              <w:t>de  apoio</w:t>
            </w:r>
            <w:proofErr w:type="gramEnd"/>
            <w:r w:rsidRPr="0B365B07">
              <w:rPr>
                <w:color w:val="FF0000"/>
                <w:sz w:val="24"/>
                <w:szCs w:val="24"/>
              </w:rPr>
              <w:t xml:space="preserve">  com  base  na  dispensa  de licitação  prevista  no  inc</w:t>
            </w:r>
            <w:r w:rsidR="4AB08A09" w:rsidRPr="0B365B07">
              <w:rPr>
                <w:color w:val="FF0000"/>
                <w:sz w:val="24"/>
                <w:szCs w:val="24"/>
              </w:rPr>
              <w:t>iso</w:t>
            </w:r>
            <w:r w:rsidRPr="0B365B07">
              <w:rPr>
                <w:color w:val="FF0000"/>
                <w:sz w:val="24"/>
                <w:szCs w:val="24"/>
              </w:rPr>
              <w:t xml:space="preserve">  </w:t>
            </w:r>
            <w:r w:rsidR="3020F752" w:rsidRPr="0B365B07">
              <w:rPr>
                <w:color w:val="FF0000"/>
                <w:sz w:val="24"/>
                <w:szCs w:val="24"/>
              </w:rPr>
              <w:t>XIII do</w:t>
            </w:r>
            <w:r w:rsidRPr="0B365B07">
              <w:rPr>
                <w:color w:val="FF0000"/>
                <w:sz w:val="24"/>
                <w:szCs w:val="24"/>
              </w:rPr>
              <w:t xml:space="preserve">  art.  </w:t>
            </w:r>
            <w:r w:rsidR="3020F752" w:rsidRPr="0B365B07">
              <w:rPr>
                <w:color w:val="FF0000"/>
                <w:sz w:val="24"/>
                <w:szCs w:val="24"/>
              </w:rPr>
              <w:t>24 da</w:t>
            </w:r>
            <w:r w:rsidRPr="0B365B07">
              <w:rPr>
                <w:color w:val="FF0000"/>
                <w:sz w:val="24"/>
                <w:szCs w:val="24"/>
              </w:rPr>
              <w:t xml:space="preserve"> </w:t>
            </w:r>
            <w:proofErr w:type="gramStart"/>
            <w:r w:rsidR="3020F752" w:rsidRPr="0B365B07">
              <w:rPr>
                <w:color w:val="FF0000"/>
                <w:sz w:val="24"/>
                <w:szCs w:val="24"/>
              </w:rPr>
              <w:t>L</w:t>
            </w:r>
            <w:r w:rsidRPr="0B365B07">
              <w:rPr>
                <w:color w:val="FF0000"/>
                <w:sz w:val="24"/>
                <w:szCs w:val="24"/>
              </w:rPr>
              <w:t>ei  nº</w:t>
            </w:r>
            <w:proofErr w:type="gramEnd"/>
            <w:r w:rsidRPr="0B365B07">
              <w:rPr>
                <w:color w:val="FF0000"/>
                <w:sz w:val="24"/>
                <w:szCs w:val="24"/>
              </w:rPr>
              <w:t xml:space="preserve">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tc>
        <w:tc>
          <w:tcPr>
            <w:tcW w:w="1275" w:type="dxa"/>
          </w:tcPr>
          <w:p w14:paraId="57A0EA9D" w14:textId="77777777" w:rsidR="00CD4F47" w:rsidRPr="000E4D68" w:rsidRDefault="00CD4F47" w:rsidP="00761E94">
            <w:pPr>
              <w:autoSpaceDE w:val="0"/>
              <w:autoSpaceDN w:val="0"/>
              <w:adjustRightInd w:val="0"/>
              <w:jc w:val="both"/>
              <w:rPr>
                <w:rFonts w:cstheme="minorHAnsi"/>
                <w:sz w:val="24"/>
                <w:szCs w:val="24"/>
              </w:rPr>
            </w:pPr>
          </w:p>
        </w:tc>
      </w:tr>
      <w:tr w:rsidR="00CD4F47" w:rsidRPr="000E4D68" w14:paraId="6C65891C" w14:textId="77777777" w:rsidTr="0B365B07">
        <w:tc>
          <w:tcPr>
            <w:tcW w:w="8359" w:type="dxa"/>
          </w:tcPr>
          <w:p w14:paraId="7CDE5A63" w14:textId="2197288C" w:rsidR="00CD4F47" w:rsidRPr="000E4D68" w:rsidRDefault="32912B0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Nas hipóteses do art. 24, incisos IV </w:t>
            </w:r>
            <w:r w:rsidR="0A6A5781" w:rsidRPr="0B365B07">
              <w:rPr>
                <w:sz w:val="24"/>
                <w:szCs w:val="24"/>
              </w:rPr>
              <w:t xml:space="preserve">e XXXV, houve </w:t>
            </w:r>
            <w:r w:rsidR="1EAC9BEA" w:rsidRPr="0B365B07">
              <w:rPr>
                <w:sz w:val="24"/>
                <w:szCs w:val="24"/>
              </w:rPr>
              <w:t xml:space="preserve">demonstração da caracterização da situação emergencial, calamitosa ou de grave e iminente risco à segurança pública que justifique a dispensa, conforme o caso, nos termos do art. 26, parágrafo único, inciso I da Lei nº 8.666/93? </w:t>
            </w:r>
          </w:p>
        </w:tc>
        <w:tc>
          <w:tcPr>
            <w:tcW w:w="1275" w:type="dxa"/>
          </w:tcPr>
          <w:p w14:paraId="793E76EE" w14:textId="77777777" w:rsidR="00CD4F47" w:rsidRPr="000E4D68" w:rsidRDefault="00CD4F47" w:rsidP="00761E94">
            <w:pPr>
              <w:autoSpaceDE w:val="0"/>
              <w:autoSpaceDN w:val="0"/>
              <w:adjustRightInd w:val="0"/>
              <w:jc w:val="both"/>
              <w:rPr>
                <w:rFonts w:cstheme="minorHAnsi"/>
                <w:sz w:val="24"/>
                <w:szCs w:val="24"/>
              </w:rPr>
            </w:pPr>
          </w:p>
        </w:tc>
      </w:tr>
      <w:tr w:rsidR="00CD4F47" w:rsidRPr="000E4D68" w14:paraId="6D224A08" w14:textId="77777777" w:rsidTr="0B365B07">
        <w:tc>
          <w:tcPr>
            <w:tcW w:w="8359" w:type="dxa"/>
          </w:tcPr>
          <w:p w14:paraId="2602A51F" w14:textId="5800F528" w:rsidR="00CD4F47" w:rsidRPr="000E4D68" w:rsidRDefault="0D329CF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Constam dos autos as razões para escolha do executante a ser contratado?</w:t>
            </w:r>
          </w:p>
        </w:tc>
        <w:tc>
          <w:tcPr>
            <w:tcW w:w="1275" w:type="dxa"/>
          </w:tcPr>
          <w:p w14:paraId="4E855BDF" w14:textId="77777777" w:rsidR="00CD4F47" w:rsidRPr="000E4D68" w:rsidRDefault="00CD4F47" w:rsidP="00761E94">
            <w:pPr>
              <w:autoSpaceDE w:val="0"/>
              <w:autoSpaceDN w:val="0"/>
              <w:adjustRightInd w:val="0"/>
              <w:jc w:val="both"/>
              <w:rPr>
                <w:rFonts w:cstheme="minorHAnsi"/>
                <w:sz w:val="24"/>
                <w:szCs w:val="24"/>
              </w:rPr>
            </w:pPr>
          </w:p>
        </w:tc>
      </w:tr>
      <w:tr w:rsidR="00CD4F47" w:rsidRPr="000E4D68" w14:paraId="302961B9" w14:textId="77777777" w:rsidTr="0B365B07">
        <w:tc>
          <w:tcPr>
            <w:tcW w:w="8359" w:type="dxa"/>
          </w:tcPr>
          <w:p w14:paraId="577F14CF" w14:textId="3BF45A84" w:rsidR="00CD4F47" w:rsidRPr="000E4D68" w:rsidRDefault="0D329CF2"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Consta dos autos prova: a) de regularidade fiscal federal; b) de regularidade com a Seguridade Social; c) de regularidade com o Fundo de Garantia por Tempo de Serviço; d) de regularidade trabalhista; e) declaração de cumprimento do disposto no inciso XXXIII do art. 7</w:t>
            </w:r>
            <w:r w:rsidR="3020F752" w:rsidRPr="0B365B07">
              <w:rPr>
                <w:sz w:val="24"/>
                <w:szCs w:val="24"/>
              </w:rPr>
              <w:t>º</w:t>
            </w:r>
            <w:r w:rsidRPr="0B365B07">
              <w:rPr>
                <w:sz w:val="24"/>
                <w:szCs w:val="24"/>
              </w:rPr>
              <w:t xml:space="preserve"> da Constituição Federal; e f) ausência de penalidade que vede a contratação com o órgão (artigo 27 e seguintes da Lei 8.666/1993)?</w:t>
            </w:r>
          </w:p>
          <w:p w14:paraId="414E2570" w14:textId="77777777"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OBS: A consulta deve ser feita nos seguintes endereços:</w:t>
            </w:r>
          </w:p>
          <w:p w14:paraId="6DFF042A" w14:textId="77777777"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 xml:space="preserve">a) SICAF;  </w:t>
            </w:r>
          </w:p>
          <w:p w14:paraId="6B4FAE39" w14:textId="77777777"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b) Cadastro Nacional de Empresas Inidôneas e Suspensas - CEIS, mantido pela Controladoria-Geral da União (www.portaldatransparencia.gov.br/</w:t>
            </w:r>
            <w:proofErr w:type="spellStart"/>
            <w:r w:rsidRPr="000E4D68">
              <w:rPr>
                <w:rFonts w:cstheme="minorHAnsi"/>
                <w:color w:val="FF0000"/>
                <w:sz w:val="24"/>
                <w:szCs w:val="24"/>
              </w:rPr>
              <w:t>ceis</w:t>
            </w:r>
            <w:proofErr w:type="spellEnd"/>
            <w:r w:rsidRPr="000E4D68">
              <w:rPr>
                <w:rFonts w:cstheme="minorHAnsi"/>
                <w:color w:val="FF0000"/>
                <w:sz w:val="24"/>
                <w:szCs w:val="24"/>
              </w:rPr>
              <w:t xml:space="preserve">);  </w:t>
            </w:r>
          </w:p>
          <w:p w14:paraId="6ADBC15B" w14:textId="77777777"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c) Cadastro Nacional de Condenações Cíveis por Atos de Improbidade Administrativa, mantido pelo Conselho Nacional de Justiça (</w:t>
            </w:r>
            <w:hyperlink r:id="rId11" w:history="1">
              <w:r w:rsidRPr="000E4D68">
                <w:rPr>
                  <w:rStyle w:val="Hyperlink"/>
                  <w:rFonts w:cstheme="minorHAnsi"/>
                  <w:color w:val="FF0000"/>
                  <w:sz w:val="24"/>
                  <w:szCs w:val="24"/>
                </w:rPr>
                <w:t>www.cnj.jus.br/improbidade_adm/consultar_requerido.php</w:t>
              </w:r>
            </w:hyperlink>
            <w:r w:rsidRPr="000E4D68">
              <w:rPr>
                <w:rFonts w:cstheme="minorHAnsi"/>
                <w:color w:val="FF0000"/>
                <w:sz w:val="24"/>
                <w:szCs w:val="24"/>
              </w:rPr>
              <w:t xml:space="preserve">).  </w:t>
            </w:r>
          </w:p>
          <w:p w14:paraId="0B95BB9E" w14:textId="77777777"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d) Lista de Inidôneos, mantida pelo Tribunal de Contas da União – TCU (https://contas.tcu.gov.br/</w:t>
            </w:r>
            <w:proofErr w:type="spellStart"/>
            <w:r w:rsidRPr="000E4D68">
              <w:rPr>
                <w:rFonts w:cstheme="minorHAnsi"/>
                <w:color w:val="FF0000"/>
                <w:sz w:val="24"/>
                <w:szCs w:val="24"/>
              </w:rPr>
              <w:t>ords</w:t>
            </w:r>
            <w:proofErr w:type="spellEnd"/>
            <w:r w:rsidRPr="000E4D68">
              <w:rPr>
                <w:rFonts w:cstheme="minorHAnsi"/>
                <w:color w:val="FF0000"/>
                <w:sz w:val="24"/>
                <w:szCs w:val="24"/>
              </w:rPr>
              <w:t>/</w:t>
            </w:r>
            <w:proofErr w:type="spellStart"/>
            <w:r w:rsidRPr="000E4D68">
              <w:rPr>
                <w:rFonts w:cstheme="minorHAnsi"/>
                <w:color w:val="FF0000"/>
                <w:sz w:val="24"/>
                <w:szCs w:val="24"/>
              </w:rPr>
              <w:t>f?p</w:t>
            </w:r>
            <w:proofErr w:type="spellEnd"/>
            <w:r w:rsidRPr="000E4D68">
              <w:rPr>
                <w:rFonts w:cstheme="minorHAnsi"/>
                <w:color w:val="FF0000"/>
                <w:sz w:val="24"/>
                <w:szCs w:val="24"/>
              </w:rPr>
              <w:t xml:space="preserve">=INABILITADO:INIDONEOS); </w:t>
            </w:r>
          </w:p>
          <w:p w14:paraId="094C3322" w14:textId="134E7043" w:rsidR="00CD4F47" w:rsidRPr="000E4D68" w:rsidRDefault="00CD4F47" w:rsidP="00761E94">
            <w:pPr>
              <w:autoSpaceDE w:val="0"/>
              <w:autoSpaceDN w:val="0"/>
              <w:adjustRightInd w:val="0"/>
              <w:jc w:val="both"/>
              <w:rPr>
                <w:rFonts w:cstheme="minorHAnsi"/>
                <w:color w:val="FF0000"/>
                <w:sz w:val="24"/>
                <w:szCs w:val="24"/>
              </w:rPr>
            </w:pPr>
            <w:r w:rsidRPr="000E4D68">
              <w:rPr>
                <w:rFonts w:cstheme="minorHAnsi"/>
                <w:color w:val="FF0000"/>
                <w:sz w:val="24"/>
                <w:szCs w:val="24"/>
              </w:rPr>
              <w:t>OBS 2: Para a consulta de licitantes pessoa jurídica poderá haver a substituição das consultas das alíneas “b”, “c” e “d” acima pela Consulta Consolidada de Pessoa Jurídica do TCU (</w:t>
            </w:r>
            <w:hyperlink r:id="rId12" w:history="1">
              <w:r w:rsidR="00C329CA" w:rsidRPr="008172C3">
                <w:rPr>
                  <w:rStyle w:val="Hyperlink"/>
                  <w:rFonts w:cstheme="minorHAnsi"/>
                  <w:sz w:val="24"/>
                  <w:szCs w:val="24"/>
                </w:rPr>
                <w:t>https://certidoes-apf.a</w:t>
              </w:r>
              <w:r w:rsidR="00C329CA" w:rsidRPr="008172C3">
                <w:rPr>
                  <w:rStyle w:val="Hyperlink"/>
                  <w:rFonts w:cstheme="minorHAnsi"/>
                  <w:sz w:val="24"/>
                  <w:szCs w:val="24"/>
                </w:rPr>
                <w:t>p</w:t>
              </w:r>
              <w:r w:rsidR="00C329CA" w:rsidRPr="008172C3">
                <w:rPr>
                  <w:rStyle w:val="Hyperlink"/>
                  <w:rFonts w:cstheme="minorHAnsi"/>
                  <w:sz w:val="24"/>
                  <w:szCs w:val="24"/>
                </w:rPr>
                <w:t>ps.t</w:t>
              </w:r>
              <w:r w:rsidR="00C329CA" w:rsidRPr="008172C3">
                <w:rPr>
                  <w:rStyle w:val="Hyperlink"/>
                  <w:rFonts w:cstheme="minorHAnsi"/>
                  <w:sz w:val="24"/>
                  <w:szCs w:val="24"/>
                </w:rPr>
                <w:t>c</w:t>
              </w:r>
              <w:r w:rsidR="00C329CA" w:rsidRPr="008172C3">
                <w:rPr>
                  <w:rStyle w:val="Hyperlink"/>
                  <w:rFonts w:cstheme="minorHAnsi"/>
                  <w:sz w:val="24"/>
                  <w:szCs w:val="24"/>
                </w:rPr>
                <w:t>u.gov.br/</w:t>
              </w:r>
            </w:hyperlink>
            <w:r w:rsidRPr="000E4D68">
              <w:rPr>
                <w:rFonts w:cstheme="minorHAnsi"/>
                <w:color w:val="FF0000"/>
                <w:sz w:val="24"/>
                <w:szCs w:val="24"/>
              </w:rPr>
              <w:t>)</w:t>
            </w:r>
          </w:p>
        </w:tc>
        <w:tc>
          <w:tcPr>
            <w:tcW w:w="1275" w:type="dxa"/>
          </w:tcPr>
          <w:p w14:paraId="4B52523A" w14:textId="77777777" w:rsidR="00CD4F47" w:rsidRPr="000E4D68" w:rsidRDefault="00CD4F47" w:rsidP="00761E94">
            <w:pPr>
              <w:autoSpaceDE w:val="0"/>
              <w:autoSpaceDN w:val="0"/>
              <w:adjustRightInd w:val="0"/>
              <w:jc w:val="both"/>
              <w:rPr>
                <w:rFonts w:cstheme="minorHAnsi"/>
                <w:sz w:val="24"/>
                <w:szCs w:val="24"/>
              </w:rPr>
            </w:pPr>
          </w:p>
        </w:tc>
      </w:tr>
      <w:tr w:rsidR="001A39DA" w:rsidRPr="000E4D68" w14:paraId="3CEDB74B" w14:textId="77777777" w:rsidTr="0B365B07">
        <w:tc>
          <w:tcPr>
            <w:tcW w:w="8359" w:type="dxa"/>
          </w:tcPr>
          <w:p w14:paraId="7503CEEA" w14:textId="4FAD45E6" w:rsidR="001A39DA" w:rsidRPr="000E4D68" w:rsidRDefault="233D05AC"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juntada aos autos</w:t>
            </w:r>
            <w:r w:rsidR="154CB0BF" w:rsidRPr="0B365B07">
              <w:rPr>
                <w:sz w:val="24"/>
                <w:szCs w:val="24"/>
              </w:rPr>
              <w:t xml:space="preserve"> consulta ao CADIN? (</w:t>
            </w:r>
            <w:r w:rsidRPr="0B365B07">
              <w:rPr>
                <w:sz w:val="24"/>
                <w:szCs w:val="24"/>
              </w:rPr>
              <w:t>art. 6º, III da Lei nº 10.522/02)</w:t>
            </w:r>
          </w:p>
          <w:p w14:paraId="335D8E5C" w14:textId="7AD68EB2" w:rsidR="00A129C6" w:rsidRPr="000E4D68" w:rsidRDefault="00A129C6" w:rsidP="00761E94">
            <w:pPr>
              <w:autoSpaceDE w:val="0"/>
              <w:autoSpaceDN w:val="0"/>
              <w:adjustRightInd w:val="0"/>
              <w:jc w:val="both"/>
              <w:rPr>
                <w:rFonts w:cstheme="minorHAnsi"/>
                <w:sz w:val="24"/>
                <w:szCs w:val="24"/>
              </w:rPr>
            </w:pPr>
            <w:r w:rsidRPr="000E4D68">
              <w:rPr>
                <w:rFonts w:cstheme="minorHAnsi"/>
                <w:color w:val="FF0000"/>
                <w:sz w:val="24"/>
                <w:szCs w:val="24"/>
              </w:rPr>
              <w:t xml:space="preserve">OBS: Atente-se que o cadastro do CADIN é meramente informativo, de modo que a </w:t>
            </w:r>
            <w:r w:rsidR="00FF7C5C" w:rsidRPr="000E4D68">
              <w:rPr>
                <w:rFonts w:cstheme="minorHAnsi"/>
                <w:color w:val="FF0000"/>
                <w:sz w:val="24"/>
                <w:szCs w:val="24"/>
              </w:rPr>
              <w:t>existência de pendências não impede a contratação.</w:t>
            </w:r>
          </w:p>
        </w:tc>
        <w:tc>
          <w:tcPr>
            <w:tcW w:w="1275" w:type="dxa"/>
          </w:tcPr>
          <w:p w14:paraId="272B2315" w14:textId="77777777" w:rsidR="001A39DA" w:rsidRPr="000E4D68" w:rsidRDefault="001A39DA" w:rsidP="00761E94">
            <w:pPr>
              <w:autoSpaceDE w:val="0"/>
              <w:autoSpaceDN w:val="0"/>
              <w:adjustRightInd w:val="0"/>
              <w:jc w:val="both"/>
              <w:rPr>
                <w:rFonts w:cstheme="minorHAnsi"/>
                <w:sz w:val="24"/>
                <w:szCs w:val="24"/>
              </w:rPr>
            </w:pPr>
          </w:p>
        </w:tc>
      </w:tr>
      <w:tr w:rsidR="00CD4F47" w:rsidRPr="00B915D2" w14:paraId="664E97AF" w14:textId="77777777" w:rsidTr="0B365B07">
        <w:tc>
          <w:tcPr>
            <w:tcW w:w="8359" w:type="dxa"/>
          </w:tcPr>
          <w:p w14:paraId="05FBCA5B" w14:textId="0C7F7224" w:rsidR="00CF6B9E" w:rsidRPr="000E4D68" w:rsidRDefault="4E56E4C5"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Houve o reconhecimento da </w:t>
            </w:r>
            <w:r w:rsidR="483F42DF" w:rsidRPr="0B365B07">
              <w:rPr>
                <w:sz w:val="24"/>
                <w:szCs w:val="24"/>
              </w:rPr>
              <w:t>dispensa de licitação e a sua ratificação, nos termos do art. 26 da Lei nº 8.666/93, com a publicação do respectivo extrato, no prazo de 5 (cinco) dias?</w:t>
            </w:r>
            <w:bookmarkStart w:id="1" w:name="_GoBack"/>
            <w:bookmarkEnd w:id="1"/>
          </w:p>
          <w:p w14:paraId="783F5D43" w14:textId="77777777" w:rsidR="00CD4F47" w:rsidRPr="000E4D68" w:rsidRDefault="008D0C28" w:rsidP="007C178A">
            <w:pPr>
              <w:autoSpaceDE w:val="0"/>
              <w:autoSpaceDN w:val="0"/>
              <w:adjustRightInd w:val="0"/>
              <w:jc w:val="both"/>
              <w:rPr>
                <w:rFonts w:cstheme="minorHAnsi"/>
                <w:color w:val="FF0000"/>
                <w:sz w:val="24"/>
                <w:szCs w:val="24"/>
              </w:rPr>
            </w:pPr>
            <w:r w:rsidRPr="000E4D68">
              <w:rPr>
                <w:rFonts w:cstheme="minorHAnsi"/>
                <w:color w:val="FF0000"/>
                <w:sz w:val="24"/>
                <w:szCs w:val="24"/>
              </w:rPr>
              <w:t xml:space="preserve">OBS: </w:t>
            </w:r>
            <w:r w:rsidR="00DB782B" w:rsidRPr="000E4D68">
              <w:rPr>
                <w:rFonts w:cstheme="minorHAnsi"/>
                <w:color w:val="FF0000"/>
                <w:sz w:val="24"/>
                <w:szCs w:val="24"/>
              </w:rPr>
              <w:t xml:space="preserve">Registre-se que a </w:t>
            </w:r>
            <w:r w:rsidR="007C178A" w:rsidRPr="000E4D68">
              <w:rPr>
                <w:rFonts w:cstheme="minorHAnsi"/>
                <w:color w:val="FF0000"/>
                <w:sz w:val="24"/>
                <w:szCs w:val="24"/>
              </w:rPr>
              <w:t>Orientação Normativa AGU n. 33, de 13/12/2011</w:t>
            </w:r>
            <w:r w:rsidR="00DB782B" w:rsidRPr="000E4D68">
              <w:rPr>
                <w:rFonts w:cstheme="minorHAnsi"/>
                <w:color w:val="FF0000"/>
                <w:sz w:val="24"/>
                <w:szCs w:val="24"/>
              </w:rPr>
              <w:t xml:space="preserve">, dispensa a </w:t>
            </w:r>
            <w:r w:rsidR="007E022D" w:rsidRPr="000E4D68">
              <w:rPr>
                <w:rFonts w:cstheme="minorHAnsi"/>
                <w:color w:val="FF0000"/>
                <w:sz w:val="24"/>
                <w:szCs w:val="24"/>
              </w:rPr>
              <w:t>publicação do extrato contratual</w:t>
            </w:r>
            <w:r w:rsidR="00D84213" w:rsidRPr="000E4D68">
              <w:rPr>
                <w:rFonts w:cstheme="minorHAnsi"/>
                <w:color w:val="FF0000"/>
                <w:sz w:val="24"/>
                <w:szCs w:val="24"/>
              </w:rPr>
              <w:t xml:space="preserve"> caso seja publicado o ato de autorização/ratificação da contratação direta</w:t>
            </w:r>
            <w:r w:rsidR="007C178A" w:rsidRPr="000E4D68">
              <w:rPr>
                <w:rFonts w:cstheme="minorHAnsi"/>
                <w:color w:val="FF0000"/>
                <w:sz w:val="24"/>
                <w:szCs w:val="24"/>
              </w:rPr>
              <w:t>.</w:t>
            </w:r>
          </w:p>
          <w:p w14:paraId="77808D5E" w14:textId="7E0E1AB0" w:rsidR="00D84213" w:rsidRPr="00B915D2" w:rsidRDefault="00D84213" w:rsidP="0B365B07">
            <w:pPr>
              <w:autoSpaceDE w:val="0"/>
              <w:autoSpaceDN w:val="0"/>
              <w:adjustRightInd w:val="0"/>
              <w:jc w:val="both"/>
              <w:rPr>
                <w:color w:val="FF0000"/>
                <w:sz w:val="24"/>
                <w:szCs w:val="24"/>
              </w:rPr>
            </w:pPr>
            <w:r w:rsidRPr="0B365B07">
              <w:rPr>
                <w:color w:val="FF0000"/>
                <w:sz w:val="24"/>
                <w:szCs w:val="24"/>
              </w:rPr>
              <w:t xml:space="preserve">OBS 2: </w:t>
            </w:r>
            <w:r w:rsidR="00055124" w:rsidRPr="0B365B07">
              <w:rPr>
                <w:color w:val="FF0000"/>
                <w:sz w:val="24"/>
                <w:szCs w:val="24"/>
              </w:rPr>
              <w:t xml:space="preserve">Nos termos da Orientação Normativa AGU n. 34, de </w:t>
            </w:r>
            <w:r w:rsidR="00BB038B" w:rsidRPr="0B365B07">
              <w:rPr>
                <w:color w:val="FF0000"/>
                <w:sz w:val="24"/>
                <w:szCs w:val="24"/>
              </w:rPr>
              <w:t>13/12/2011</w:t>
            </w:r>
            <w:r w:rsidR="006F6D56" w:rsidRPr="0B365B07">
              <w:rPr>
                <w:color w:val="FF0000"/>
                <w:sz w:val="24"/>
                <w:szCs w:val="24"/>
              </w:rPr>
              <w:t>, a</w:t>
            </w:r>
            <w:r w:rsidRPr="0B365B07">
              <w:rPr>
                <w:color w:val="FF0000"/>
                <w:sz w:val="24"/>
                <w:szCs w:val="24"/>
              </w:rPr>
              <w:t xml:space="preserve">s contratações diretas </w:t>
            </w:r>
            <w:r w:rsidR="00C964A9" w:rsidRPr="0B365B07">
              <w:rPr>
                <w:color w:val="FF0000"/>
                <w:sz w:val="24"/>
                <w:szCs w:val="24"/>
              </w:rPr>
              <w:t>fundadas no art. 24, I e II</w:t>
            </w:r>
            <w:r w:rsidR="0097152B" w:rsidRPr="0B365B07">
              <w:rPr>
                <w:color w:val="FF0000"/>
                <w:sz w:val="24"/>
                <w:szCs w:val="24"/>
              </w:rPr>
              <w:t xml:space="preserve">, </w:t>
            </w:r>
            <w:r w:rsidR="00C964A9" w:rsidRPr="0B365B07">
              <w:rPr>
                <w:color w:val="FF0000"/>
                <w:sz w:val="24"/>
                <w:szCs w:val="24"/>
              </w:rPr>
              <w:t>da Lei nº 8.666/93 dispensam inclusive a publicação do ato que autoriza/ratifica a contratação direta</w:t>
            </w:r>
            <w:r w:rsidR="002E05A3" w:rsidRPr="0B365B07">
              <w:rPr>
                <w:color w:val="FF0000"/>
                <w:sz w:val="24"/>
                <w:szCs w:val="24"/>
              </w:rPr>
              <w:t xml:space="preserve">, sem prejuízo de outros meios de publicidade do ato. </w:t>
            </w:r>
          </w:p>
        </w:tc>
        <w:tc>
          <w:tcPr>
            <w:tcW w:w="1275" w:type="dxa"/>
          </w:tcPr>
          <w:p w14:paraId="19BC4277" w14:textId="77777777" w:rsidR="00CD4F47" w:rsidRPr="00B915D2" w:rsidRDefault="00CD4F47" w:rsidP="00761E94">
            <w:pPr>
              <w:autoSpaceDE w:val="0"/>
              <w:autoSpaceDN w:val="0"/>
              <w:adjustRightInd w:val="0"/>
              <w:jc w:val="both"/>
              <w:rPr>
                <w:rFonts w:cstheme="minorHAnsi"/>
                <w:sz w:val="24"/>
                <w:szCs w:val="24"/>
              </w:rPr>
            </w:pPr>
          </w:p>
        </w:tc>
      </w:tr>
    </w:tbl>
    <w:p w14:paraId="2D3F87F3" w14:textId="79461822" w:rsidR="004E1935" w:rsidRPr="004E1935" w:rsidDel="00602A83" w:rsidRDefault="004E1935" w:rsidP="00B974AE">
      <w:pPr>
        <w:shd w:val="clear" w:color="auto" w:fill="FFFFFF" w:themeFill="background1"/>
        <w:spacing w:after="0" w:line="371" w:lineRule="atLeast"/>
        <w:rPr>
          <w:rFonts w:ascii="Candara" w:eastAsia="Times New Roman" w:hAnsi="Candara" w:cs="Times New Roman"/>
          <w:b/>
          <w:bCs/>
          <w:i/>
          <w:iCs/>
          <w:color w:val="000000" w:themeColor="text1"/>
          <w:sz w:val="29"/>
          <w:szCs w:val="29"/>
          <w:lang w:eastAsia="pt-BR"/>
        </w:rPr>
      </w:pPr>
    </w:p>
    <w:sectPr w:rsidR="004E1935" w:rsidRPr="004E1935" w:rsidDel="00602A83" w:rsidSect="00C4102A">
      <w:headerReference w:type="default" r:id="rId13"/>
      <w:footerReference w:type="default" r:id="rId14"/>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E51632" w16cex:dateUtc="2020-09-03T15:30:15.357Z"/>
  <w16cex:commentExtensible w16cex:durableId="450DFA5A" w16cex:dateUtc="2020-09-03T15:50:30.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ABF4" w14:textId="77777777" w:rsidR="00206454" w:rsidRDefault="00206454" w:rsidP="00A7282F">
      <w:pPr>
        <w:spacing w:after="0" w:line="240" w:lineRule="auto"/>
      </w:pPr>
      <w:r>
        <w:separator/>
      </w:r>
    </w:p>
  </w:endnote>
  <w:endnote w:type="continuationSeparator" w:id="0">
    <w:p w14:paraId="33A0765B" w14:textId="77777777" w:rsidR="00206454" w:rsidRDefault="00206454" w:rsidP="00A7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C175" w14:textId="77777777" w:rsidR="00761E94" w:rsidRDefault="00761E94" w:rsidP="00A7282F">
    <w:pPr>
      <w:pStyle w:val="Rodap"/>
      <w:rPr>
        <w:sz w:val="15"/>
        <w:szCs w:val="15"/>
      </w:rPr>
    </w:pPr>
    <w:r>
      <w:rPr>
        <w:sz w:val="15"/>
        <w:szCs w:val="15"/>
      </w:rPr>
      <w:t>Câmara Nacional de Modelos de Licitações e Contratos da Consultoria-Geral da União</w:t>
    </w:r>
  </w:p>
  <w:p w14:paraId="33716711" w14:textId="3975F1F0" w:rsidR="00761E94" w:rsidRDefault="0B365B07" w:rsidP="00A7282F">
    <w:pPr>
      <w:pStyle w:val="Rodap"/>
      <w:rPr>
        <w:sz w:val="15"/>
        <w:szCs w:val="15"/>
      </w:rPr>
    </w:pPr>
    <w:r w:rsidRPr="0B365B07">
      <w:rPr>
        <w:sz w:val="15"/>
        <w:szCs w:val="15"/>
      </w:rPr>
      <w:t>Modelo de Lista de Verificação de Contratações de Serviços de Engenharia</w:t>
    </w:r>
  </w:p>
  <w:p w14:paraId="56F54844" w14:textId="4B7B3258" w:rsidR="00761E94" w:rsidRPr="00DB0B6B" w:rsidRDefault="0B365B07">
    <w:pPr>
      <w:pStyle w:val="Rodap"/>
      <w:rPr>
        <w:sz w:val="15"/>
        <w:szCs w:val="15"/>
      </w:rPr>
    </w:pPr>
    <w:r w:rsidRPr="0B365B07">
      <w:rPr>
        <w:sz w:val="15"/>
        <w:szCs w:val="15"/>
      </w:rPr>
      <w:t xml:space="preserve">Atualização: </w:t>
    </w:r>
    <w:proofErr w:type="gramStart"/>
    <w:r w:rsidR="00F937E2">
      <w:rPr>
        <w:sz w:val="15"/>
        <w:szCs w:val="15"/>
      </w:rPr>
      <w:t>Dezembro</w:t>
    </w:r>
    <w:proofErr w:type="gramEnd"/>
    <w:r w:rsidRPr="0B365B07">
      <w:rPr>
        <w:sz w:val="15"/>
        <w:szCs w:val="15"/>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DA5B" w14:textId="77777777" w:rsidR="00206454" w:rsidRDefault="00206454" w:rsidP="00A7282F">
      <w:pPr>
        <w:spacing w:after="0" w:line="240" w:lineRule="auto"/>
      </w:pPr>
      <w:r>
        <w:separator/>
      </w:r>
    </w:p>
  </w:footnote>
  <w:footnote w:type="continuationSeparator" w:id="0">
    <w:p w14:paraId="0FB3C5B2" w14:textId="77777777" w:rsidR="00206454" w:rsidRDefault="00206454" w:rsidP="00A7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B365B07" w14:paraId="5A9058CB" w14:textId="77777777" w:rsidTr="0B365B07">
      <w:tc>
        <w:tcPr>
          <w:tcW w:w="3213" w:type="dxa"/>
        </w:tcPr>
        <w:p w14:paraId="53E5121C" w14:textId="0DD7B004" w:rsidR="0B365B07" w:rsidRDefault="0B365B07" w:rsidP="0B365B07">
          <w:pPr>
            <w:pStyle w:val="Cabealho"/>
            <w:ind w:left="-115"/>
          </w:pPr>
        </w:p>
      </w:tc>
      <w:tc>
        <w:tcPr>
          <w:tcW w:w="3213" w:type="dxa"/>
        </w:tcPr>
        <w:p w14:paraId="1DD75B2A" w14:textId="616AFE0A" w:rsidR="0B365B07" w:rsidRDefault="0B365B07" w:rsidP="0B365B07">
          <w:pPr>
            <w:pStyle w:val="Cabealho"/>
            <w:jc w:val="center"/>
          </w:pPr>
        </w:p>
      </w:tc>
      <w:tc>
        <w:tcPr>
          <w:tcW w:w="3213" w:type="dxa"/>
        </w:tcPr>
        <w:p w14:paraId="351F3F94" w14:textId="2E8E9773" w:rsidR="0B365B07" w:rsidRDefault="0B365B07" w:rsidP="0B365B07">
          <w:pPr>
            <w:pStyle w:val="Cabealho"/>
            <w:ind w:right="-115"/>
            <w:jc w:val="right"/>
          </w:pPr>
        </w:p>
      </w:tc>
    </w:tr>
  </w:tbl>
  <w:p w14:paraId="47462550" w14:textId="1D024057" w:rsidR="0B365B07" w:rsidRDefault="0B365B07" w:rsidP="0B365B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F6B"/>
    <w:multiLevelType w:val="multilevel"/>
    <w:tmpl w:val="7C4A8C6C"/>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0373E14"/>
    <w:multiLevelType w:val="multilevel"/>
    <w:tmpl w:val="B3C8AEC8"/>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581120B"/>
    <w:multiLevelType w:val="multilevel"/>
    <w:tmpl w:val="A16C2D7E"/>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2092F53"/>
    <w:multiLevelType w:val="multilevel"/>
    <w:tmpl w:val="AFAA8F9A"/>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8A1CDD"/>
    <w:multiLevelType w:val="hybridMultilevel"/>
    <w:tmpl w:val="A3428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3113DA"/>
    <w:multiLevelType w:val="hybridMultilevel"/>
    <w:tmpl w:val="83A491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2A5357"/>
    <w:multiLevelType w:val="multilevel"/>
    <w:tmpl w:val="D258FDE8"/>
    <w:lvl w:ilvl="0">
      <w:start w:val="7"/>
      <w:numFmt w:val="decimal"/>
      <w:lvlText w:val="%1"/>
      <w:lvlJc w:val="left"/>
      <w:pPr>
        <w:ind w:left="360" w:hanging="360"/>
      </w:pPr>
      <w:rPr>
        <w:rFonts w:hint="default"/>
        <w:color w:val="auto"/>
      </w:rPr>
    </w:lvl>
    <w:lvl w:ilvl="1">
      <w:start w:val="8"/>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15:restartNumberingAfterBreak="0">
    <w:nsid w:val="7F815812"/>
    <w:multiLevelType w:val="multilevel"/>
    <w:tmpl w:val="8E8629E4"/>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8"/>
  </w:num>
  <w:num w:numId="8">
    <w:abstractNumId w:val="2"/>
  </w:num>
  <w:num w:numId="9">
    <w:abstractNumId w:val="3"/>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BE7"/>
    <w:rsid w:val="00000CB6"/>
    <w:rsid w:val="00003226"/>
    <w:rsid w:val="00005484"/>
    <w:rsid w:val="00012566"/>
    <w:rsid w:val="000136FA"/>
    <w:rsid w:val="000168AA"/>
    <w:rsid w:val="000172BE"/>
    <w:rsid w:val="00017C02"/>
    <w:rsid w:val="00017D7A"/>
    <w:rsid w:val="0002261F"/>
    <w:rsid w:val="0003162C"/>
    <w:rsid w:val="00035D42"/>
    <w:rsid w:val="0003709E"/>
    <w:rsid w:val="00040EFF"/>
    <w:rsid w:val="00043983"/>
    <w:rsid w:val="00045FD3"/>
    <w:rsid w:val="000464D2"/>
    <w:rsid w:val="0004772F"/>
    <w:rsid w:val="00051405"/>
    <w:rsid w:val="00052608"/>
    <w:rsid w:val="00055124"/>
    <w:rsid w:val="00062507"/>
    <w:rsid w:val="00071CA7"/>
    <w:rsid w:val="000738BA"/>
    <w:rsid w:val="00080BF0"/>
    <w:rsid w:val="00090B9E"/>
    <w:rsid w:val="00091A8F"/>
    <w:rsid w:val="0009278A"/>
    <w:rsid w:val="00092F77"/>
    <w:rsid w:val="00097275"/>
    <w:rsid w:val="00097D91"/>
    <w:rsid w:val="000A4703"/>
    <w:rsid w:val="000B60D6"/>
    <w:rsid w:val="000B6A99"/>
    <w:rsid w:val="000B751D"/>
    <w:rsid w:val="000D38ED"/>
    <w:rsid w:val="000D748B"/>
    <w:rsid w:val="000E4D68"/>
    <w:rsid w:val="000E51BD"/>
    <w:rsid w:val="000E69D6"/>
    <w:rsid w:val="000F3B3F"/>
    <w:rsid w:val="000F662E"/>
    <w:rsid w:val="000F6E41"/>
    <w:rsid w:val="000F798C"/>
    <w:rsid w:val="001032AA"/>
    <w:rsid w:val="001054C4"/>
    <w:rsid w:val="00106047"/>
    <w:rsid w:val="00106C3E"/>
    <w:rsid w:val="001077EF"/>
    <w:rsid w:val="00117AFE"/>
    <w:rsid w:val="001342E3"/>
    <w:rsid w:val="00135234"/>
    <w:rsid w:val="001365AD"/>
    <w:rsid w:val="00141C9B"/>
    <w:rsid w:val="00143425"/>
    <w:rsid w:val="00144493"/>
    <w:rsid w:val="00153917"/>
    <w:rsid w:val="00153E03"/>
    <w:rsid w:val="00154FF5"/>
    <w:rsid w:val="0016242F"/>
    <w:rsid w:val="00163C62"/>
    <w:rsid w:val="00167773"/>
    <w:rsid w:val="00167A8F"/>
    <w:rsid w:val="001718D0"/>
    <w:rsid w:val="001752AF"/>
    <w:rsid w:val="00180C9F"/>
    <w:rsid w:val="00183FE8"/>
    <w:rsid w:val="00184832"/>
    <w:rsid w:val="00187AB9"/>
    <w:rsid w:val="00190281"/>
    <w:rsid w:val="001A23FB"/>
    <w:rsid w:val="001A39DA"/>
    <w:rsid w:val="001A4EE5"/>
    <w:rsid w:val="001A6ED6"/>
    <w:rsid w:val="001B0EE9"/>
    <w:rsid w:val="001B217B"/>
    <w:rsid w:val="001B6770"/>
    <w:rsid w:val="001C25CF"/>
    <w:rsid w:val="001C4679"/>
    <w:rsid w:val="001C57FE"/>
    <w:rsid w:val="001D1617"/>
    <w:rsid w:val="001D2B01"/>
    <w:rsid w:val="001D7F11"/>
    <w:rsid w:val="001E4AE0"/>
    <w:rsid w:val="001F2F79"/>
    <w:rsid w:val="001F597F"/>
    <w:rsid w:val="001F6623"/>
    <w:rsid w:val="00206454"/>
    <w:rsid w:val="00215CAC"/>
    <w:rsid w:val="00221342"/>
    <w:rsid w:val="00221FA7"/>
    <w:rsid w:val="00222A44"/>
    <w:rsid w:val="00227680"/>
    <w:rsid w:val="00233CD5"/>
    <w:rsid w:val="0023419E"/>
    <w:rsid w:val="00234366"/>
    <w:rsid w:val="00234766"/>
    <w:rsid w:val="00246CF1"/>
    <w:rsid w:val="00254516"/>
    <w:rsid w:val="00261286"/>
    <w:rsid w:val="002616B7"/>
    <w:rsid w:val="00262B2E"/>
    <w:rsid w:val="00263E45"/>
    <w:rsid w:val="00264CB0"/>
    <w:rsid w:val="00273054"/>
    <w:rsid w:val="002762A5"/>
    <w:rsid w:val="00284E57"/>
    <w:rsid w:val="002908AD"/>
    <w:rsid w:val="00291994"/>
    <w:rsid w:val="002956CF"/>
    <w:rsid w:val="00295911"/>
    <w:rsid w:val="00297E09"/>
    <w:rsid w:val="002A0791"/>
    <w:rsid w:val="002A2B1F"/>
    <w:rsid w:val="002A5748"/>
    <w:rsid w:val="002A6B62"/>
    <w:rsid w:val="002A6CE2"/>
    <w:rsid w:val="002A7F41"/>
    <w:rsid w:val="002C279C"/>
    <w:rsid w:val="002C2CCC"/>
    <w:rsid w:val="002C7735"/>
    <w:rsid w:val="002D3193"/>
    <w:rsid w:val="002E05A3"/>
    <w:rsid w:val="002E1D38"/>
    <w:rsid w:val="002E2C4F"/>
    <w:rsid w:val="002E5CEF"/>
    <w:rsid w:val="002E635F"/>
    <w:rsid w:val="002F1D16"/>
    <w:rsid w:val="002F295D"/>
    <w:rsid w:val="002F3D7A"/>
    <w:rsid w:val="00305139"/>
    <w:rsid w:val="00306217"/>
    <w:rsid w:val="003116CB"/>
    <w:rsid w:val="00311D74"/>
    <w:rsid w:val="00321A0A"/>
    <w:rsid w:val="003228F6"/>
    <w:rsid w:val="00323475"/>
    <w:rsid w:val="00323A3D"/>
    <w:rsid w:val="0033051B"/>
    <w:rsid w:val="00331105"/>
    <w:rsid w:val="003318D2"/>
    <w:rsid w:val="00336AC1"/>
    <w:rsid w:val="00337180"/>
    <w:rsid w:val="0033739A"/>
    <w:rsid w:val="00337924"/>
    <w:rsid w:val="00343EEE"/>
    <w:rsid w:val="00345131"/>
    <w:rsid w:val="00352E12"/>
    <w:rsid w:val="00352EDF"/>
    <w:rsid w:val="00365937"/>
    <w:rsid w:val="00366072"/>
    <w:rsid w:val="003677BB"/>
    <w:rsid w:val="00372BD9"/>
    <w:rsid w:val="00374BB3"/>
    <w:rsid w:val="00377191"/>
    <w:rsid w:val="003833D5"/>
    <w:rsid w:val="00387A78"/>
    <w:rsid w:val="00387C8B"/>
    <w:rsid w:val="003A21F7"/>
    <w:rsid w:val="003A2C5A"/>
    <w:rsid w:val="003A4C00"/>
    <w:rsid w:val="003A4F34"/>
    <w:rsid w:val="003A64C3"/>
    <w:rsid w:val="003A6A6F"/>
    <w:rsid w:val="003B262D"/>
    <w:rsid w:val="003B3D08"/>
    <w:rsid w:val="003B4B22"/>
    <w:rsid w:val="003B5DD8"/>
    <w:rsid w:val="003C619A"/>
    <w:rsid w:val="003D1864"/>
    <w:rsid w:val="003D3EC3"/>
    <w:rsid w:val="003D4E58"/>
    <w:rsid w:val="003D519C"/>
    <w:rsid w:val="003D51B7"/>
    <w:rsid w:val="003D53A7"/>
    <w:rsid w:val="003D5974"/>
    <w:rsid w:val="003D5D37"/>
    <w:rsid w:val="003E3DA0"/>
    <w:rsid w:val="003E681E"/>
    <w:rsid w:val="003E79F4"/>
    <w:rsid w:val="003E7A02"/>
    <w:rsid w:val="003F31F7"/>
    <w:rsid w:val="003F3978"/>
    <w:rsid w:val="00407C0B"/>
    <w:rsid w:val="00410AF8"/>
    <w:rsid w:val="004116B5"/>
    <w:rsid w:val="00415272"/>
    <w:rsid w:val="0041538D"/>
    <w:rsid w:val="00416104"/>
    <w:rsid w:val="004164BD"/>
    <w:rsid w:val="00420C96"/>
    <w:rsid w:val="00421195"/>
    <w:rsid w:val="0042596E"/>
    <w:rsid w:val="00430DDF"/>
    <w:rsid w:val="004347EB"/>
    <w:rsid w:val="00447C09"/>
    <w:rsid w:val="00447E61"/>
    <w:rsid w:val="00450335"/>
    <w:rsid w:val="0045054E"/>
    <w:rsid w:val="00450640"/>
    <w:rsid w:val="004515BF"/>
    <w:rsid w:val="004525E3"/>
    <w:rsid w:val="00460A82"/>
    <w:rsid w:val="00465290"/>
    <w:rsid w:val="004742E9"/>
    <w:rsid w:val="00477919"/>
    <w:rsid w:val="00480C97"/>
    <w:rsid w:val="004810E1"/>
    <w:rsid w:val="00481A01"/>
    <w:rsid w:val="004843C6"/>
    <w:rsid w:val="004874DF"/>
    <w:rsid w:val="00487680"/>
    <w:rsid w:val="004938D2"/>
    <w:rsid w:val="004941DD"/>
    <w:rsid w:val="004A3BC0"/>
    <w:rsid w:val="004A4A08"/>
    <w:rsid w:val="004A743F"/>
    <w:rsid w:val="004B470F"/>
    <w:rsid w:val="004C593D"/>
    <w:rsid w:val="004D17B3"/>
    <w:rsid w:val="004D1C3F"/>
    <w:rsid w:val="004D472F"/>
    <w:rsid w:val="004D553F"/>
    <w:rsid w:val="004D7340"/>
    <w:rsid w:val="004D769C"/>
    <w:rsid w:val="004D798B"/>
    <w:rsid w:val="004E1935"/>
    <w:rsid w:val="004F43FB"/>
    <w:rsid w:val="004F7F4E"/>
    <w:rsid w:val="00500291"/>
    <w:rsid w:val="00501EED"/>
    <w:rsid w:val="0050292C"/>
    <w:rsid w:val="005038AC"/>
    <w:rsid w:val="005064FE"/>
    <w:rsid w:val="00510CC9"/>
    <w:rsid w:val="00510D84"/>
    <w:rsid w:val="0051254C"/>
    <w:rsid w:val="00517FD0"/>
    <w:rsid w:val="00525913"/>
    <w:rsid w:val="00527269"/>
    <w:rsid w:val="00540D6A"/>
    <w:rsid w:val="00543245"/>
    <w:rsid w:val="00543D38"/>
    <w:rsid w:val="00544923"/>
    <w:rsid w:val="00547C07"/>
    <w:rsid w:val="0055062A"/>
    <w:rsid w:val="0056143D"/>
    <w:rsid w:val="005616E2"/>
    <w:rsid w:val="00563B1B"/>
    <w:rsid w:val="00566A47"/>
    <w:rsid w:val="005678F0"/>
    <w:rsid w:val="00574201"/>
    <w:rsid w:val="005748FE"/>
    <w:rsid w:val="0058279B"/>
    <w:rsid w:val="00585AC1"/>
    <w:rsid w:val="00587657"/>
    <w:rsid w:val="005900C5"/>
    <w:rsid w:val="0059246A"/>
    <w:rsid w:val="0059344F"/>
    <w:rsid w:val="0059371F"/>
    <w:rsid w:val="005A1D9B"/>
    <w:rsid w:val="005A5936"/>
    <w:rsid w:val="005A7C1C"/>
    <w:rsid w:val="005B5A96"/>
    <w:rsid w:val="005C2668"/>
    <w:rsid w:val="005C47C6"/>
    <w:rsid w:val="005D0259"/>
    <w:rsid w:val="005D3DF0"/>
    <w:rsid w:val="005D53E6"/>
    <w:rsid w:val="005D7C16"/>
    <w:rsid w:val="005E1548"/>
    <w:rsid w:val="005E3F9D"/>
    <w:rsid w:val="005E46DB"/>
    <w:rsid w:val="005E4E8E"/>
    <w:rsid w:val="005E53FA"/>
    <w:rsid w:val="005E62A8"/>
    <w:rsid w:val="005F4C66"/>
    <w:rsid w:val="005F4DC7"/>
    <w:rsid w:val="005F73A6"/>
    <w:rsid w:val="00602A83"/>
    <w:rsid w:val="0060641A"/>
    <w:rsid w:val="00610220"/>
    <w:rsid w:val="006129F1"/>
    <w:rsid w:val="0061653F"/>
    <w:rsid w:val="00622053"/>
    <w:rsid w:val="006269B0"/>
    <w:rsid w:val="00631097"/>
    <w:rsid w:val="00642008"/>
    <w:rsid w:val="0064272F"/>
    <w:rsid w:val="00642A41"/>
    <w:rsid w:val="00643718"/>
    <w:rsid w:val="00647B93"/>
    <w:rsid w:val="00657856"/>
    <w:rsid w:val="00664417"/>
    <w:rsid w:val="00666CB8"/>
    <w:rsid w:val="00680042"/>
    <w:rsid w:val="0068495B"/>
    <w:rsid w:val="00690937"/>
    <w:rsid w:val="00693749"/>
    <w:rsid w:val="006A12B6"/>
    <w:rsid w:val="006A5C10"/>
    <w:rsid w:val="006A64ED"/>
    <w:rsid w:val="006A6BA8"/>
    <w:rsid w:val="006B3E10"/>
    <w:rsid w:val="006C3DF7"/>
    <w:rsid w:val="006D270B"/>
    <w:rsid w:val="006D3019"/>
    <w:rsid w:val="006D643A"/>
    <w:rsid w:val="006E2EDA"/>
    <w:rsid w:val="006F20DF"/>
    <w:rsid w:val="006F5F7C"/>
    <w:rsid w:val="006F6D56"/>
    <w:rsid w:val="00701BE0"/>
    <w:rsid w:val="00705BD8"/>
    <w:rsid w:val="007105B2"/>
    <w:rsid w:val="00711603"/>
    <w:rsid w:val="00714CF0"/>
    <w:rsid w:val="007241DB"/>
    <w:rsid w:val="00730047"/>
    <w:rsid w:val="00730468"/>
    <w:rsid w:val="00732B76"/>
    <w:rsid w:val="00735508"/>
    <w:rsid w:val="0073678D"/>
    <w:rsid w:val="00740996"/>
    <w:rsid w:val="00750F2B"/>
    <w:rsid w:val="007515B8"/>
    <w:rsid w:val="00755BF2"/>
    <w:rsid w:val="00755F0C"/>
    <w:rsid w:val="00760558"/>
    <w:rsid w:val="00761E94"/>
    <w:rsid w:val="00765530"/>
    <w:rsid w:val="00767846"/>
    <w:rsid w:val="00773193"/>
    <w:rsid w:val="00773FFF"/>
    <w:rsid w:val="00774089"/>
    <w:rsid w:val="00775310"/>
    <w:rsid w:val="0077560B"/>
    <w:rsid w:val="00777DEF"/>
    <w:rsid w:val="00780E6D"/>
    <w:rsid w:val="00781F0F"/>
    <w:rsid w:val="0078360A"/>
    <w:rsid w:val="0078541A"/>
    <w:rsid w:val="00786ACC"/>
    <w:rsid w:val="00792450"/>
    <w:rsid w:val="00793C88"/>
    <w:rsid w:val="00794D27"/>
    <w:rsid w:val="00797512"/>
    <w:rsid w:val="0079762C"/>
    <w:rsid w:val="007A1048"/>
    <w:rsid w:val="007A1188"/>
    <w:rsid w:val="007A42C4"/>
    <w:rsid w:val="007B668C"/>
    <w:rsid w:val="007C16D6"/>
    <w:rsid w:val="007C178A"/>
    <w:rsid w:val="007C32C9"/>
    <w:rsid w:val="007C3A68"/>
    <w:rsid w:val="007C5EBC"/>
    <w:rsid w:val="007D0B34"/>
    <w:rsid w:val="007D392A"/>
    <w:rsid w:val="007D4AB2"/>
    <w:rsid w:val="007E022D"/>
    <w:rsid w:val="007E1CDD"/>
    <w:rsid w:val="007E229D"/>
    <w:rsid w:val="007E3D05"/>
    <w:rsid w:val="007E48F6"/>
    <w:rsid w:val="007E586B"/>
    <w:rsid w:val="007E647C"/>
    <w:rsid w:val="007E6B39"/>
    <w:rsid w:val="007E7D69"/>
    <w:rsid w:val="007F3B4D"/>
    <w:rsid w:val="007F7E16"/>
    <w:rsid w:val="0080590B"/>
    <w:rsid w:val="0080765D"/>
    <w:rsid w:val="00810400"/>
    <w:rsid w:val="00810766"/>
    <w:rsid w:val="00811128"/>
    <w:rsid w:val="008357CD"/>
    <w:rsid w:val="00843CF4"/>
    <w:rsid w:val="00844437"/>
    <w:rsid w:val="008449E1"/>
    <w:rsid w:val="00847F30"/>
    <w:rsid w:val="008519CE"/>
    <w:rsid w:val="00852ABE"/>
    <w:rsid w:val="00853E35"/>
    <w:rsid w:val="008568E2"/>
    <w:rsid w:val="00857E1B"/>
    <w:rsid w:val="00861A35"/>
    <w:rsid w:val="00864F09"/>
    <w:rsid w:val="00870C14"/>
    <w:rsid w:val="008870A0"/>
    <w:rsid w:val="00887B9A"/>
    <w:rsid w:val="00891382"/>
    <w:rsid w:val="0089336A"/>
    <w:rsid w:val="008933BE"/>
    <w:rsid w:val="00893E5F"/>
    <w:rsid w:val="008A1B49"/>
    <w:rsid w:val="008A1BF9"/>
    <w:rsid w:val="008A4F28"/>
    <w:rsid w:val="008B4E9F"/>
    <w:rsid w:val="008C057D"/>
    <w:rsid w:val="008C7F49"/>
    <w:rsid w:val="008D0C28"/>
    <w:rsid w:val="008D2098"/>
    <w:rsid w:val="008D5E4F"/>
    <w:rsid w:val="008D77E7"/>
    <w:rsid w:val="008E460F"/>
    <w:rsid w:val="008E5C96"/>
    <w:rsid w:val="008E6D22"/>
    <w:rsid w:val="008F04ED"/>
    <w:rsid w:val="008F04FB"/>
    <w:rsid w:val="008F4807"/>
    <w:rsid w:val="00904F57"/>
    <w:rsid w:val="00910EDA"/>
    <w:rsid w:val="00916298"/>
    <w:rsid w:val="00925992"/>
    <w:rsid w:val="009308DA"/>
    <w:rsid w:val="009313EB"/>
    <w:rsid w:val="00933EBD"/>
    <w:rsid w:val="00940274"/>
    <w:rsid w:val="00941449"/>
    <w:rsid w:val="009418EA"/>
    <w:rsid w:val="00945B92"/>
    <w:rsid w:val="00947C61"/>
    <w:rsid w:val="009515D7"/>
    <w:rsid w:val="009624F8"/>
    <w:rsid w:val="0097152B"/>
    <w:rsid w:val="0097365F"/>
    <w:rsid w:val="00974A27"/>
    <w:rsid w:val="009816ED"/>
    <w:rsid w:val="009904B4"/>
    <w:rsid w:val="00991BFC"/>
    <w:rsid w:val="00992314"/>
    <w:rsid w:val="00997E84"/>
    <w:rsid w:val="009A23BD"/>
    <w:rsid w:val="009A39A1"/>
    <w:rsid w:val="009A3A42"/>
    <w:rsid w:val="009A74AC"/>
    <w:rsid w:val="009A7DB7"/>
    <w:rsid w:val="009C0A3F"/>
    <w:rsid w:val="009C42EC"/>
    <w:rsid w:val="009D0901"/>
    <w:rsid w:val="009D2049"/>
    <w:rsid w:val="009D2314"/>
    <w:rsid w:val="009E03E3"/>
    <w:rsid w:val="009E5225"/>
    <w:rsid w:val="009E7457"/>
    <w:rsid w:val="009F0D78"/>
    <w:rsid w:val="009F33E5"/>
    <w:rsid w:val="00A011D4"/>
    <w:rsid w:val="00A10796"/>
    <w:rsid w:val="00A11FCC"/>
    <w:rsid w:val="00A129C6"/>
    <w:rsid w:val="00A14074"/>
    <w:rsid w:val="00A14DC2"/>
    <w:rsid w:val="00A27E0F"/>
    <w:rsid w:val="00A33380"/>
    <w:rsid w:val="00A3437D"/>
    <w:rsid w:val="00A379AF"/>
    <w:rsid w:val="00A41439"/>
    <w:rsid w:val="00A421C4"/>
    <w:rsid w:val="00A46FF8"/>
    <w:rsid w:val="00A473E7"/>
    <w:rsid w:val="00A512B0"/>
    <w:rsid w:val="00A709F2"/>
    <w:rsid w:val="00A72442"/>
    <w:rsid w:val="00A7282F"/>
    <w:rsid w:val="00A730C6"/>
    <w:rsid w:val="00A8060A"/>
    <w:rsid w:val="00A80A9C"/>
    <w:rsid w:val="00A84BFD"/>
    <w:rsid w:val="00A87AB6"/>
    <w:rsid w:val="00A90701"/>
    <w:rsid w:val="00A9138A"/>
    <w:rsid w:val="00A91E86"/>
    <w:rsid w:val="00AA400C"/>
    <w:rsid w:val="00AB084C"/>
    <w:rsid w:val="00AB38DE"/>
    <w:rsid w:val="00AB53D9"/>
    <w:rsid w:val="00AC0F51"/>
    <w:rsid w:val="00AC1021"/>
    <w:rsid w:val="00AC60B9"/>
    <w:rsid w:val="00AD2455"/>
    <w:rsid w:val="00AD6625"/>
    <w:rsid w:val="00AD7D36"/>
    <w:rsid w:val="00AE3FDB"/>
    <w:rsid w:val="00AE54C8"/>
    <w:rsid w:val="00AF70FF"/>
    <w:rsid w:val="00B01300"/>
    <w:rsid w:val="00B05CA5"/>
    <w:rsid w:val="00B06BC1"/>
    <w:rsid w:val="00B13107"/>
    <w:rsid w:val="00B138FC"/>
    <w:rsid w:val="00B15955"/>
    <w:rsid w:val="00B21157"/>
    <w:rsid w:val="00B213CE"/>
    <w:rsid w:val="00B238A8"/>
    <w:rsid w:val="00B26E60"/>
    <w:rsid w:val="00B365C2"/>
    <w:rsid w:val="00B40EDE"/>
    <w:rsid w:val="00B4258E"/>
    <w:rsid w:val="00B43022"/>
    <w:rsid w:val="00B438EE"/>
    <w:rsid w:val="00B45415"/>
    <w:rsid w:val="00B533F5"/>
    <w:rsid w:val="00B53714"/>
    <w:rsid w:val="00B53A50"/>
    <w:rsid w:val="00B54633"/>
    <w:rsid w:val="00B54865"/>
    <w:rsid w:val="00B602A8"/>
    <w:rsid w:val="00B65251"/>
    <w:rsid w:val="00B65FE3"/>
    <w:rsid w:val="00B669D6"/>
    <w:rsid w:val="00B7131E"/>
    <w:rsid w:val="00B7282B"/>
    <w:rsid w:val="00B74A73"/>
    <w:rsid w:val="00B74E56"/>
    <w:rsid w:val="00B779EA"/>
    <w:rsid w:val="00B81ED8"/>
    <w:rsid w:val="00B8239E"/>
    <w:rsid w:val="00B8293E"/>
    <w:rsid w:val="00B83706"/>
    <w:rsid w:val="00B83C1A"/>
    <w:rsid w:val="00B9225B"/>
    <w:rsid w:val="00B974AE"/>
    <w:rsid w:val="00BA0B0A"/>
    <w:rsid w:val="00BA0BC4"/>
    <w:rsid w:val="00BA33A1"/>
    <w:rsid w:val="00BA3944"/>
    <w:rsid w:val="00BA4575"/>
    <w:rsid w:val="00BA7DCB"/>
    <w:rsid w:val="00BB038B"/>
    <w:rsid w:val="00BB49ED"/>
    <w:rsid w:val="00BB5D2C"/>
    <w:rsid w:val="00BC2B3D"/>
    <w:rsid w:val="00BC3C1F"/>
    <w:rsid w:val="00BC4DBA"/>
    <w:rsid w:val="00BC5AAF"/>
    <w:rsid w:val="00BC607A"/>
    <w:rsid w:val="00BC7E1D"/>
    <w:rsid w:val="00BD16EB"/>
    <w:rsid w:val="00BD44BC"/>
    <w:rsid w:val="00BE08C6"/>
    <w:rsid w:val="00BE2846"/>
    <w:rsid w:val="00BE2D65"/>
    <w:rsid w:val="00BE5308"/>
    <w:rsid w:val="00BF0A61"/>
    <w:rsid w:val="00BF39F5"/>
    <w:rsid w:val="00BF6B4C"/>
    <w:rsid w:val="00C03450"/>
    <w:rsid w:val="00C04A10"/>
    <w:rsid w:val="00C21505"/>
    <w:rsid w:val="00C27F15"/>
    <w:rsid w:val="00C329CA"/>
    <w:rsid w:val="00C33176"/>
    <w:rsid w:val="00C343CE"/>
    <w:rsid w:val="00C4102A"/>
    <w:rsid w:val="00C52022"/>
    <w:rsid w:val="00C57E2A"/>
    <w:rsid w:val="00C66DCC"/>
    <w:rsid w:val="00C744DD"/>
    <w:rsid w:val="00C806ED"/>
    <w:rsid w:val="00C82B29"/>
    <w:rsid w:val="00C9124B"/>
    <w:rsid w:val="00C96333"/>
    <w:rsid w:val="00C964A9"/>
    <w:rsid w:val="00CA3EAA"/>
    <w:rsid w:val="00CA46EF"/>
    <w:rsid w:val="00CA4A7A"/>
    <w:rsid w:val="00CA51B7"/>
    <w:rsid w:val="00CA53C4"/>
    <w:rsid w:val="00CA6A9A"/>
    <w:rsid w:val="00CB0F32"/>
    <w:rsid w:val="00CB11E4"/>
    <w:rsid w:val="00CB3BB4"/>
    <w:rsid w:val="00CB6899"/>
    <w:rsid w:val="00CC19F7"/>
    <w:rsid w:val="00CD1B8B"/>
    <w:rsid w:val="00CD2D74"/>
    <w:rsid w:val="00CD4F47"/>
    <w:rsid w:val="00CD79BB"/>
    <w:rsid w:val="00CE1164"/>
    <w:rsid w:val="00CE2D4C"/>
    <w:rsid w:val="00CE6438"/>
    <w:rsid w:val="00CF434F"/>
    <w:rsid w:val="00CF4B84"/>
    <w:rsid w:val="00CF6B9E"/>
    <w:rsid w:val="00D007CC"/>
    <w:rsid w:val="00D01107"/>
    <w:rsid w:val="00D0350D"/>
    <w:rsid w:val="00D05872"/>
    <w:rsid w:val="00D076BD"/>
    <w:rsid w:val="00D14478"/>
    <w:rsid w:val="00D16676"/>
    <w:rsid w:val="00D2032B"/>
    <w:rsid w:val="00D2139D"/>
    <w:rsid w:val="00D22EE8"/>
    <w:rsid w:val="00D2316E"/>
    <w:rsid w:val="00D30816"/>
    <w:rsid w:val="00D33337"/>
    <w:rsid w:val="00D35930"/>
    <w:rsid w:val="00D366CB"/>
    <w:rsid w:val="00D37635"/>
    <w:rsid w:val="00D37823"/>
    <w:rsid w:val="00D379F8"/>
    <w:rsid w:val="00D40538"/>
    <w:rsid w:val="00D41785"/>
    <w:rsid w:val="00D42C6B"/>
    <w:rsid w:val="00D445F8"/>
    <w:rsid w:val="00D45F3B"/>
    <w:rsid w:val="00D468F7"/>
    <w:rsid w:val="00D5142F"/>
    <w:rsid w:val="00D568DC"/>
    <w:rsid w:val="00D64B39"/>
    <w:rsid w:val="00D7342E"/>
    <w:rsid w:val="00D73DE2"/>
    <w:rsid w:val="00D83A1E"/>
    <w:rsid w:val="00D841C8"/>
    <w:rsid w:val="00D84213"/>
    <w:rsid w:val="00D84E7C"/>
    <w:rsid w:val="00D867E9"/>
    <w:rsid w:val="00D91F6A"/>
    <w:rsid w:val="00D923F1"/>
    <w:rsid w:val="00D948AC"/>
    <w:rsid w:val="00DA1662"/>
    <w:rsid w:val="00DB0B6B"/>
    <w:rsid w:val="00DB25DD"/>
    <w:rsid w:val="00DB69F2"/>
    <w:rsid w:val="00DB782B"/>
    <w:rsid w:val="00DD1FBC"/>
    <w:rsid w:val="00DD55E6"/>
    <w:rsid w:val="00DE10EF"/>
    <w:rsid w:val="00DE4393"/>
    <w:rsid w:val="00DE4C6D"/>
    <w:rsid w:val="00DE5FEE"/>
    <w:rsid w:val="00DE772D"/>
    <w:rsid w:val="00DF22C4"/>
    <w:rsid w:val="00DF2715"/>
    <w:rsid w:val="00DF64CF"/>
    <w:rsid w:val="00E00192"/>
    <w:rsid w:val="00E0459C"/>
    <w:rsid w:val="00E14E09"/>
    <w:rsid w:val="00E20401"/>
    <w:rsid w:val="00E22BDA"/>
    <w:rsid w:val="00E426D1"/>
    <w:rsid w:val="00E42EFA"/>
    <w:rsid w:val="00E45008"/>
    <w:rsid w:val="00E479FB"/>
    <w:rsid w:val="00E47CB2"/>
    <w:rsid w:val="00E50BF5"/>
    <w:rsid w:val="00E511CC"/>
    <w:rsid w:val="00E57B61"/>
    <w:rsid w:val="00E62146"/>
    <w:rsid w:val="00E626C6"/>
    <w:rsid w:val="00E640DD"/>
    <w:rsid w:val="00E66742"/>
    <w:rsid w:val="00E67355"/>
    <w:rsid w:val="00E70E35"/>
    <w:rsid w:val="00E71A36"/>
    <w:rsid w:val="00E758DA"/>
    <w:rsid w:val="00E75923"/>
    <w:rsid w:val="00E76439"/>
    <w:rsid w:val="00E77D38"/>
    <w:rsid w:val="00E820A8"/>
    <w:rsid w:val="00E82D49"/>
    <w:rsid w:val="00E830FF"/>
    <w:rsid w:val="00E83387"/>
    <w:rsid w:val="00E84AD7"/>
    <w:rsid w:val="00E91B38"/>
    <w:rsid w:val="00E92A22"/>
    <w:rsid w:val="00E96399"/>
    <w:rsid w:val="00EA00FA"/>
    <w:rsid w:val="00EA30C9"/>
    <w:rsid w:val="00EA5688"/>
    <w:rsid w:val="00EB04AC"/>
    <w:rsid w:val="00EB122F"/>
    <w:rsid w:val="00EB2236"/>
    <w:rsid w:val="00EC1385"/>
    <w:rsid w:val="00EC273C"/>
    <w:rsid w:val="00EC3ABC"/>
    <w:rsid w:val="00EC6D5F"/>
    <w:rsid w:val="00EC7142"/>
    <w:rsid w:val="00ED03B9"/>
    <w:rsid w:val="00ED17D2"/>
    <w:rsid w:val="00ED2EF2"/>
    <w:rsid w:val="00ED492B"/>
    <w:rsid w:val="00ED78C6"/>
    <w:rsid w:val="00EE0552"/>
    <w:rsid w:val="00EE165A"/>
    <w:rsid w:val="00EF3E33"/>
    <w:rsid w:val="00EF6CDB"/>
    <w:rsid w:val="00F11503"/>
    <w:rsid w:val="00F11F0C"/>
    <w:rsid w:val="00F22CE0"/>
    <w:rsid w:val="00F23D8A"/>
    <w:rsid w:val="00F269FD"/>
    <w:rsid w:val="00F30F0B"/>
    <w:rsid w:val="00F3495B"/>
    <w:rsid w:val="00F372ED"/>
    <w:rsid w:val="00F40B8E"/>
    <w:rsid w:val="00F45BE2"/>
    <w:rsid w:val="00F54AAD"/>
    <w:rsid w:val="00F54F9D"/>
    <w:rsid w:val="00F62494"/>
    <w:rsid w:val="00F66378"/>
    <w:rsid w:val="00F6651C"/>
    <w:rsid w:val="00F705AB"/>
    <w:rsid w:val="00F86D52"/>
    <w:rsid w:val="00F87538"/>
    <w:rsid w:val="00F91F32"/>
    <w:rsid w:val="00F937E2"/>
    <w:rsid w:val="00F95B43"/>
    <w:rsid w:val="00FA05CC"/>
    <w:rsid w:val="00FB307D"/>
    <w:rsid w:val="00FB32C8"/>
    <w:rsid w:val="00FB4627"/>
    <w:rsid w:val="00FB749E"/>
    <w:rsid w:val="00FC1F2D"/>
    <w:rsid w:val="00FC38B4"/>
    <w:rsid w:val="00FC4038"/>
    <w:rsid w:val="00FC4BE1"/>
    <w:rsid w:val="00FC5CF7"/>
    <w:rsid w:val="00FC74F4"/>
    <w:rsid w:val="00FD1AFB"/>
    <w:rsid w:val="00FD6ED5"/>
    <w:rsid w:val="00FD7AF5"/>
    <w:rsid w:val="00FE11EF"/>
    <w:rsid w:val="00FE2A42"/>
    <w:rsid w:val="00FE36B1"/>
    <w:rsid w:val="00FF012E"/>
    <w:rsid w:val="00FF7338"/>
    <w:rsid w:val="00FF7C5C"/>
    <w:rsid w:val="0142567C"/>
    <w:rsid w:val="03AAF159"/>
    <w:rsid w:val="04238E73"/>
    <w:rsid w:val="0430CAA6"/>
    <w:rsid w:val="05E94FA8"/>
    <w:rsid w:val="07D545F7"/>
    <w:rsid w:val="07DD3F1C"/>
    <w:rsid w:val="07F5A0E8"/>
    <w:rsid w:val="0A6A5781"/>
    <w:rsid w:val="0AEC2012"/>
    <w:rsid w:val="0B365B07"/>
    <w:rsid w:val="0C91139F"/>
    <w:rsid w:val="0D329CF2"/>
    <w:rsid w:val="0E1863CB"/>
    <w:rsid w:val="13F3332B"/>
    <w:rsid w:val="14E40FA2"/>
    <w:rsid w:val="154CB0BF"/>
    <w:rsid w:val="1B8CDF2B"/>
    <w:rsid w:val="1BD4F5A8"/>
    <w:rsid w:val="1CFD3E01"/>
    <w:rsid w:val="1E55DE40"/>
    <w:rsid w:val="1EAC9BEA"/>
    <w:rsid w:val="233D05AC"/>
    <w:rsid w:val="23AC3315"/>
    <w:rsid w:val="243E47C6"/>
    <w:rsid w:val="28A535CC"/>
    <w:rsid w:val="28FEF880"/>
    <w:rsid w:val="2A200D56"/>
    <w:rsid w:val="2BDA34F7"/>
    <w:rsid w:val="2C599897"/>
    <w:rsid w:val="2C8D2505"/>
    <w:rsid w:val="2DC19C8C"/>
    <w:rsid w:val="2F20F4C7"/>
    <w:rsid w:val="3011DA65"/>
    <w:rsid w:val="3020F752"/>
    <w:rsid w:val="312AF4A0"/>
    <w:rsid w:val="32912B05"/>
    <w:rsid w:val="369460FF"/>
    <w:rsid w:val="37F69295"/>
    <w:rsid w:val="385125A3"/>
    <w:rsid w:val="39D2E49D"/>
    <w:rsid w:val="3B943883"/>
    <w:rsid w:val="3D4CACBD"/>
    <w:rsid w:val="403B9757"/>
    <w:rsid w:val="40C32B87"/>
    <w:rsid w:val="437FDD4A"/>
    <w:rsid w:val="4395DC1E"/>
    <w:rsid w:val="483F42DF"/>
    <w:rsid w:val="497E4081"/>
    <w:rsid w:val="49A92003"/>
    <w:rsid w:val="4A0D8EF6"/>
    <w:rsid w:val="4A9961B9"/>
    <w:rsid w:val="4AB08A09"/>
    <w:rsid w:val="4B1D7274"/>
    <w:rsid w:val="4B8B50DE"/>
    <w:rsid w:val="4D6C2F6A"/>
    <w:rsid w:val="4DE924CE"/>
    <w:rsid w:val="4E56E4C5"/>
    <w:rsid w:val="4EC6FC3A"/>
    <w:rsid w:val="506BA2E0"/>
    <w:rsid w:val="545CED99"/>
    <w:rsid w:val="5517AD28"/>
    <w:rsid w:val="55E8E145"/>
    <w:rsid w:val="58822C31"/>
    <w:rsid w:val="5A571E91"/>
    <w:rsid w:val="5ADA35F7"/>
    <w:rsid w:val="5B2B4312"/>
    <w:rsid w:val="5C2EC609"/>
    <w:rsid w:val="5F9F6A5E"/>
    <w:rsid w:val="6123F206"/>
    <w:rsid w:val="63322E2C"/>
    <w:rsid w:val="636A9E72"/>
    <w:rsid w:val="679EEC0A"/>
    <w:rsid w:val="689331FF"/>
    <w:rsid w:val="690CB5A5"/>
    <w:rsid w:val="69D37EC3"/>
    <w:rsid w:val="70CF008B"/>
    <w:rsid w:val="73CEDD3C"/>
    <w:rsid w:val="7541ACAE"/>
    <w:rsid w:val="7584BC39"/>
    <w:rsid w:val="77D94B2D"/>
    <w:rsid w:val="780BA241"/>
    <w:rsid w:val="784E67CB"/>
    <w:rsid w:val="79B34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AA2"/>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1"/>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3D519C"/>
    <w:pPr>
      <w:spacing w:after="0" w:line="240" w:lineRule="auto"/>
    </w:pPr>
  </w:style>
  <w:style w:type="paragraph" w:styleId="NormalWeb">
    <w:name w:val="Normal (Web)"/>
    <w:basedOn w:val="Normal"/>
    <w:uiPriority w:val="99"/>
    <w:unhideWhenUsed/>
    <w:rsid w:val="00BF39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 - Epígrafe"/>
    <w:basedOn w:val="Normal"/>
    <w:rsid w:val="00BE5308"/>
    <w:pPr>
      <w:spacing w:after="0" w:line="240" w:lineRule="auto"/>
      <w:ind w:left="2835"/>
      <w:jc w:val="both"/>
    </w:pPr>
    <w:rPr>
      <w:rFonts w:ascii="Times New Roman" w:eastAsia="Times New Roman" w:hAnsi="Times New Roman" w:cs="Times New Roman"/>
      <w:sz w:val="24"/>
      <w:szCs w:val="20"/>
      <w:lang w:eastAsia="pt-BR"/>
    </w:rPr>
  </w:style>
  <w:style w:type="paragraph" w:styleId="Rodap">
    <w:name w:val="footer"/>
    <w:basedOn w:val="Normal"/>
    <w:link w:val="RodapChar"/>
    <w:unhideWhenUsed/>
    <w:rsid w:val="00A7282F"/>
    <w:pPr>
      <w:tabs>
        <w:tab w:val="center" w:pos="4252"/>
        <w:tab w:val="right" w:pos="8504"/>
      </w:tabs>
      <w:spacing w:after="0" w:line="240" w:lineRule="auto"/>
    </w:pPr>
  </w:style>
  <w:style w:type="character" w:customStyle="1" w:styleId="RodapChar">
    <w:name w:val="Rodapé Char"/>
    <w:basedOn w:val="Fontepargpadro"/>
    <w:link w:val="Rodap"/>
    <w:rsid w:val="00A7282F"/>
  </w:style>
  <w:style w:type="character" w:styleId="Forte">
    <w:name w:val="Strong"/>
    <w:basedOn w:val="Fontepargpadro"/>
    <w:uiPriority w:val="22"/>
    <w:qFormat/>
    <w:rsid w:val="004E1935"/>
    <w:rPr>
      <w:b/>
      <w:bCs/>
    </w:rPr>
  </w:style>
  <w:style w:type="character" w:styleId="MenoPendente">
    <w:name w:val="Unresolved Mention"/>
    <w:basedOn w:val="Fontepargpadro"/>
    <w:uiPriority w:val="99"/>
    <w:semiHidden/>
    <w:unhideWhenUsed/>
    <w:rsid w:val="00C3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5852">
      <w:bodyDiv w:val="1"/>
      <w:marLeft w:val="0"/>
      <w:marRight w:val="0"/>
      <w:marTop w:val="0"/>
      <w:marBottom w:val="0"/>
      <w:divBdr>
        <w:top w:val="none" w:sz="0" w:space="0" w:color="auto"/>
        <w:left w:val="none" w:sz="0" w:space="0" w:color="auto"/>
        <w:bottom w:val="none" w:sz="0" w:space="0" w:color="auto"/>
        <w:right w:val="none" w:sz="0" w:space="0" w:color="auto"/>
      </w:divBdr>
    </w:div>
    <w:div w:id="100340036">
      <w:bodyDiv w:val="1"/>
      <w:marLeft w:val="0"/>
      <w:marRight w:val="0"/>
      <w:marTop w:val="0"/>
      <w:marBottom w:val="0"/>
      <w:divBdr>
        <w:top w:val="none" w:sz="0" w:space="0" w:color="auto"/>
        <w:left w:val="none" w:sz="0" w:space="0" w:color="auto"/>
        <w:bottom w:val="none" w:sz="0" w:space="0" w:color="auto"/>
        <w:right w:val="none" w:sz="0" w:space="0" w:color="auto"/>
      </w:divBdr>
    </w:div>
    <w:div w:id="260458247">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461465513">
      <w:bodyDiv w:val="1"/>
      <w:marLeft w:val="0"/>
      <w:marRight w:val="0"/>
      <w:marTop w:val="0"/>
      <w:marBottom w:val="0"/>
      <w:divBdr>
        <w:top w:val="none" w:sz="0" w:space="0" w:color="auto"/>
        <w:left w:val="none" w:sz="0" w:space="0" w:color="auto"/>
        <w:bottom w:val="none" w:sz="0" w:space="0" w:color="auto"/>
        <w:right w:val="none" w:sz="0" w:space="0" w:color="auto"/>
      </w:divBdr>
    </w:div>
    <w:div w:id="496921874">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617957778">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784806979">
      <w:bodyDiv w:val="1"/>
      <w:marLeft w:val="0"/>
      <w:marRight w:val="0"/>
      <w:marTop w:val="0"/>
      <w:marBottom w:val="0"/>
      <w:divBdr>
        <w:top w:val="none" w:sz="0" w:space="0" w:color="auto"/>
        <w:left w:val="none" w:sz="0" w:space="0" w:color="auto"/>
        <w:bottom w:val="none" w:sz="0" w:space="0" w:color="auto"/>
        <w:right w:val="none" w:sz="0" w:space="0" w:color="auto"/>
      </w:divBdr>
    </w:div>
    <w:div w:id="803078755">
      <w:bodyDiv w:val="1"/>
      <w:marLeft w:val="0"/>
      <w:marRight w:val="0"/>
      <w:marTop w:val="0"/>
      <w:marBottom w:val="0"/>
      <w:divBdr>
        <w:top w:val="none" w:sz="0" w:space="0" w:color="auto"/>
        <w:left w:val="none" w:sz="0" w:space="0" w:color="auto"/>
        <w:bottom w:val="none" w:sz="0" w:space="0" w:color="auto"/>
        <w:right w:val="none" w:sz="0" w:space="0" w:color="auto"/>
      </w:divBdr>
    </w:div>
    <w:div w:id="805927354">
      <w:bodyDiv w:val="1"/>
      <w:marLeft w:val="0"/>
      <w:marRight w:val="0"/>
      <w:marTop w:val="0"/>
      <w:marBottom w:val="0"/>
      <w:divBdr>
        <w:top w:val="none" w:sz="0" w:space="0" w:color="auto"/>
        <w:left w:val="none" w:sz="0" w:space="0" w:color="auto"/>
        <w:bottom w:val="none" w:sz="0" w:space="0" w:color="auto"/>
        <w:right w:val="none" w:sz="0" w:space="0" w:color="auto"/>
      </w:divBdr>
    </w:div>
    <w:div w:id="948387989">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996029947">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734547704">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1818840898">
      <w:bodyDiv w:val="1"/>
      <w:marLeft w:val="0"/>
      <w:marRight w:val="0"/>
      <w:marTop w:val="0"/>
      <w:marBottom w:val="0"/>
      <w:divBdr>
        <w:top w:val="none" w:sz="0" w:space="0" w:color="auto"/>
        <w:left w:val="none" w:sz="0" w:space="0" w:color="auto"/>
        <w:bottom w:val="none" w:sz="0" w:space="0" w:color="auto"/>
        <w:right w:val="none" w:sz="0" w:space="0" w:color="auto"/>
      </w:divBdr>
    </w:div>
    <w:div w:id="1828472127">
      <w:bodyDiv w:val="1"/>
      <w:marLeft w:val="0"/>
      <w:marRight w:val="0"/>
      <w:marTop w:val="0"/>
      <w:marBottom w:val="0"/>
      <w:divBdr>
        <w:top w:val="none" w:sz="0" w:space="0" w:color="auto"/>
        <w:left w:val="none" w:sz="0" w:space="0" w:color="auto"/>
        <w:bottom w:val="none" w:sz="0" w:space="0" w:color="auto"/>
        <w:right w:val="none" w:sz="0" w:space="0" w:color="auto"/>
      </w:divBdr>
    </w:div>
    <w:div w:id="194938996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j.jus.br/improbidade_adm/consultar_requerido.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d87d5b4066d24a3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2.xml><?xml version="1.0" encoding="utf-8"?>
<ds:datastoreItem xmlns:ds="http://schemas.openxmlformats.org/officeDocument/2006/customXml" ds:itemID="{44A8E58B-B66B-4E22-8BE4-0A7BC8E6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5C077-44E2-4F55-94F6-5F0E7E0CAC1F}">
  <ds:schemaRefs>
    <ds:schemaRef ds:uri="http://purl.org/dc/elements/1.1/"/>
    <ds:schemaRef ds:uri="http://schemas.microsoft.com/office/infopath/2007/PartnerControls"/>
    <ds:schemaRef ds:uri="http://purl.org/dc/terms/"/>
    <ds:schemaRef ds:uri="52c93ea8-e2de-466c-b401-d7fabeb9490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A27C28-4BB4-415E-9ED9-5086F4F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3711</Words>
  <Characters>20042</Characters>
  <Application>Microsoft Office Word</Application>
  <DocSecurity>0</DocSecurity>
  <Lines>167</Lines>
  <Paragraphs>47</Paragraphs>
  <ScaleCrop>false</ScaleCrop>
  <Company>Banco Central do Brasil</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Hugo Sales</cp:lastModifiedBy>
  <cp:revision>2</cp:revision>
  <cp:lastPrinted>2020-12-18T01:17:00Z</cp:lastPrinted>
  <dcterms:created xsi:type="dcterms:W3CDTF">2020-12-18T01:17:00Z</dcterms:created>
  <dcterms:modified xsi:type="dcterms:W3CDTF">2020-12-18T01:17:00Z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