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EC77" w14:textId="26EF5CC6" w:rsidR="00D47FC1" w:rsidRPr="00546553" w:rsidRDefault="00D47FC1" w:rsidP="0047106B">
      <w:pPr>
        <w:ind w:left="10206"/>
        <w:jc w:val="center"/>
        <w:rPr>
          <w:b/>
          <w:color w:val="1F4E79" w:themeColor="accent1" w:themeShade="80"/>
          <w:sz w:val="36"/>
          <w:szCs w:val="36"/>
        </w:rPr>
      </w:pPr>
      <w:r>
        <w:rPr>
          <w:noProof/>
          <w:lang w:eastAsia="pt-BR"/>
        </w:rPr>
        <w:drawing>
          <wp:anchor distT="0" distB="0" distL="114300" distR="114300" simplePos="0" relativeHeight="251666432" behindDoc="0" locked="0" layoutInCell="1" allowOverlap="1" wp14:anchorId="0D9570DA" wp14:editId="50DB3CD5">
            <wp:simplePos x="0" y="0"/>
            <wp:positionH relativeFrom="margin">
              <wp:posOffset>2973705</wp:posOffset>
            </wp:positionH>
            <wp:positionV relativeFrom="page">
              <wp:posOffset>146050</wp:posOffset>
            </wp:positionV>
            <wp:extent cx="3035300" cy="2158365"/>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horizontal_simplificado-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5300" cy="2158365"/>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5408" behindDoc="0" locked="0" layoutInCell="1" allowOverlap="1" wp14:anchorId="462FFBEC" wp14:editId="71102156">
            <wp:simplePos x="0" y="0"/>
            <wp:positionH relativeFrom="column">
              <wp:posOffset>185420</wp:posOffset>
            </wp:positionH>
            <wp:positionV relativeFrom="margin">
              <wp:align>top</wp:align>
            </wp:positionV>
            <wp:extent cx="1263015" cy="1266825"/>
            <wp:effectExtent l="0" t="0" r="0" b="9525"/>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sao-do-brasil-republic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3015" cy="1266825"/>
                    </a:xfrm>
                    <a:prstGeom prst="rect">
                      <a:avLst/>
                    </a:prstGeom>
                  </pic:spPr>
                </pic:pic>
              </a:graphicData>
            </a:graphic>
            <wp14:sizeRelH relativeFrom="page">
              <wp14:pctWidth>0</wp14:pctWidth>
            </wp14:sizeRelH>
            <wp14:sizeRelV relativeFrom="page">
              <wp14:pctHeight>0</wp14:pctHeight>
            </wp14:sizeRelV>
          </wp:anchor>
        </w:drawing>
      </w:r>
      <w:r w:rsidRPr="00546553">
        <w:rPr>
          <w:b/>
          <w:color w:val="1F4E79" w:themeColor="accent1" w:themeShade="80"/>
          <w:sz w:val="36"/>
          <w:szCs w:val="36"/>
        </w:rPr>
        <w:t>Ministério da Educação</w:t>
      </w:r>
    </w:p>
    <w:p w14:paraId="3CCC884B" w14:textId="77777777" w:rsidR="00D47FC1" w:rsidRPr="00546553" w:rsidRDefault="00D47FC1" w:rsidP="0047106B">
      <w:pPr>
        <w:ind w:left="10206"/>
        <w:jc w:val="center"/>
        <w:rPr>
          <w:b/>
          <w:color w:val="1F4E79" w:themeColor="accent1" w:themeShade="80"/>
          <w:sz w:val="36"/>
          <w:szCs w:val="36"/>
        </w:rPr>
      </w:pPr>
      <w:r w:rsidRPr="00546553">
        <w:rPr>
          <w:b/>
          <w:color w:val="1F4E79" w:themeColor="accent1" w:themeShade="80"/>
          <w:sz w:val="36"/>
          <w:szCs w:val="36"/>
        </w:rPr>
        <w:t>Instituto Federal de Educação, Ciência e Tecnologia do Rio Grande do Sul</w:t>
      </w:r>
    </w:p>
    <w:p w14:paraId="74E5CDC7" w14:textId="2919FFD4" w:rsidR="004868CD" w:rsidRDefault="004868CD" w:rsidP="004F53A5">
      <w:pPr>
        <w:spacing w:after="40"/>
        <w:rPr>
          <w:rFonts w:ascii="Arial" w:eastAsia="Arial Unicode MS" w:hAnsi="Arial" w:cs="Arial"/>
          <w:sz w:val="20"/>
          <w:szCs w:val="20"/>
        </w:rPr>
      </w:pPr>
    </w:p>
    <w:p w14:paraId="2C009D3D" w14:textId="4FEC56FE" w:rsidR="00D47FC1" w:rsidRDefault="00D47FC1" w:rsidP="00D47FC1"/>
    <w:p w14:paraId="2E9D0594" w14:textId="0CF52D91" w:rsidR="00D47FC1" w:rsidRDefault="0047106B" w:rsidP="00D47FC1">
      <w:r>
        <w:rPr>
          <w:noProof/>
          <w:lang w:eastAsia="pt-BR"/>
        </w:rPr>
        <mc:AlternateContent>
          <mc:Choice Requires="wps">
            <w:drawing>
              <wp:anchor distT="0" distB="0" distL="114300" distR="114300" simplePos="0" relativeHeight="251668480" behindDoc="1" locked="0" layoutInCell="1" allowOverlap="1" wp14:anchorId="69B02B2C" wp14:editId="622AF37C">
                <wp:simplePos x="0" y="0"/>
                <wp:positionH relativeFrom="page">
                  <wp:posOffset>4619625</wp:posOffset>
                </wp:positionH>
                <wp:positionV relativeFrom="paragraph">
                  <wp:posOffset>63500</wp:posOffset>
                </wp:positionV>
                <wp:extent cx="6496050" cy="3048000"/>
                <wp:effectExtent l="0" t="0" r="0" b="0"/>
                <wp:wrapNone/>
                <wp:docPr id="50" name="Retângulo 50"/>
                <wp:cNvGraphicFramePr/>
                <a:graphic xmlns:a="http://schemas.openxmlformats.org/drawingml/2006/main">
                  <a:graphicData uri="http://schemas.microsoft.com/office/word/2010/wordprocessingShape">
                    <wps:wsp>
                      <wps:cNvSpPr/>
                      <wps:spPr>
                        <a:xfrm>
                          <a:off x="0" y="0"/>
                          <a:ext cx="6496050" cy="3048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1FDF" id="Retângulo 50" o:spid="_x0000_s1026" style="position:absolute;margin-left:363.75pt;margin-top:5pt;width:511.5pt;height:24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" fillcolor="#5b9bd5 [3204]" stroked="f" strokeweight="1pt">
                <w10:wrap anchorx="page"/>
              </v:rect>
            </w:pict>
          </mc:Fallback>
        </mc:AlternateContent>
      </w:r>
    </w:p>
    <w:p w14:paraId="58EBBF21" w14:textId="77777777" w:rsidR="00D47FC1" w:rsidRDefault="00D47FC1" w:rsidP="00D47FC1"/>
    <w:p w14:paraId="67102FF3" w14:textId="320E07B2" w:rsidR="00D47FC1" w:rsidRPr="00546553" w:rsidRDefault="00A524EC" w:rsidP="00D47FC1">
      <w:pPr>
        <w:jc w:val="right"/>
        <w:rPr>
          <w:b/>
          <w:color w:val="FFFFFF" w:themeColor="background1"/>
          <w:sz w:val="72"/>
          <w:szCs w:val="72"/>
        </w:rPr>
      </w:pPr>
      <w:r>
        <w:rPr>
          <w:b/>
          <w:color w:val="FFFFFF" w:themeColor="background1"/>
          <w:sz w:val="72"/>
          <w:szCs w:val="72"/>
        </w:rPr>
        <w:t>Relatório Contábil</w:t>
      </w:r>
      <w:r w:rsidR="00D47FC1" w:rsidRPr="00546553">
        <w:rPr>
          <w:b/>
          <w:color w:val="FFFFFF" w:themeColor="background1"/>
          <w:sz w:val="72"/>
          <w:szCs w:val="72"/>
        </w:rPr>
        <w:t xml:space="preserve"> do IFRS</w:t>
      </w:r>
    </w:p>
    <w:p w14:paraId="730C6ABF" w14:textId="7F396D2A" w:rsidR="00D47FC1" w:rsidRPr="00546553" w:rsidRDefault="00A524EC" w:rsidP="00D47FC1">
      <w:pPr>
        <w:jc w:val="right"/>
        <w:rPr>
          <w:color w:val="FFFFFF" w:themeColor="background1"/>
          <w:sz w:val="36"/>
          <w:szCs w:val="36"/>
        </w:rPr>
      </w:pPr>
      <w:r>
        <w:rPr>
          <w:color w:val="FFFFFF" w:themeColor="background1"/>
          <w:sz w:val="36"/>
          <w:szCs w:val="36"/>
        </w:rPr>
        <w:t xml:space="preserve">e </w:t>
      </w:r>
      <w:r w:rsidR="00D47FC1" w:rsidRPr="00546553">
        <w:rPr>
          <w:color w:val="FFFFFF" w:themeColor="background1"/>
          <w:sz w:val="36"/>
          <w:szCs w:val="36"/>
        </w:rPr>
        <w:t>Demon</w:t>
      </w:r>
      <w:r>
        <w:rPr>
          <w:color w:val="FFFFFF" w:themeColor="background1"/>
          <w:sz w:val="36"/>
          <w:szCs w:val="36"/>
        </w:rPr>
        <w:t>strações Contábeis Consolidadas</w:t>
      </w:r>
    </w:p>
    <w:p w14:paraId="3E6809B0" w14:textId="77777777" w:rsidR="00D47FC1" w:rsidRPr="00F70D98" w:rsidRDefault="00D47FC1" w:rsidP="00D47FC1"/>
    <w:p w14:paraId="384878C8" w14:textId="2EA63E61" w:rsidR="00D47FC1" w:rsidRPr="00546553" w:rsidRDefault="00C46411" w:rsidP="00D47FC1">
      <w:pPr>
        <w:jc w:val="right"/>
        <w:rPr>
          <w:b/>
          <w:color w:val="FFFFFF" w:themeColor="background1"/>
          <w:sz w:val="36"/>
          <w:szCs w:val="36"/>
        </w:rPr>
      </w:pPr>
      <w:r>
        <w:rPr>
          <w:b/>
          <w:color w:val="FFFFFF" w:themeColor="background1"/>
          <w:sz w:val="36"/>
          <w:szCs w:val="36"/>
        </w:rPr>
        <w:t>3</w:t>
      </w:r>
      <w:r w:rsidR="00D47FC1" w:rsidRPr="00546553">
        <w:rPr>
          <w:b/>
          <w:color w:val="FFFFFF" w:themeColor="background1"/>
          <w:sz w:val="36"/>
          <w:szCs w:val="36"/>
        </w:rPr>
        <w:t xml:space="preserve">º </w:t>
      </w:r>
      <w:r w:rsidR="0047106B">
        <w:rPr>
          <w:b/>
          <w:color w:val="FFFFFF" w:themeColor="background1"/>
          <w:sz w:val="36"/>
          <w:szCs w:val="36"/>
        </w:rPr>
        <w:t>Trimestre/20</w:t>
      </w:r>
      <w:r w:rsidR="008A6408">
        <w:rPr>
          <w:b/>
          <w:color w:val="FFFFFF" w:themeColor="background1"/>
          <w:sz w:val="36"/>
          <w:szCs w:val="36"/>
        </w:rPr>
        <w:t>20</w:t>
      </w:r>
      <w:r>
        <w:rPr>
          <w:b/>
          <w:color w:val="FFFFFF" w:themeColor="background1"/>
          <w:sz w:val="36"/>
          <w:szCs w:val="36"/>
        </w:rPr>
        <w:t>3</w:t>
      </w:r>
    </w:p>
    <w:p w14:paraId="4F4E744F" w14:textId="77777777" w:rsidR="00D47FC1" w:rsidRPr="00F70D98" w:rsidRDefault="00D47FC1" w:rsidP="00D47FC1"/>
    <w:p w14:paraId="0FD0EADF" w14:textId="0FD23EBC" w:rsidR="00D47FC1" w:rsidRDefault="00D47FC1" w:rsidP="00D47FC1">
      <w:pPr>
        <w:jc w:val="right"/>
        <w:rPr>
          <w:color w:val="FFFFFF" w:themeColor="background1"/>
          <w:sz w:val="28"/>
          <w:szCs w:val="28"/>
        </w:rPr>
      </w:pPr>
      <w:r w:rsidRPr="00546553">
        <w:rPr>
          <w:color w:val="FFFFFF" w:themeColor="background1"/>
          <w:sz w:val="28"/>
          <w:szCs w:val="28"/>
        </w:rPr>
        <w:t>Bento Gonçalves, 20</w:t>
      </w:r>
      <w:r w:rsidR="008A6408">
        <w:rPr>
          <w:color w:val="FFFFFF" w:themeColor="background1"/>
          <w:sz w:val="28"/>
          <w:szCs w:val="28"/>
        </w:rPr>
        <w:t>20</w:t>
      </w:r>
    </w:p>
    <w:p w14:paraId="0FBD73F0" w14:textId="77777777" w:rsidR="00E23038" w:rsidRPr="00546553" w:rsidRDefault="00E23038" w:rsidP="00D47FC1">
      <w:pPr>
        <w:jc w:val="right"/>
        <w:rPr>
          <w:color w:val="FFFFFF" w:themeColor="background1"/>
          <w:sz w:val="28"/>
          <w:szCs w:val="28"/>
        </w:rPr>
      </w:pPr>
    </w:p>
    <w:p w14:paraId="5CCF1D44" w14:textId="77777777" w:rsidR="00D47FC1" w:rsidRDefault="00D47FC1" w:rsidP="00D47FC1"/>
    <w:p w14:paraId="10A292A5" w14:textId="3A868828" w:rsidR="00D47FC1" w:rsidRDefault="0047106B" w:rsidP="00D47FC1">
      <w:r>
        <w:rPr>
          <w:noProof/>
          <w:lang w:eastAsia="pt-BR"/>
        </w:rPr>
        <mc:AlternateContent>
          <mc:Choice Requires="wps">
            <w:drawing>
              <wp:anchor distT="0" distB="0" distL="114300" distR="114300" simplePos="0" relativeHeight="251669504" behindDoc="1" locked="0" layoutInCell="1" allowOverlap="1" wp14:anchorId="7477DBCB" wp14:editId="24D9F1B9">
                <wp:simplePos x="0" y="0"/>
                <wp:positionH relativeFrom="page">
                  <wp:posOffset>4638675</wp:posOffset>
                </wp:positionH>
                <wp:positionV relativeFrom="paragraph">
                  <wp:posOffset>166370</wp:posOffset>
                </wp:positionV>
                <wp:extent cx="6496050" cy="1143000"/>
                <wp:effectExtent l="0" t="0" r="0" b="0"/>
                <wp:wrapNone/>
                <wp:docPr id="51" name="Retângulo 51"/>
                <wp:cNvGraphicFramePr/>
                <a:graphic xmlns:a="http://schemas.openxmlformats.org/drawingml/2006/main">
                  <a:graphicData uri="http://schemas.microsoft.com/office/word/2010/wordprocessingShape">
                    <wps:wsp>
                      <wps:cNvSpPr/>
                      <wps:spPr>
                        <a:xfrm>
                          <a:off x="0" y="0"/>
                          <a:ext cx="6496050" cy="1143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1B86" id="Retângulo 51" o:spid="_x0000_s1026" style="position:absolute;margin-left:365.25pt;margin-top:13.1pt;width:511.5pt;height:9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" fillcolor="#5b9bd5 [3204]" stroked="f" strokeweight="1pt">
                <w10:wrap anchorx="page"/>
              </v:rect>
            </w:pict>
          </mc:Fallback>
        </mc:AlternateContent>
      </w:r>
    </w:p>
    <w:p w14:paraId="47E08EB8" w14:textId="6ACFA1FE" w:rsidR="00D47FC1" w:rsidRDefault="00D47FC1" w:rsidP="00D47FC1"/>
    <w:p w14:paraId="0CD00D53" w14:textId="77777777" w:rsidR="00D47FC1" w:rsidRPr="00546553" w:rsidRDefault="00D47FC1" w:rsidP="00D47FC1">
      <w:pPr>
        <w:jc w:val="right"/>
        <w:rPr>
          <w:b/>
          <w:color w:val="FFFFFF" w:themeColor="background1"/>
          <w:sz w:val="36"/>
          <w:szCs w:val="36"/>
        </w:rPr>
      </w:pPr>
      <w:r w:rsidRPr="00546553">
        <w:rPr>
          <w:b/>
          <w:color w:val="FFFFFF" w:themeColor="background1"/>
          <w:sz w:val="36"/>
          <w:szCs w:val="36"/>
        </w:rPr>
        <w:lastRenderedPageBreak/>
        <w:t>DCONIFRS</w:t>
      </w:r>
    </w:p>
    <w:p w14:paraId="669211BB" w14:textId="77777777" w:rsidR="00D47FC1" w:rsidRPr="009201DB" w:rsidRDefault="00D47FC1" w:rsidP="00D47FC1">
      <w:pPr>
        <w:spacing w:after="0"/>
        <w:rPr>
          <w:b/>
          <w:sz w:val="28"/>
          <w:szCs w:val="28"/>
        </w:rPr>
      </w:pPr>
      <w:r w:rsidRPr="009201DB">
        <w:rPr>
          <w:b/>
          <w:sz w:val="28"/>
          <w:szCs w:val="28"/>
        </w:rPr>
        <w:t>REITOR</w:t>
      </w:r>
    </w:p>
    <w:p w14:paraId="0CBF1146" w14:textId="77777777" w:rsidR="00D47FC1" w:rsidRPr="009201DB" w:rsidRDefault="00D47FC1" w:rsidP="00D47FC1">
      <w:pPr>
        <w:spacing w:after="0"/>
        <w:rPr>
          <w:sz w:val="28"/>
          <w:szCs w:val="28"/>
        </w:rPr>
      </w:pPr>
      <w:proofErr w:type="spellStart"/>
      <w:r w:rsidRPr="009201DB">
        <w:rPr>
          <w:sz w:val="28"/>
          <w:szCs w:val="28"/>
        </w:rPr>
        <w:t>Julio</w:t>
      </w:r>
      <w:proofErr w:type="spellEnd"/>
      <w:r w:rsidRPr="009201DB">
        <w:rPr>
          <w:sz w:val="28"/>
          <w:szCs w:val="28"/>
        </w:rPr>
        <w:t xml:space="preserve"> </w:t>
      </w:r>
      <w:proofErr w:type="spellStart"/>
      <w:r w:rsidRPr="009201DB">
        <w:rPr>
          <w:sz w:val="28"/>
          <w:szCs w:val="28"/>
        </w:rPr>
        <w:t>Xandro</w:t>
      </w:r>
      <w:proofErr w:type="spellEnd"/>
      <w:r w:rsidRPr="009201DB">
        <w:rPr>
          <w:sz w:val="28"/>
          <w:szCs w:val="28"/>
        </w:rPr>
        <w:t xml:space="preserve"> </w:t>
      </w:r>
      <w:proofErr w:type="spellStart"/>
      <w:r w:rsidRPr="009201DB">
        <w:rPr>
          <w:sz w:val="28"/>
          <w:szCs w:val="28"/>
        </w:rPr>
        <w:t>Heck</w:t>
      </w:r>
      <w:proofErr w:type="spellEnd"/>
    </w:p>
    <w:p w14:paraId="190651D8" w14:textId="77777777" w:rsidR="00D47FC1" w:rsidRPr="008A72FB" w:rsidRDefault="00D47FC1" w:rsidP="00D47FC1"/>
    <w:p w14:paraId="227E93C7" w14:textId="77777777" w:rsidR="00D47FC1" w:rsidRPr="009201DB" w:rsidRDefault="00D47FC1" w:rsidP="00D47FC1">
      <w:pPr>
        <w:spacing w:after="0"/>
        <w:rPr>
          <w:b/>
          <w:sz w:val="28"/>
          <w:szCs w:val="28"/>
        </w:rPr>
      </w:pPr>
      <w:r w:rsidRPr="009201DB">
        <w:rPr>
          <w:b/>
          <w:sz w:val="28"/>
          <w:szCs w:val="28"/>
        </w:rPr>
        <w:t>PRÓ-REITORA DE ADMINISTRAÇÃO</w:t>
      </w:r>
    </w:p>
    <w:p w14:paraId="6CF7F7A2" w14:textId="77777777" w:rsidR="00D47FC1" w:rsidRPr="009201DB" w:rsidRDefault="00D47FC1" w:rsidP="00D47FC1">
      <w:pPr>
        <w:spacing w:after="0"/>
        <w:rPr>
          <w:sz w:val="28"/>
          <w:szCs w:val="28"/>
        </w:rPr>
      </w:pPr>
      <w:r w:rsidRPr="009201DB">
        <w:rPr>
          <w:sz w:val="28"/>
          <w:szCs w:val="28"/>
        </w:rPr>
        <w:t>Tatiana Weber</w:t>
      </w:r>
    </w:p>
    <w:p w14:paraId="7FE3E07C" w14:textId="77777777" w:rsidR="00D47FC1" w:rsidRPr="008A72FB" w:rsidRDefault="00D47FC1" w:rsidP="00D47FC1"/>
    <w:p w14:paraId="6427DEC5" w14:textId="77777777" w:rsidR="00D47FC1" w:rsidRPr="009201DB" w:rsidRDefault="00D47FC1" w:rsidP="00D47FC1">
      <w:pPr>
        <w:spacing w:after="0"/>
        <w:rPr>
          <w:b/>
          <w:sz w:val="28"/>
          <w:szCs w:val="28"/>
        </w:rPr>
      </w:pPr>
      <w:r w:rsidRPr="009201DB">
        <w:rPr>
          <w:b/>
          <w:sz w:val="28"/>
          <w:szCs w:val="28"/>
        </w:rPr>
        <w:t>PRÓ-REITOR ADJUNTO DE ADMINISTRAÇÃO</w:t>
      </w:r>
    </w:p>
    <w:p w14:paraId="689A10CB" w14:textId="77777777" w:rsidR="00D47FC1" w:rsidRPr="009201DB" w:rsidRDefault="00D47FC1" w:rsidP="00D47FC1">
      <w:pPr>
        <w:spacing w:after="0"/>
        <w:rPr>
          <w:sz w:val="28"/>
          <w:szCs w:val="28"/>
        </w:rPr>
      </w:pPr>
      <w:r w:rsidRPr="009201DB">
        <w:rPr>
          <w:sz w:val="28"/>
          <w:szCs w:val="28"/>
        </w:rPr>
        <w:t>Márcio Cristiano dos Santos</w:t>
      </w:r>
    </w:p>
    <w:p w14:paraId="798324CB" w14:textId="77777777" w:rsidR="00D47FC1" w:rsidRPr="008A72FB" w:rsidRDefault="00D47FC1" w:rsidP="00D47FC1"/>
    <w:p w14:paraId="372772E9" w14:textId="77777777" w:rsidR="00D47FC1" w:rsidRPr="009201DB" w:rsidRDefault="00D47FC1" w:rsidP="00D47FC1">
      <w:pPr>
        <w:spacing w:after="0"/>
        <w:rPr>
          <w:b/>
          <w:sz w:val="28"/>
          <w:szCs w:val="28"/>
        </w:rPr>
      </w:pPr>
      <w:r w:rsidRPr="009201DB">
        <w:rPr>
          <w:b/>
          <w:sz w:val="28"/>
          <w:szCs w:val="28"/>
        </w:rPr>
        <w:t>DIRETORA DE ORÇAMENTO E FINANÇAS</w:t>
      </w:r>
    </w:p>
    <w:p w14:paraId="7F703586" w14:textId="77777777" w:rsidR="00D47FC1" w:rsidRPr="009201DB" w:rsidRDefault="00D47FC1" w:rsidP="00D47FC1">
      <w:pPr>
        <w:spacing w:after="0"/>
        <w:rPr>
          <w:sz w:val="28"/>
          <w:szCs w:val="28"/>
        </w:rPr>
      </w:pPr>
      <w:r w:rsidRPr="009201DB">
        <w:rPr>
          <w:sz w:val="28"/>
          <w:szCs w:val="28"/>
        </w:rPr>
        <w:t>Rosane Fabris</w:t>
      </w:r>
    </w:p>
    <w:p w14:paraId="0EC25091" w14:textId="77777777" w:rsidR="00D47FC1" w:rsidRPr="008A72FB" w:rsidRDefault="00D47FC1" w:rsidP="00D47FC1"/>
    <w:p w14:paraId="4F9979F4" w14:textId="77777777" w:rsidR="00D47FC1" w:rsidRPr="009201DB" w:rsidRDefault="00D47FC1" w:rsidP="00D47FC1">
      <w:pPr>
        <w:spacing w:after="0"/>
        <w:rPr>
          <w:b/>
          <w:sz w:val="28"/>
          <w:szCs w:val="28"/>
        </w:rPr>
      </w:pPr>
      <w:r w:rsidRPr="009201DB">
        <w:rPr>
          <w:b/>
          <w:sz w:val="28"/>
          <w:szCs w:val="28"/>
        </w:rPr>
        <w:t>Chefe do Departamento de Contabilidade</w:t>
      </w:r>
    </w:p>
    <w:p w14:paraId="4DE87715" w14:textId="77777777" w:rsidR="00D47FC1" w:rsidRPr="009201DB" w:rsidRDefault="00D47FC1" w:rsidP="00D47FC1">
      <w:pPr>
        <w:spacing w:after="0"/>
        <w:rPr>
          <w:sz w:val="28"/>
          <w:szCs w:val="28"/>
        </w:rPr>
      </w:pPr>
      <w:r w:rsidRPr="009201DB">
        <w:rPr>
          <w:sz w:val="28"/>
          <w:szCs w:val="28"/>
        </w:rPr>
        <w:t>Luiz Antônio Hining</w:t>
      </w:r>
    </w:p>
    <w:p w14:paraId="6A2D3A9E" w14:textId="77777777" w:rsidR="00D47FC1" w:rsidRPr="008A72FB" w:rsidRDefault="00D47FC1" w:rsidP="00D47FC1"/>
    <w:p w14:paraId="642E9F01" w14:textId="77777777" w:rsidR="00D47FC1" w:rsidRPr="009201DB" w:rsidRDefault="00D47FC1" w:rsidP="00D47FC1">
      <w:pPr>
        <w:spacing w:after="0"/>
        <w:rPr>
          <w:b/>
          <w:sz w:val="28"/>
          <w:szCs w:val="28"/>
        </w:rPr>
      </w:pPr>
      <w:r w:rsidRPr="009201DB">
        <w:rPr>
          <w:b/>
          <w:sz w:val="28"/>
          <w:szCs w:val="28"/>
        </w:rPr>
        <w:t>EQUIPE TÉCNICA – contadores</w:t>
      </w:r>
    </w:p>
    <w:p w14:paraId="28BFAD56" w14:textId="77777777" w:rsidR="0047106B" w:rsidRDefault="0047106B" w:rsidP="00D47FC1">
      <w:pPr>
        <w:spacing w:after="0"/>
        <w:rPr>
          <w:sz w:val="28"/>
          <w:szCs w:val="28"/>
        </w:rPr>
        <w:sectPr w:rsidR="0047106B" w:rsidSect="009C1E3A">
          <w:footerReference w:type="even" r:id="rId10"/>
          <w:footerReference w:type="default" r:id="rId11"/>
          <w:pgSz w:w="16838" w:h="11906" w:orient="landscape"/>
          <w:pgMar w:top="1021" w:right="851" w:bottom="1021" w:left="851" w:header="709" w:footer="0" w:gutter="0"/>
          <w:cols w:space="708"/>
          <w:docGrid w:linePitch="360"/>
        </w:sectPr>
      </w:pPr>
    </w:p>
    <w:p w14:paraId="6B96E0DF" w14:textId="582F46E5" w:rsidR="00D47FC1" w:rsidRPr="009201DB" w:rsidRDefault="00D47FC1" w:rsidP="00D47FC1">
      <w:pPr>
        <w:spacing w:after="0"/>
        <w:rPr>
          <w:sz w:val="28"/>
          <w:szCs w:val="28"/>
        </w:rPr>
      </w:pPr>
      <w:r w:rsidRPr="009201DB">
        <w:rPr>
          <w:sz w:val="28"/>
          <w:szCs w:val="28"/>
        </w:rPr>
        <w:t xml:space="preserve">Ademir </w:t>
      </w:r>
      <w:proofErr w:type="spellStart"/>
      <w:r w:rsidRPr="009201DB">
        <w:rPr>
          <w:sz w:val="28"/>
          <w:szCs w:val="28"/>
        </w:rPr>
        <w:t>Gautério</w:t>
      </w:r>
      <w:proofErr w:type="spellEnd"/>
      <w:r w:rsidRPr="009201DB">
        <w:rPr>
          <w:sz w:val="28"/>
          <w:szCs w:val="28"/>
        </w:rPr>
        <w:t xml:space="preserve"> </w:t>
      </w:r>
      <w:proofErr w:type="spellStart"/>
      <w:r w:rsidRPr="009201DB">
        <w:rPr>
          <w:sz w:val="28"/>
          <w:szCs w:val="28"/>
        </w:rPr>
        <w:t>Troina</w:t>
      </w:r>
      <w:proofErr w:type="spellEnd"/>
      <w:r w:rsidRPr="009201DB">
        <w:rPr>
          <w:sz w:val="28"/>
          <w:szCs w:val="28"/>
        </w:rPr>
        <w:t xml:space="preserve"> Junior</w:t>
      </w:r>
    </w:p>
    <w:p w14:paraId="163DC05A" w14:textId="77777777" w:rsidR="00D47FC1" w:rsidRPr="009201DB" w:rsidRDefault="00D47FC1" w:rsidP="00D47FC1">
      <w:pPr>
        <w:spacing w:after="0"/>
        <w:rPr>
          <w:sz w:val="28"/>
          <w:szCs w:val="28"/>
        </w:rPr>
      </w:pPr>
      <w:r w:rsidRPr="009201DB">
        <w:rPr>
          <w:sz w:val="28"/>
          <w:szCs w:val="28"/>
        </w:rPr>
        <w:t>Cristiane Ancila Michelin</w:t>
      </w:r>
    </w:p>
    <w:p w14:paraId="5A09018E" w14:textId="77777777" w:rsidR="00D47FC1" w:rsidRPr="009201DB" w:rsidRDefault="00D47FC1" w:rsidP="00D47FC1">
      <w:pPr>
        <w:spacing w:after="0"/>
        <w:rPr>
          <w:sz w:val="28"/>
          <w:szCs w:val="28"/>
        </w:rPr>
      </w:pPr>
      <w:r w:rsidRPr="009201DB">
        <w:rPr>
          <w:sz w:val="28"/>
          <w:szCs w:val="28"/>
        </w:rPr>
        <w:t>Elisangela Batista Maciel</w:t>
      </w:r>
    </w:p>
    <w:p w14:paraId="268D7BA8" w14:textId="77777777" w:rsidR="00D47FC1" w:rsidRPr="009201DB" w:rsidRDefault="00D47FC1" w:rsidP="00D47FC1">
      <w:pPr>
        <w:spacing w:after="0"/>
        <w:rPr>
          <w:sz w:val="28"/>
          <w:szCs w:val="28"/>
        </w:rPr>
      </w:pPr>
      <w:r w:rsidRPr="009201DB">
        <w:rPr>
          <w:sz w:val="28"/>
          <w:szCs w:val="28"/>
        </w:rPr>
        <w:t xml:space="preserve">Jane </w:t>
      </w:r>
      <w:proofErr w:type="spellStart"/>
      <w:r w:rsidRPr="009201DB">
        <w:rPr>
          <w:sz w:val="28"/>
          <w:szCs w:val="28"/>
        </w:rPr>
        <w:t>Marusa</w:t>
      </w:r>
      <w:proofErr w:type="spellEnd"/>
      <w:r w:rsidRPr="009201DB">
        <w:rPr>
          <w:sz w:val="28"/>
          <w:szCs w:val="28"/>
        </w:rPr>
        <w:t xml:space="preserve"> Nunes Luiz</w:t>
      </w:r>
    </w:p>
    <w:p w14:paraId="1CCD920F" w14:textId="77777777" w:rsidR="00D47FC1" w:rsidRPr="009201DB" w:rsidRDefault="00D47FC1" w:rsidP="00D47FC1">
      <w:pPr>
        <w:spacing w:after="0"/>
        <w:rPr>
          <w:sz w:val="28"/>
          <w:szCs w:val="28"/>
        </w:rPr>
      </w:pPr>
      <w:r w:rsidRPr="009201DB">
        <w:rPr>
          <w:sz w:val="28"/>
          <w:szCs w:val="28"/>
        </w:rPr>
        <w:t>Luciana Lopes de Freitas</w:t>
      </w:r>
    </w:p>
    <w:p w14:paraId="77854439" w14:textId="77777777" w:rsidR="00D47FC1" w:rsidRPr="009201DB" w:rsidRDefault="00D47FC1" w:rsidP="00D47FC1">
      <w:pPr>
        <w:spacing w:after="0"/>
        <w:rPr>
          <w:sz w:val="28"/>
          <w:szCs w:val="28"/>
        </w:rPr>
      </w:pPr>
      <w:proofErr w:type="spellStart"/>
      <w:r w:rsidRPr="009201DB">
        <w:rPr>
          <w:sz w:val="28"/>
          <w:szCs w:val="28"/>
        </w:rPr>
        <w:t>Luis</w:t>
      </w:r>
      <w:proofErr w:type="spellEnd"/>
      <w:r w:rsidRPr="009201DB">
        <w:rPr>
          <w:sz w:val="28"/>
          <w:szCs w:val="28"/>
        </w:rPr>
        <w:t xml:space="preserve"> Fernando Espinosa de Farias</w:t>
      </w:r>
    </w:p>
    <w:p w14:paraId="4E974008" w14:textId="77777777" w:rsidR="00D47FC1" w:rsidRPr="009201DB" w:rsidRDefault="00D47FC1" w:rsidP="00D47FC1">
      <w:pPr>
        <w:spacing w:after="0"/>
        <w:rPr>
          <w:sz w:val="28"/>
          <w:szCs w:val="28"/>
        </w:rPr>
      </w:pPr>
      <w:r w:rsidRPr="009201DB">
        <w:rPr>
          <w:sz w:val="28"/>
          <w:szCs w:val="28"/>
        </w:rPr>
        <w:t>Magali Teresinha da Silva</w:t>
      </w:r>
    </w:p>
    <w:p w14:paraId="1B806087" w14:textId="77777777" w:rsidR="00D47FC1" w:rsidRPr="009201DB" w:rsidRDefault="00D47FC1" w:rsidP="00D47FC1">
      <w:pPr>
        <w:spacing w:after="0"/>
        <w:rPr>
          <w:sz w:val="28"/>
          <w:szCs w:val="28"/>
        </w:rPr>
      </w:pPr>
      <w:r w:rsidRPr="009201DB">
        <w:rPr>
          <w:sz w:val="28"/>
          <w:szCs w:val="28"/>
        </w:rPr>
        <w:t>Maicon Goulart Morales</w:t>
      </w:r>
    </w:p>
    <w:p w14:paraId="2703EAEB" w14:textId="77777777" w:rsidR="00D47FC1" w:rsidRPr="009201DB" w:rsidRDefault="00D47FC1" w:rsidP="00D47FC1">
      <w:pPr>
        <w:spacing w:after="0"/>
        <w:rPr>
          <w:sz w:val="28"/>
          <w:szCs w:val="28"/>
        </w:rPr>
      </w:pPr>
      <w:proofErr w:type="spellStart"/>
      <w:r w:rsidRPr="009201DB">
        <w:rPr>
          <w:sz w:val="28"/>
          <w:szCs w:val="28"/>
        </w:rPr>
        <w:t>Marinez</w:t>
      </w:r>
      <w:proofErr w:type="spellEnd"/>
      <w:r w:rsidRPr="009201DB">
        <w:rPr>
          <w:sz w:val="28"/>
          <w:szCs w:val="28"/>
        </w:rPr>
        <w:t xml:space="preserve"> Mauer</w:t>
      </w:r>
    </w:p>
    <w:p w14:paraId="5C5804F9" w14:textId="77777777" w:rsidR="00D47FC1" w:rsidRPr="009201DB" w:rsidRDefault="00D47FC1" w:rsidP="00D47FC1">
      <w:pPr>
        <w:spacing w:after="0"/>
        <w:rPr>
          <w:sz w:val="28"/>
          <w:szCs w:val="28"/>
        </w:rPr>
      </w:pPr>
      <w:proofErr w:type="spellStart"/>
      <w:r w:rsidRPr="009201DB">
        <w:rPr>
          <w:sz w:val="28"/>
          <w:szCs w:val="28"/>
        </w:rPr>
        <w:t>Patricia</w:t>
      </w:r>
      <w:proofErr w:type="spellEnd"/>
      <w:r w:rsidRPr="009201DB">
        <w:rPr>
          <w:sz w:val="28"/>
          <w:szCs w:val="28"/>
        </w:rPr>
        <w:t xml:space="preserve"> </w:t>
      </w:r>
      <w:proofErr w:type="spellStart"/>
      <w:r w:rsidRPr="009201DB">
        <w:rPr>
          <w:sz w:val="28"/>
          <w:szCs w:val="28"/>
        </w:rPr>
        <w:t>Kissner</w:t>
      </w:r>
      <w:proofErr w:type="spellEnd"/>
    </w:p>
    <w:p w14:paraId="37C3A8DD" w14:textId="77777777" w:rsidR="00D47FC1" w:rsidRPr="009201DB" w:rsidRDefault="00D47FC1" w:rsidP="00D47FC1">
      <w:pPr>
        <w:spacing w:after="0"/>
        <w:rPr>
          <w:sz w:val="28"/>
          <w:szCs w:val="28"/>
        </w:rPr>
      </w:pPr>
      <w:r w:rsidRPr="009201DB">
        <w:rPr>
          <w:sz w:val="28"/>
          <w:szCs w:val="28"/>
        </w:rPr>
        <w:t>Pedro Sergio Mendes Leite</w:t>
      </w:r>
    </w:p>
    <w:p w14:paraId="6831E90B" w14:textId="77777777" w:rsidR="00D47FC1" w:rsidRPr="009201DB" w:rsidRDefault="00D47FC1" w:rsidP="00D47FC1">
      <w:pPr>
        <w:spacing w:after="0"/>
        <w:rPr>
          <w:sz w:val="28"/>
          <w:szCs w:val="28"/>
        </w:rPr>
      </w:pPr>
      <w:r w:rsidRPr="009201DB">
        <w:rPr>
          <w:sz w:val="28"/>
          <w:szCs w:val="28"/>
        </w:rPr>
        <w:t xml:space="preserve">Roberto Russell </w:t>
      </w:r>
      <w:proofErr w:type="spellStart"/>
      <w:r w:rsidRPr="009201DB">
        <w:rPr>
          <w:sz w:val="28"/>
          <w:szCs w:val="28"/>
        </w:rPr>
        <w:t>Fossati</w:t>
      </w:r>
      <w:proofErr w:type="spellEnd"/>
    </w:p>
    <w:p w14:paraId="5DC64521" w14:textId="77777777" w:rsidR="00D47FC1" w:rsidRPr="009201DB" w:rsidRDefault="00D47FC1" w:rsidP="00D47FC1">
      <w:pPr>
        <w:spacing w:after="0"/>
        <w:rPr>
          <w:sz w:val="28"/>
          <w:szCs w:val="28"/>
        </w:rPr>
      </w:pPr>
      <w:r w:rsidRPr="009201DB">
        <w:rPr>
          <w:sz w:val="28"/>
          <w:szCs w:val="28"/>
        </w:rPr>
        <w:t>Robson da Silva Telles</w:t>
      </w:r>
    </w:p>
    <w:p w14:paraId="1A56DFAD" w14:textId="77777777" w:rsidR="00D47FC1" w:rsidRDefault="00D47FC1" w:rsidP="00D47FC1">
      <w:pPr>
        <w:spacing w:after="0"/>
        <w:rPr>
          <w:sz w:val="28"/>
          <w:szCs w:val="28"/>
        </w:rPr>
      </w:pPr>
      <w:r>
        <w:rPr>
          <w:sz w:val="28"/>
          <w:szCs w:val="28"/>
        </w:rPr>
        <w:t>Tatiane Berenice Gómez</w:t>
      </w:r>
    </w:p>
    <w:p w14:paraId="59C0B486" w14:textId="77777777" w:rsidR="0047106B" w:rsidRDefault="0047106B" w:rsidP="00D47FC1">
      <w:pPr>
        <w:spacing w:after="0"/>
        <w:rPr>
          <w:sz w:val="28"/>
          <w:szCs w:val="28"/>
        </w:rPr>
        <w:sectPr w:rsidR="0047106B" w:rsidSect="0047106B">
          <w:type w:val="continuous"/>
          <w:pgSz w:w="16838" w:h="11906" w:orient="landscape"/>
          <w:pgMar w:top="1021" w:right="851" w:bottom="1021" w:left="851" w:header="709" w:footer="0" w:gutter="0"/>
          <w:cols w:num="3" w:space="708"/>
          <w:docGrid w:linePitch="360"/>
        </w:sectPr>
      </w:pPr>
    </w:p>
    <w:p w14:paraId="11CFBDC7" w14:textId="5C699688" w:rsidR="00D47FC1" w:rsidRDefault="00D47FC1" w:rsidP="00D47FC1">
      <w:pPr>
        <w:spacing w:after="0"/>
        <w:rPr>
          <w:sz w:val="28"/>
          <w:szCs w:val="28"/>
        </w:rPr>
      </w:pPr>
    </w:p>
    <w:p w14:paraId="21384359" w14:textId="77777777" w:rsidR="004F53A5" w:rsidRPr="00533035" w:rsidRDefault="004F53A5">
      <w:pPr>
        <w:rPr>
          <w:rFonts w:ascii="Arial" w:eastAsia="Arial Unicode MS" w:hAnsi="Arial" w:cs="Arial"/>
          <w:sz w:val="20"/>
          <w:szCs w:val="20"/>
        </w:rPr>
      </w:pPr>
      <w:r w:rsidRPr="00533035">
        <w:rPr>
          <w:rFonts w:ascii="Arial" w:eastAsia="Arial Unicode MS" w:hAnsi="Arial" w:cs="Arial"/>
          <w:sz w:val="20"/>
          <w:szCs w:val="20"/>
        </w:rPr>
        <w:br w:type="page"/>
      </w:r>
    </w:p>
    <w:p w14:paraId="15AD32E6" w14:textId="77777777" w:rsidR="00E576AD" w:rsidRDefault="00E576AD" w:rsidP="003216D5">
      <w:pPr>
        <w:spacing w:after="240"/>
        <w:ind w:firstLine="993"/>
        <w:rPr>
          <w:rFonts w:ascii="Arial" w:eastAsia="Arial Unicode MS" w:hAnsi="Arial" w:cs="Arial"/>
          <w:sz w:val="20"/>
          <w:szCs w:val="20"/>
        </w:rPr>
        <w:sectPr w:rsidR="00E576AD" w:rsidSect="009C1E3A">
          <w:type w:val="continuous"/>
          <w:pgSz w:w="16838" w:h="11906" w:orient="landscape"/>
          <w:pgMar w:top="1021" w:right="851" w:bottom="1021" w:left="851" w:header="0" w:footer="0" w:gutter="0"/>
          <w:cols w:space="708"/>
          <w:titlePg/>
          <w:docGrid w:linePitch="360"/>
        </w:sectPr>
      </w:pPr>
    </w:p>
    <w:p w14:paraId="44227B50" w14:textId="3A88302E" w:rsidR="00A524EC" w:rsidRDefault="00A524EC" w:rsidP="003216D5">
      <w:pPr>
        <w:spacing w:after="240"/>
        <w:ind w:firstLine="993"/>
        <w:rPr>
          <w:rFonts w:ascii="Arial" w:eastAsia="Arial Unicode MS" w:hAnsi="Arial" w:cs="Arial"/>
          <w:sz w:val="20"/>
          <w:szCs w:val="20"/>
        </w:rPr>
      </w:pPr>
      <w:r w:rsidRPr="00A524EC">
        <w:rPr>
          <w:rFonts w:ascii="Arial" w:eastAsia="Arial Unicode MS" w:hAnsi="Arial" w:cs="Arial"/>
          <w:sz w:val="20"/>
          <w:szCs w:val="20"/>
        </w:rPr>
        <w:lastRenderedPageBreak/>
        <w:t>Este documento é constituído por:</w:t>
      </w:r>
    </w:p>
    <w:p w14:paraId="6DBCC0D2" w14:textId="033B9D49" w:rsidR="00A524EC" w:rsidRDefault="00A524EC" w:rsidP="003216D5">
      <w:pPr>
        <w:spacing w:after="240"/>
        <w:ind w:firstLine="993"/>
        <w:rPr>
          <w:rFonts w:ascii="Arial" w:eastAsia="Arial Unicode MS" w:hAnsi="Arial" w:cs="Arial"/>
          <w:sz w:val="20"/>
          <w:szCs w:val="20"/>
        </w:rPr>
      </w:pPr>
      <w:r>
        <w:rPr>
          <w:rFonts w:ascii="Arial" w:eastAsia="Arial Unicode MS" w:hAnsi="Arial" w:cs="Arial"/>
          <w:sz w:val="20"/>
          <w:szCs w:val="20"/>
        </w:rPr>
        <w:t>I – Declaração do Contador;</w:t>
      </w:r>
    </w:p>
    <w:p w14:paraId="4A9F3632" w14:textId="1FB64E7E" w:rsidR="00A524EC" w:rsidRDefault="00A524EC" w:rsidP="003216D5">
      <w:pPr>
        <w:spacing w:after="240"/>
        <w:ind w:firstLine="993"/>
        <w:rPr>
          <w:rFonts w:ascii="Arial" w:eastAsia="Arial Unicode MS" w:hAnsi="Arial" w:cs="Arial"/>
          <w:sz w:val="20"/>
          <w:szCs w:val="20"/>
        </w:rPr>
      </w:pPr>
      <w:r>
        <w:rPr>
          <w:rFonts w:ascii="Arial" w:eastAsia="Arial Unicode MS" w:hAnsi="Arial" w:cs="Arial"/>
          <w:sz w:val="20"/>
          <w:szCs w:val="20"/>
        </w:rPr>
        <w:t>II – Demonstrações Contábeis;</w:t>
      </w:r>
    </w:p>
    <w:p w14:paraId="3180EB57" w14:textId="663A929B" w:rsidR="00A524EC" w:rsidRPr="00A524EC" w:rsidRDefault="00A524EC" w:rsidP="003216D5">
      <w:pPr>
        <w:spacing w:after="240"/>
        <w:ind w:firstLine="993"/>
        <w:rPr>
          <w:rFonts w:ascii="Arial" w:eastAsia="Arial Unicode MS" w:hAnsi="Arial" w:cs="Arial"/>
          <w:sz w:val="20"/>
          <w:szCs w:val="20"/>
        </w:rPr>
      </w:pPr>
      <w:r>
        <w:rPr>
          <w:rFonts w:ascii="Arial" w:eastAsia="Arial Unicode MS" w:hAnsi="Arial" w:cs="Arial"/>
          <w:sz w:val="20"/>
          <w:szCs w:val="20"/>
        </w:rPr>
        <w:t>III – Notas Explicativas das Demonstrações Contábeis.</w:t>
      </w:r>
    </w:p>
    <w:p w14:paraId="27F4CBBE" w14:textId="56ECA33C" w:rsidR="008F1E64" w:rsidRDefault="008F1E64">
      <w:pPr>
        <w:rPr>
          <w:rFonts w:ascii="Arial" w:eastAsia="Arial Unicode MS" w:hAnsi="Arial" w:cs="Arial"/>
          <w:sz w:val="20"/>
          <w:szCs w:val="20"/>
        </w:rPr>
      </w:pPr>
    </w:p>
    <w:p w14:paraId="4F3F1049" w14:textId="4160920B" w:rsidR="005432E7" w:rsidRDefault="005432E7">
      <w:pPr>
        <w:rPr>
          <w:rFonts w:ascii="Arial" w:eastAsia="Arial Unicode MS" w:hAnsi="Arial" w:cs="Arial"/>
          <w:sz w:val="20"/>
          <w:szCs w:val="20"/>
        </w:rPr>
      </w:pPr>
    </w:p>
    <w:p w14:paraId="30CF7B73" w14:textId="22BFC13F" w:rsidR="005432E7" w:rsidRDefault="005432E7">
      <w:pPr>
        <w:rPr>
          <w:rFonts w:ascii="Arial" w:eastAsia="Arial Unicode MS" w:hAnsi="Arial" w:cs="Arial"/>
          <w:sz w:val="20"/>
          <w:szCs w:val="20"/>
        </w:rPr>
      </w:pPr>
    </w:p>
    <w:p w14:paraId="316558E4" w14:textId="60A4A545" w:rsidR="005432E7" w:rsidRDefault="005432E7">
      <w:pPr>
        <w:rPr>
          <w:rFonts w:ascii="Arial" w:eastAsia="Arial Unicode MS" w:hAnsi="Arial" w:cs="Arial"/>
          <w:sz w:val="20"/>
          <w:szCs w:val="20"/>
        </w:rPr>
      </w:pPr>
    </w:p>
    <w:p w14:paraId="27653BE8" w14:textId="71B80613" w:rsidR="005432E7" w:rsidRDefault="005432E7">
      <w:pPr>
        <w:rPr>
          <w:rFonts w:ascii="Arial" w:eastAsia="Arial Unicode MS" w:hAnsi="Arial" w:cs="Arial"/>
          <w:sz w:val="20"/>
          <w:szCs w:val="20"/>
        </w:rPr>
      </w:pPr>
    </w:p>
    <w:p w14:paraId="3BCDFC17" w14:textId="684CDB7D" w:rsidR="005432E7" w:rsidRDefault="005432E7">
      <w:pPr>
        <w:rPr>
          <w:rFonts w:ascii="Arial" w:eastAsia="Arial Unicode MS" w:hAnsi="Arial" w:cs="Arial"/>
          <w:sz w:val="20"/>
          <w:szCs w:val="20"/>
        </w:rPr>
      </w:pPr>
    </w:p>
    <w:p w14:paraId="678D4225" w14:textId="312F6952" w:rsidR="005432E7" w:rsidRDefault="005432E7">
      <w:pPr>
        <w:rPr>
          <w:rFonts w:ascii="Arial" w:eastAsia="Arial Unicode MS" w:hAnsi="Arial" w:cs="Arial"/>
          <w:sz w:val="20"/>
          <w:szCs w:val="20"/>
        </w:rPr>
      </w:pPr>
    </w:p>
    <w:p w14:paraId="02E84D81" w14:textId="24F1F1C2" w:rsidR="005432E7" w:rsidRDefault="005432E7">
      <w:pPr>
        <w:rPr>
          <w:rFonts w:ascii="Arial" w:eastAsia="Arial Unicode MS" w:hAnsi="Arial" w:cs="Arial"/>
          <w:sz w:val="20"/>
          <w:szCs w:val="20"/>
        </w:rPr>
      </w:pPr>
    </w:p>
    <w:p w14:paraId="70D4532D" w14:textId="1C87E2EE" w:rsidR="005432E7" w:rsidRDefault="005432E7">
      <w:pPr>
        <w:rPr>
          <w:rFonts w:ascii="Arial" w:eastAsia="Arial Unicode MS" w:hAnsi="Arial" w:cs="Arial"/>
          <w:sz w:val="20"/>
          <w:szCs w:val="20"/>
        </w:rPr>
      </w:pPr>
    </w:p>
    <w:p w14:paraId="2419886C" w14:textId="02936769" w:rsidR="005432E7" w:rsidRDefault="005432E7">
      <w:pPr>
        <w:rPr>
          <w:rFonts w:ascii="Arial" w:eastAsia="Arial Unicode MS" w:hAnsi="Arial" w:cs="Arial"/>
          <w:sz w:val="20"/>
          <w:szCs w:val="20"/>
        </w:rPr>
      </w:pPr>
    </w:p>
    <w:p w14:paraId="6BF2E841" w14:textId="60C4FFE6" w:rsidR="005432E7" w:rsidRDefault="005432E7">
      <w:pPr>
        <w:rPr>
          <w:rFonts w:ascii="Arial" w:eastAsia="Arial Unicode MS" w:hAnsi="Arial" w:cs="Arial"/>
          <w:sz w:val="20"/>
          <w:szCs w:val="20"/>
        </w:rPr>
      </w:pPr>
    </w:p>
    <w:p w14:paraId="0099F5E5" w14:textId="2D7B15C7" w:rsidR="005432E7" w:rsidRDefault="005432E7">
      <w:pPr>
        <w:rPr>
          <w:rFonts w:ascii="Arial" w:eastAsia="Arial Unicode MS" w:hAnsi="Arial" w:cs="Arial"/>
          <w:sz w:val="20"/>
          <w:szCs w:val="20"/>
        </w:rPr>
      </w:pPr>
    </w:p>
    <w:p w14:paraId="65FF46FD" w14:textId="0D533922" w:rsidR="005432E7" w:rsidRDefault="005432E7">
      <w:pPr>
        <w:rPr>
          <w:rFonts w:ascii="Arial" w:eastAsia="Arial Unicode MS" w:hAnsi="Arial" w:cs="Arial"/>
          <w:sz w:val="20"/>
          <w:szCs w:val="20"/>
        </w:rPr>
      </w:pPr>
    </w:p>
    <w:p w14:paraId="4CC387A5" w14:textId="0437AAEC" w:rsidR="005432E7" w:rsidRDefault="005432E7">
      <w:pPr>
        <w:rPr>
          <w:rFonts w:ascii="Arial" w:eastAsia="Arial Unicode MS" w:hAnsi="Arial" w:cs="Arial"/>
          <w:sz w:val="20"/>
          <w:szCs w:val="20"/>
        </w:rPr>
      </w:pPr>
    </w:p>
    <w:p w14:paraId="66A4DB60" w14:textId="5D80E231" w:rsidR="005432E7" w:rsidRDefault="005432E7">
      <w:pPr>
        <w:rPr>
          <w:rFonts w:ascii="Arial" w:eastAsia="Arial Unicode MS" w:hAnsi="Arial" w:cs="Arial"/>
          <w:sz w:val="20"/>
          <w:szCs w:val="20"/>
        </w:rPr>
      </w:pPr>
    </w:p>
    <w:p w14:paraId="3472565B" w14:textId="2167B1C2" w:rsidR="005432E7" w:rsidRDefault="005432E7">
      <w:pPr>
        <w:rPr>
          <w:rFonts w:ascii="Arial" w:eastAsia="Arial Unicode MS" w:hAnsi="Arial" w:cs="Arial"/>
          <w:sz w:val="20"/>
          <w:szCs w:val="20"/>
        </w:rPr>
      </w:pPr>
    </w:p>
    <w:p w14:paraId="221B2B02" w14:textId="77777777" w:rsidR="005432E7" w:rsidRDefault="005432E7">
      <w:pPr>
        <w:rPr>
          <w:rFonts w:ascii="Arial" w:eastAsia="Arial Unicode MS" w:hAnsi="Arial" w:cs="Arial"/>
          <w:sz w:val="20"/>
          <w:szCs w:val="20"/>
        </w:rPr>
      </w:pPr>
    </w:p>
    <w:p w14:paraId="322B586D" w14:textId="2C9CDA6C" w:rsidR="005432E7" w:rsidRDefault="005432E7">
      <w:pPr>
        <w:rPr>
          <w:rFonts w:ascii="Arial" w:eastAsia="Arial Unicode MS" w:hAnsi="Arial" w:cs="Arial"/>
          <w:sz w:val="20"/>
          <w:szCs w:val="20"/>
        </w:rPr>
      </w:pPr>
    </w:p>
    <w:p w14:paraId="18742054" w14:textId="5AA5429E" w:rsidR="005432E7" w:rsidRDefault="005432E7">
      <w:pPr>
        <w:rPr>
          <w:rFonts w:ascii="Arial" w:eastAsia="Arial Unicode MS" w:hAnsi="Arial" w:cs="Arial"/>
          <w:sz w:val="20"/>
          <w:szCs w:val="20"/>
        </w:rPr>
      </w:pPr>
    </w:p>
    <w:p w14:paraId="10F999D1" w14:textId="22539DF1" w:rsidR="005432E7" w:rsidRDefault="005432E7">
      <w:pPr>
        <w:rPr>
          <w:rFonts w:ascii="Arial" w:eastAsia="Arial Unicode MS" w:hAnsi="Arial" w:cs="Arial"/>
          <w:sz w:val="20"/>
          <w:szCs w:val="20"/>
        </w:rPr>
      </w:pPr>
      <w:r>
        <w:rPr>
          <w:rFonts w:ascii="Arial" w:eastAsia="Arial Unicode MS" w:hAnsi="Arial" w:cs="Arial"/>
          <w:sz w:val="20"/>
          <w:szCs w:val="20"/>
        </w:rPr>
        <w:br w:type="page"/>
      </w:r>
    </w:p>
    <w:p w14:paraId="2C0ECA7B" w14:textId="217FC84D" w:rsidR="008C268B" w:rsidRPr="008B58CC" w:rsidRDefault="008C268B" w:rsidP="008B58CC">
      <w:pPr>
        <w:spacing w:after="240"/>
        <w:ind w:firstLine="993"/>
        <w:rPr>
          <w:rFonts w:ascii="Arial" w:eastAsia="Arial Unicode MS" w:hAnsi="Arial" w:cs="Arial"/>
          <w:b/>
          <w:color w:val="009999"/>
          <w:sz w:val="36"/>
          <w:szCs w:val="36"/>
        </w:rPr>
      </w:pPr>
      <w:r w:rsidRPr="008B58CC">
        <w:rPr>
          <w:rFonts w:ascii="Arial" w:eastAsia="Arial Unicode MS" w:hAnsi="Arial" w:cs="Arial"/>
          <w:b/>
          <w:color w:val="009999"/>
          <w:sz w:val="36"/>
          <w:szCs w:val="36"/>
        </w:rPr>
        <w:lastRenderedPageBreak/>
        <w:t>DECLARAÇÃO DO CONTADOR</w:t>
      </w:r>
    </w:p>
    <w:p w14:paraId="217DA043" w14:textId="0001715D" w:rsidR="008C268B" w:rsidRDefault="008B58CC" w:rsidP="008B58CC">
      <w:pPr>
        <w:spacing w:after="40"/>
        <w:rPr>
          <w:rFonts w:ascii="Arial" w:eastAsia="Arial Unicode MS" w:hAnsi="Arial" w:cs="Arial"/>
          <w:sz w:val="20"/>
          <w:szCs w:val="20"/>
        </w:rPr>
      </w:pPr>
      <w:r w:rsidRPr="008B58CC">
        <w:rPr>
          <w:rFonts w:ascii="Arial" w:eastAsia="Arial Unicode MS" w:hAnsi="Arial" w:cs="Arial"/>
          <w:sz w:val="20"/>
          <w:szCs w:val="20"/>
        </w:rPr>
        <w:t xml:space="preserve">Nos termos do Acórdão TCU nº 1464/2015-P e da </w:t>
      </w:r>
      <w:proofErr w:type="spellStart"/>
      <w:r w:rsidRPr="008B58CC">
        <w:rPr>
          <w:rFonts w:ascii="Arial" w:eastAsia="Arial Unicode MS" w:hAnsi="Arial" w:cs="Arial"/>
          <w:sz w:val="20"/>
          <w:szCs w:val="20"/>
        </w:rPr>
        <w:t>Macrofunção</w:t>
      </w:r>
      <w:proofErr w:type="spellEnd"/>
      <w:r w:rsidRPr="008B58CC">
        <w:rPr>
          <w:rFonts w:ascii="Arial" w:eastAsia="Arial Unicode MS" w:hAnsi="Arial" w:cs="Arial"/>
          <w:sz w:val="20"/>
          <w:szCs w:val="20"/>
        </w:rPr>
        <w:t xml:space="preserve"> 02.03.18 (Encerramento do Exercício de 201</w:t>
      </w:r>
      <w:r>
        <w:rPr>
          <w:rFonts w:ascii="Arial" w:eastAsia="Arial Unicode MS" w:hAnsi="Arial" w:cs="Arial"/>
          <w:sz w:val="20"/>
          <w:szCs w:val="20"/>
        </w:rPr>
        <w:t>9</w:t>
      </w:r>
      <w:r w:rsidRPr="008B58CC">
        <w:rPr>
          <w:rFonts w:ascii="Arial" w:eastAsia="Arial Unicode MS" w:hAnsi="Arial" w:cs="Arial"/>
          <w:sz w:val="20"/>
          <w:szCs w:val="20"/>
        </w:rPr>
        <w:t>), em atendimento à Portaria nº 0</w:t>
      </w:r>
      <w:r>
        <w:rPr>
          <w:rFonts w:ascii="Arial" w:eastAsia="Arial Unicode MS" w:hAnsi="Arial" w:cs="Arial"/>
          <w:sz w:val="20"/>
          <w:szCs w:val="20"/>
        </w:rPr>
        <w:t>4</w:t>
      </w:r>
      <w:r w:rsidRPr="008B58CC">
        <w:rPr>
          <w:rFonts w:ascii="Arial" w:eastAsia="Arial Unicode MS" w:hAnsi="Arial" w:cs="Arial"/>
          <w:sz w:val="20"/>
          <w:szCs w:val="20"/>
        </w:rPr>
        <w:t xml:space="preserve"> MEC/SE/SPO, de 2</w:t>
      </w:r>
      <w:r>
        <w:rPr>
          <w:rFonts w:ascii="Arial" w:eastAsia="Arial Unicode MS" w:hAnsi="Arial" w:cs="Arial"/>
          <w:sz w:val="20"/>
          <w:szCs w:val="20"/>
        </w:rPr>
        <w:t>0</w:t>
      </w:r>
      <w:r w:rsidRPr="008B58CC">
        <w:rPr>
          <w:rFonts w:ascii="Arial" w:eastAsia="Arial Unicode MS" w:hAnsi="Arial" w:cs="Arial"/>
          <w:sz w:val="20"/>
          <w:szCs w:val="20"/>
        </w:rPr>
        <w:t xml:space="preserve"> de novembro de 201</w:t>
      </w:r>
      <w:r>
        <w:rPr>
          <w:rFonts w:ascii="Arial" w:eastAsia="Arial Unicode MS" w:hAnsi="Arial" w:cs="Arial"/>
          <w:sz w:val="20"/>
          <w:szCs w:val="20"/>
        </w:rPr>
        <w:t>9</w:t>
      </w:r>
      <w:r w:rsidRPr="008B58CC">
        <w:rPr>
          <w:rFonts w:ascii="Arial" w:eastAsia="Arial Unicode MS" w:hAnsi="Arial" w:cs="Arial"/>
          <w:sz w:val="20"/>
          <w:szCs w:val="20"/>
        </w:rPr>
        <w:t xml:space="preserve">, </w:t>
      </w:r>
      <w:r>
        <w:rPr>
          <w:rFonts w:ascii="Arial" w:eastAsia="Arial Unicode MS" w:hAnsi="Arial" w:cs="Arial"/>
          <w:sz w:val="20"/>
          <w:szCs w:val="20"/>
        </w:rPr>
        <w:t>consta</w:t>
      </w:r>
      <w:r w:rsidRPr="008B58CC">
        <w:rPr>
          <w:rFonts w:ascii="Arial" w:eastAsia="Arial Unicode MS" w:hAnsi="Arial" w:cs="Arial"/>
          <w:sz w:val="20"/>
          <w:szCs w:val="20"/>
        </w:rPr>
        <w:t xml:space="preserve"> a Declaração com Ressalva do Contador do Órgão 26419 – Instituto Federal de Educação, Ciência e Tecnologia do Rio Grande do Sul, conforme segue.</w:t>
      </w:r>
    </w:p>
    <w:p w14:paraId="5266AF70" w14:textId="38A5AEEA" w:rsidR="008B58CC" w:rsidRDefault="008B58CC" w:rsidP="008B58CC">
      <w:pPr>
        <w:spacing w:after="40"/>
        <w:rPr>
          <w:rFonts w:ascii="Arial" w:eastAsia="Arial Unicode MS" w:hAnsi="Arial" w:cs="Arial"/>
          <w:sz w:val="20"/>
          <w:szCs w:val="20"/>
        </w:rPr>
      </w:pPr>
    </w:p>
    <w:tbl>
      <w:tblPr>
        <w:tblStyle w:val="Tabelacomgrade"/>
        <w:tblW w:w="0" w:type="auto"/>
        <w:tblLook w:val="04A0" w:firstRow="1" w:lastRow="0" w:firstColumn="1" w:lastColumn="0" w:noHBand="0" w:noVBand="1"/>
      </w:tblPr>
      <w:tblGrid>
        <w:gridCol w:w="1951"/>
        <w:gridCol w:w="4536"/>
        <w:gridCol w:w="1134"/>
        <w:gridCol w:w="2439"/>
      </w:tblGrid>
      <w:tr w:rsidR="008B58CC" w:rsidRPr="00EF49B6" w14:paraId="113E0F90" w14:textId="77777777" w:rsidTr="008B58CC">
        <w:trPr>
          <w:trHeight w:val="433"/>
        </w:trPr>
        <w:tc>
          <w:tcPr>
            <w:tcW w:w="10060" w:type="dxa"/>
            <w:gridSpan w:val="4"/>
            <w:tcBorders>
              <w:bottom w:val="single" w:sz="4" w:space="0" w:color="auto"/>
            </w:tcBorders>
            <w:shd w:val="clear" w:color="auto" w:fill="8496B0" w:themeFill="text2" w:themeFillTint="99"/>
            <w:vAlign w:val="center"/>
          </w:tcPr>
          <w:p w14:paraId="4E3CE585" w14:textId="77777777" w:rsidR="008B58CC" w:rsidRPr="00EF49B6" w:rsidRDefault="008B58CC" w:rsidP="00425053">
            <w:pPr>
              <w:jc w:val="center"/>
              <w:rPr>
                <w:rFonts w:ascii="Times New Roman" w:hAnsi="Times New Roman"/>
                <w:b/>
                <w:color w:val="FFFFFF" w:themeColor="background1"/>
                <w:szCs w:val="24"/>
              </w:rPr>
            </w:pPr>
            <w:r w:rsidRPr="00EF49B6">
              <w:rPr>
                <w:rFonts w:ascii="Times New Roman" w:hAnsi="Times New Roman"/>
                <w:b/>
                <w:color w:val="FFFFFF" w:themeColor="background1"/>
                <w:szCs w:val="24"/>
              </w:rPr>
              <w:t>DECLARAÇÃO DO CONTADOR</w:t>
            </w:r>
          </w:p>
        </w:tc>
      </w:tr>
      <w:tr w:rsidR="008B58CC" w14:paraId="2D240603" w14:textId="77777777" w:rsidTr="008B58CC">
        <w:trPr>
          <w:trHeight w:val="424"/>
        </w:trPr>
        <w:tc>
          <w:tcPr>
            <w:tcW w:w="7621" w:type="dxa"/>
            <w:gridSpan w:val="3"/>
            <w:shd w:val="clear" w:color="auto" w:fill="D5DCE4" w:themeFill="text2" w:themeFillTint="33"/>
            <w:vAlign w:val="center"/>
          </w:tcPr>
          <w:p w14:paraId="14E7BE8A" w14:textId="77777777" w:rsidR="008B58CC" w:rsidRPr="00EF49B6" w:rsidRDefault="008B58CC" w:rsidP="00425053">
            <w:pPr>
              <w:jc w:val="center"/>
              <w:rPr>
                <w:rFonts w:ascii="Times New Roman" w:hAnsi="Times New Roman"/>
                <w:b/>
                <w:szCs w:val="24"/>
              </w:rPr>
            </w:pPr>
            <w:r w:rsidRPr="00EF49B6">
              <w:rPr>
                <w:rFonts w:ascii="Times New Roman" w:hAnsi="Times New Roman"/>
                <w:b/>
                <w:szCs w:val="24"/>
              </w:rPr>
              <w:t>Denominação completa (UJ)</w:t>
            </w:r>
          </w:p>
        </w:tc>
        <w:tc>
          <w:tcPr>
            <w:tcW w:w="2439" w:type="dxa"/>
            <w:shd w:val="clear" w:color="auto" w:fill="D5DCE4" w:themeFill="text2" w:themeFillTint="33"/>
            <w:vAlign w:val="center"/>
          </w:tcPr>
          <w:p w14:paraId="19856297" w14:textId="77777777" w:rsidR="008B58CC" w:rsidRPr="00EF49B6" w:rsidRDefault="008B58CC" w:rsidP="00425053">
            <w:pPr>
              <w:jc w:val="center"/>
              <w:rPr>
                <w:rFonts w:ascii="Times New Roman" w:hAnsi="Times New Roman"/>
                <w:b/>
                <w:szCs w:val="24"/>
              </w:rPr>
            </w:pPr>
            <w:r w:rsidRPr="00EF49B6">
              <w:rPr>
                <w:rFonts w:ascii="Times New Roman" w:hAnsi="Times New Roman"/>
                <w:b/>
                <w:szCs w:val="24"/>
              </w:rPr>
              <w:t>Código da UG</w:t>
            </w:r>
          </w:p>
        </w:tc>
      </w:tr>
      <w:tr w:rsidR="008B58CC" w14:paraId="48554B56" w14:textId="77777777" w:rsidTr="008B58CC">
        <w:trPr>
          <w:trHeight w:val="415"/>
        </w:trPr>
        <w:tc>
          <w:tcPr>
            <w:tcW w:w="7621" w:type="dxa"/>
            <w:gridSpan w:val="3"/>
            <w:tcBorders>
              <w:bottom w:val="single" w:sz="4" w:space="0" w:color="auto"/>
            </w:tcBorders>
            <w:vAlign w:val="center"/>
          </w:tcPr>
          <w:p w14:paraId="5A075BAF" w14:textId="2171A708" w:rsidR="008B58CC" w:rsidRDefault="008B58CC" w:rsidP="00425053">
            <w:pPr>
              <w:jc w:val="center"/>
              <w:rPr>
                <w:rFonts w:ascii="Times New Roman" w:hAnsi="Times New Roman"/>
                <w:szCs w:val="24"/>
              </w:rPr>
            </w:pPr>
            <w:r>
              <w:rPr>
                <w:rFonts w:ascii="Times New Roman" w:hAnsi="Times New Roman"/>
                <w:szCs w:val="24"/>
              </w:rPr>
              <w:t>26419 - INST. FED. DE EDUC., CIENC. E TEC. DO RS</w:t>
            </w:r>
          </w:p>
        </w:tc>
        <w:tc>
          <w:tcPr>
            <w:tcW w:w="2439" w:type="dxa"/>
            <w:tcBorders>
              <w:bottom w:val="single" w:sz="4" w:space="0" w:color="auto"/>
            </w:tcBorders>
            <w:vAlign w:val="center"/>
          </w:tcPr>
          <w:p w14:paraId="6755240F" w14:textId="77777777" w:rsidR="008B58CC" w:rsidRDefault="008B58CC" w:rsidP="00425053">
            <w:pPr>
              <w:jc w:val="center"/>
              <w:rPr>
                <w:rFonts w:ascii="Times New Roman" w:hAnsi="Times New Roman"/>
                <w:szCs w:val="24"/>
              </w:rPr>
            </w:pPr>
            <w:r>
              <w:rPr>
                <w:rFonts w:ascii="Times New Roman" w:hAnsi="Times New Roman"/>
                <w:szCs w:val="24"/>
              </w:rPr>
              <w:t>158141</w:t>
            </w:r>
          </w:p>
        </w:tc>
      </w:tr>
      <w:tr w:rsidR="008B58CC" w14:paraId="7BA69C21" w14:textId="77777777" w:rsidTr="008B58CC">
        <w:tc>
          <w:tcPr>
            <w:tcW w:w="10060" w:type="dxa"/>
            <w:gridSpan w:val="4"/>
            <w:shd w:val="clear" w:color="auto" w:fill="D5DCE4" w:themeFill="text2" w:themeFillTint="33"/>
          </w:tcPr>
          <w:p w14:paraId="0B37EDB3" w14:textId="77777777" w:rsidR="008B58CC" w:rsidRDefault="008B58CC" w:rsidP="00425053">
            <w:pPr>
              <w:jc w:val="center"/>
              <w:rPr>
                <w:rFonts w:ascii="Times New Roman" w:hAnsi="Times New Roman"/>
                <w:szCs w:val="24"/>
              </w:rPr>
            </w:pPr>
          </w:p>
        </w:tc>
      </w:tr>
      <w:tr w:rsidR="008B58CC" w14:paraId="12872B9F" w14:textId="77777777" w:rsidTr="008B58CC">
        <w:trPr>
          <w:trHeight w:val="1697"/>
        </w:trPr>
        <w:tc>
          <w:tcPr>
            <w:tcW w:w="10060" w:type="dxa"/>
            <w:gridSpan w:val="4"/>
            <w:tcBorders>
              <w:bottom w:val="single" w:sz="4" w:space="0" w:color="auto"/>
            </w:tcBorders>
          </w:tcPr>
          <w:p w14:paraId="41C08F5B" w14:textId="5AC121F1" w:rsidR="008B58CC" w:rsidRDefault="008B58CC" w:rsidP="00425053">
            <w:pPr>
              <w:ind w:firstLine="567"/>
              <w:jc w:val="both"/>
              <w:rPr>
                <w:rFonts w:ascii="Times New Roman" w:hAnsi="Times New Roman"/>
                <w:szCs w:val="24"/>
              </w:rPr>
            </w:pPr>
            <w:r>
              <w:rPr>
                <w:rFonts w:ascii="Times New Roman" w:hAnsi="Times New Roman"/>
                <w:szCs w:val="24"/>
              </w:rPr>
              <w:t>Declaro que os demonstrativos contábeis constantes do SIAFI (Balanços Orçamentários, Financeiro e Patrimonial e as Demonstrações das Variações Patrimoniais, do Fluxo de Caixa e das Mutações do Patrimônio Líquido), regidos pela Lei nº 4.320/1964 e pela Norma Brasileira de Contabilidade Aplicada ao Setor Público NBC T 16.6 aprovada pela Resolução CFC nº 1.133/2008, relativas ao exercício de 20</w:t>
            </w:r>
            <w:r w:rsidR="002C1DE1">
              <w:rPr>
                <w:rFonts w:ascii="Times New Roman" w:hAnsi="Times New Roman"/>
                <w:szCs w:val="24"/>
              </w:rPr>
              <w:t>20</w:t>
            </w:r>
            <w:r>
              <w:rPr>
                <w:rFonts w:ascii="Times New Roman" w:hAnsi="Times New Roman"/>
                <w:szCs w:val="24"/>
              </w:rPr>
              <w:t>, refletem adequadamente a situação orçamentária, financeira e patrimonial da Unidade Jurisdicionada que apresenta Relatório de Gestão, EXCETO no tocante a:</w:t>
            </w:r>
          </w:p>
          <w:p w14:paraId="3E400BC5" w14:textId="3A1049A7" w:rsidR="00B1165C" w:rsidRDefault="00B1165C" w:rsidP="00425053">
            <w:pPr>
              <w:ind w:firstLine="567"/>
              <w:jc w:val="both"/>
              <w:rPr>
                <w:rFonts w:ascii="Times New Roman" w:hAnsi="Times New Roman"/>
                <w:szCs w:val="24"/>
              </w:rPr>
            </w:pPr>
          </w:p>
          <w:p w14:paraId="27C8E0D1" w14:textId="177B0061" w:rsidR="00B1165C" w:rsidRDefault="00B1165C" w:rsidP="00B1165C">
            <w:pPr>
              <w:ind w:firstLine="567"/>
              <w:jc w:val="both"/>
              <w:rPr>
                <w:rFonts w:ascii="Times New Roman" w:hAnsi="Times New Roman"/>
              </w:rPr>
            </w:pPr>
            <w:r w:rsidRPr="006E54DF">
              <w:rPr>
                <w:rFonts w:ascii="Times New Roman" w:hAnsi="Times New Roman"/>
                <w:b/>
              </w:rPr>
              <w:t>Restrição 3</w:t>
            </w:r>
            <w:r>
              <w:rPr>
                <w:rFonts w:ascii="Times New Roman" w:hAnsi="Times New Roman"/>
                <w:b/>
              </w:rPr>
              <w:t>02</w:t>
            </w:r>
            <w:r w:rsidRPr="006E54DF">
              <w:rPr>
                <w:rFonts w:ascii="Times New Roman" w:hAnsi="Times New Roman"/>
                <w:b/>
              </w:rPr>
              <w:t xml:space="preserve"> </w:t>
            </w:r>
            <w:r w:rsidRPr="00E86D5D">
              <w:rPr>
                <w:rFonts w:ascii="Times New Roman" w:hAnsi="Times New Roman"/>
                <w:b/>
              </w:rPr>
              <w:t xml:space="preserve">– Falta ou </w:t>
            </w:r>
            <w:r w:rsidR="00687736">
              <w:rPr>
                <w:rFonts w:ascii="Times New Roman" w:hAnsi="Times New Roman"/>
                <w:b/>
              </w:rPr>
              <w:t>atraso de remessa do RMA ou RMB</w:t>
            </w:r>
            <w:r w:rsidRPr="008C6CF8">
              <w:rPr>
                <w:rFonts w:ascii="Times New Roman" w:hAnsi="Times New Roman"/>
              </w:rPr>
              <w:t>.</w:t>
            </w:r>
            <w:r>
              <w:rPr>
                <w:rFonts w:ascii="Times New Roman" w:hAnsi="Times New Roman"/>
              </w:rPr>
              <w:t xml:space="preserve"> </w:t>
            </w:r>
          </w:p>
          <w:p w14:paraId="60658B77" w14:textId="77777777" w:rsidR="00B1165C" w:rsidRDefault="00B1165C" w:rsidP="00B1165C">
            <w:pPr>
              <w:ind w:firstLine="567"/>
              <w:jc w:val="both"/>
              <w:rPr>
                <w:rFonts w:ascii="Times New Roman" w:hAnsi="Times New Roman"/>
              </w:rPr>
            </w:pPr>
          </w:p>
          <w:p w14:paraId="1DE65147" w14:textId="22BE1F71" w:rsidR="00B1165C" w:rsidRDefault="00B1165C" w:rsidP="00425053">
            <w:pPr>
              <w:ind w:firstLine="567"/>
              <w:jc w:val="both"/>
              <w:rPr>
                <w:rFonts w:ascii="Times New Roman" w:hAnsi="Times New Roman"/>
                <w:szCs w:val="24"/>
              </w:rPr>
            </w:pPr>
            <w:r>
              <w:rPr>
                <w:rFonts w:ascii="Times New Roman" w:hAnsi="Times New Roman"/>
              </w:rPr>
              <w:t xml:space="preserve">Em setembro de 2020, o IFRS registrou </w:t>
            </w:r>
            <w:r w:rsidR="00687736">
              <w:rPr>
                <w:rFonts w:ascii="Times New Roman" w:hAnsi="Times New Roman"/>
              </w:rPr>
              <w:t xml:space="preserve">atrasos no envio dos relatórios de RMA e RMB em 2 Unidades Gestoras: 158141 Reitoria e 158675 Ibirubá. </w:t>
            </w:r>
            <w:r w:rsidRPr="007B1669">
              <w:rPr>
                <w:rFonts w:ascii="Times New Roman" w:hAnsi="Times New Roman"/>
                <w:b/>
              </w:rPr>
              <w:t>Providências relata</w:t>
            </w:r>
            <w:r w:rsidR="00687736">
              <w:rPr>
                <w:rFonts w:ascii="Times New Roman" w:hAnsi="Times New Roman"/>
                <w:b/>
              </w:rPr>
              <w:t>das</w:t>
            </w:r>
            <w:r w:rsidRPr="007B1669">
              <w:rPr>
                <w:rFonts w:ascii="Times New Roman" w:hAnsi="Times New Roman"/>
                <w:b/>
              </w:rPr>
              <w:t>:</w:t>
            </w:r>
            <w:r>
              <w:rPr>
                <w:rFonts w:ascii="Times New Roman" w:hAnsi="Times New Roman"/>
              </w:rPr>
              <w:t xml:space="preserve"> </w:t>
            </w:r>
            <w:r w:rsidR="00687736">
              <w:rPr>
                <w:rFonts w:ascii="Times New Roman" w:hAnsi="Times New Roman"/>
              </w:rPr>
              <w:t xml:space="preserve">O </w:t>
            </w:r>
            <w:r w:rsidR="00F31011">
              <w:rPr>
                <w:rFonts w:ascii="Times New Roman" w:hAnsi="Times New Roman"/>
              </w:rPr>
              <w:t>Setor de Almoxarifado da Reitoria</w:t>
            </w:r>
            <w:r w:rsidR="00687736">
              <w:rPr>
                <w:rFonts w:ascii="Times New Roman" w:hAnsi="Times New Roman"/>
              </w:rPr>
              <w:t xml:space="preserve"> justificou o atraso pela apuração de divergências </w:t>
            </w:r>
            <w:r w:rsidR="00F31011">
              <w:rPr>
                <w:rFonts w:ascii="Times New Roman" w:hAnsi="Times New Roman"/>
              </w:rPr>
              <w:t xml:space="preserve">entre subitens RMB X SIAFI. A Contabilidade do Campus Ibirubá enviou tardiamente os documentos para Conformidade Contábil do mês de setembro alegando que em razão da segregação de funções (Conformidade Contábil x Execução Orçamentária) ocorrida </w:t>
            </w:r>
            <w:proofErr w:type="gramStart"/>
            <w:r w:rsidR="00F31011">
              <w:rPr>
                <w:rFonts w:ascii="Times New Roman" w:hAnsi="Times New Roman"/>
              </w:rPr>
              <w:t>no meses</w:t>
            </w:r>
            <w:proofErr w:type="gramEnd"/>
            <w:r w:rsidR="00F31011">
              <w:rPr>
                <w:rFonts w:ascii="Times New Roman" w:hAnsi="Times New Roman"/>
              </w:rPr>
              <w:t xml:space="preserve"> de setembro e outubro 2020, estaria impedida de executar a Conformidade Contábil do mês.</w:t>
            </w:r>
          </w:p>
          <w:p w14:paraId="13486928" w14:textId="1E4354BC" w:rsidR="008B58CC" w:rsidRPr="00184C9F" w:rsidRDefault="008B58CC" w:rsidP="00425053">
            <w:pPr>
              <w:ind w:firstLine="567"/>
              <w:jc w:val="both"/>
              <w:rPr>
                <w:rFonts w:ascii="Times New Roman" w:hAnsi="Times New Roman"/>
              </w:rPr>
            </w:pPr>
          </w:p>
          <w:p w14:paraId="19CA6637" w14:textId="77777777" w:rsidR="00F9673F" w:rsidRDefault="008B58CC" w:rsidP="00425053">
            <w:pPr>
              <w:ind w:firstLine="567"/>
              <w:jc w:val="both"/>
              <w:rPr>
                <w:rFonts w:ascii="Times New Roman" w:hAnsi="Times New Roman"/>
              </w:rPr>
            </w:pPr>
            <w:r w:rsidRPr="006E54DF">
              <w:rPr>
                <w:rFonts w:ascii="Times New Roman" w:hAnsi="Times New Roman"/>
                <w:b/>
              </w:rPr>
              <w:t xml:space="preserve">Restrição 315 </w:t>
            </w:r>
            <w:r w:rsidRPr="00E86D5D">
              <w:rPr>
                <w:rFonts w:ascii="Times New Roman" w:hAnsi="Times New Roman"/>
                <w:b/>
              </w:rPr>
              <w:t>– Falta ou restrição na conformidade dos registros de gestão</w:t>
            </w:r>
            <w:r w:rsidRPr="008C6CF8">
              <w:rPr>
                <w:rFonts w:ascii="Times New Roman" w:hAnsi="Times New Roman"/>
              </w:rPr>
              <w:t>.</w:t>
            </w:r>
            <w:r>
              <w:rPr>
                <w:rFonts w:ascii="Times New Roman" w:hAnsi="Times New Roman"/>
              </w:rPr>
              <w:t xml:space="preserve"> </w:t>
            </w:r>
          </w:p>
          <w:p w14:paraId="0DDA99A5" w14:textId="77777777" w:rsidR="00F9673F" w:rsidRDefault="00F9673F" w:rsidP="00425053">
            <w:pPr>
              <w:ind w:firstLine="567"/>
              <w:jc w:val="both"/>
              <w:rPr>
                <w:rFonts w:ascii="Times New Roman" w:hAnsi="Times New Roman"/>
              </w:rPr>
            </w:pPr>
          </w:p>
          <w:p w14:paraId="229154CC" w14:textId="3FC37219" w:rsidR="0004649C" w:rsidRDefault="0004649C" w:rsidP="00425053">
            <w:pPr>
              <w:ind w:firstLine="567"/>
              <w:jc w:val="both"/>
              <w:rPr>
                <w:rFonts w:ascii="Times New Roman" w:hAnsi="Times New Roman"/>
              </w:rPr>
            </w:pPr>
            <w:r>
              <w:rPr>
                <w:rFonts w:ascii="Times New Roman" w:hAnsi="Times New Roman"/>
              </w:rPr>
              <w:t xml:space="preserve">Em </w:t>
            </w:r>
            <w:r w:rsidR="00C46411">
              <w:rPr>
                <w:rFonts w:ascii="Times New Roman" w:hAnsi="Times New Roman"/>
              </w:rPr>
              <w:t>setembro</w:t>
            </w:r>
            <w:r w:rsidR="002C1DE1">
              <w:rPr>
                <w:rFonts w:ascii="Times New Roman" w:hAnsi="Times New Roman"/>
              </w:rPr>
              <w:t xml:space="preserve"> de 2020</w:t>
            </w:r>
            <w:r>
              <w:rPr>
                <w:rFonts w:ascii="Times New Roman" w:hAnsi="Times New Roman"/>
              </w:rPr>
              <w:t xml:space="preserve">, o IFRS registrou falta </w:t>
            </w:r>
            <w:r w:rsidR="00C46411">
              <w:rPr>
                <w:rFonts w:ascii="Times New Roman" w:hAnsi="Times New Roman"/>
              </w:rPr>
              <w:t xml:space="preserve">ou restrição </w:t>
            </w:r>
            <w:r>
              <w:rPr>
                <w:rFonts w:ascii="Times New Roman" w:hAnsi="Times New Roman"/>
              </w:rPr>
              <w:t xml:space="preserve">de conformidade dos registros de gestão em </w:t>
            </w:r>
            <w:r w:rsidR="00C46411">
              <w:rPr>
                <w:rFonts w:ascii="Times New Roman" w:hAnsi="Times New Roman"/>
              </w:rPr>
              <w:t>6</w:t>
            </w:r>
            <w:r>
              <w:rPr>
                <w:rFonts w:ascii="Times New Roman" w:hAnsi="Times New Roman"/>
              </w:rPr>
              <w:t xml:space="preserve"> Unidades</w:t>
            </w:r>
            <w:r w:rsidR="00455C37">
              <w:rPr>
                <w:rFonts w:ascii="Times New Roman" w:hAnsi="Times New Roman"/>
              </w:rPr>
              <w:t xml:space="preserve"> Gestoras</w:t>
            </w:r>
            <w:r>
              <w:rPr>
                <w:rFonts w:ascii="Times New Roman" w:hAnsi="Times New Roman"/>
              </w:rPr>
              <w:t>:</w:t>
            </w:r>
            <w:r w:rsidR="002C1DE1">
              <w:rPr>
                <w:rFonts w:ascii="Times New Roman" w:hAnsi="Times New Roman"/>
              </w:rPr>
              <w:t xml:space="preserve"> </w:t>
            </w:r>
            <w:r w:rsidR="00C46411">
              <w:rPr>
                <w:rFonts w:ascii="Times New Roman" w:hAnsi="Times New Roman"/>
              </w:rPr>
              <w:t xml:space="preserve">158264 Bento Gonçalves, 158265 Canoas, </w:t>
            </w:r>
            <w:r w:rsidR="000B02A5">
              <w:rPr>
                <w:rFonts w:ascii="Times New Roman" w:hAnsi="Times New Roman"/>
              </w:rPr>
              <w:t xml:space="preserve">158327 Osório, </w:t>
            </w:r>
            <w:r w:rsidR="002C1DE1">
              <w:rPr>
                <w:rFonts w:ascii="Times New Roman" w:hAnsi="Times New Roman"/>
              </w:rPr>
              <w:t xml:space="preserve">158674 Farroupilha, </w:t>
            </w:r>
            <w:r w:rsidR="000B02A5">
              <w:rPr>
                <w:rFonts w:ascii="Times New Roman" w:hAnsi="Times New Roman"/>
              </w:rPr>
              <w:t>1</w:t>
            </w:r>
            <w:r w:rsidR="00425053">
              <w:rPr>
                <w:rFonts w:ascii="Times New Roman" w:hAnsi="Times New Roman"/>
              </w:rPr>
              <w:t>58744 Vacaria</w:t>
            </w:r>
            <w:r w:rsidR="00C46411">
              <w:rPr>
                <w:rFonts w:ascii="Times New Roman" w:hAnsi="Times New Roman"/>
              </w:rPr>
              <w:t xml:space="preserve"> </w:t>
            </w:r>
            <w:r w:rsidR="00425053">
              <w:rPr>
                <w:rFonts w:ascii="Times New Roman" w:hAnsi="Times New Roman"/>
              </w:rPr>
              <w:t>e 158746 Viamão, sendo  158326 Restinga e 1587</w:t>
            </w:r>
            <w:r w:rsidR="007B1669">
              <w:rPr>
                <w:rFonts w:ascii="Times New Roman" w:hAnsi="Times New Roman"/>
              </w:rPr>
              <w:t>4</w:t>
            </w:r>
            <w:r w:rsidR="00425053">
              <w:rPr>
                <w:rFonts w:ascii="Times New Roman" w:hAnsi="Times New Roman"/>
              </w:rPr>
              <w:t>6 Viamão, as Unidades mais deficitárias</w:t>
            </w:r>
            <w:r w:rsidR="00455C37">
              <w:rPr>
                <w:rFonts w:ascii="Times New Roman" w:hAnsi="Times New Roman"/>
              </w:rPr>
              <w:t>, em número de ocorrências,</w:t>
            </w:r>
            <w:r w:rsidR="00425053">
              <w:rPr>
                <w:rFonts w:ascii="Times New Roman" w:hAnsi="Times New Roman"/>
              </w:rPr>
              <w:t xml:space="preserve"> na realização da conformidade dos registros de gestão.</w:t>
            </w:r>
            <w:r w:rsidR="007B1669">
              <w:rPr>
                <w:rFonts w:ascii="Times New Roman" w:hAnsi="Times New Roman"/>
              </w:rPr>
              <w:t xml:space="preserve"> </w:t>
            </w:r>
            <w:r w:rsidR="007B1669" w:rsidRPr="007B1669">
              <w:rPr>
                <w:rFonts w:ascii="Times New Roman" w:hAnsi="Times New Roman"/>
                <w:b/>
              </w:rPr>
              <w:t>Providências relata</w:t>
            </w:r>
            <w:r w:rsidR="00687736">
              <w:rPr>
                <w:rFonts w:ascii="Times New Roman" w:hAnsi="Times New Roman"/>
                <w:b/>
              </w:rPr>
              <w:t>da</w:t>
            </w:r>
            <w:r w:rsidR="007B1669" w:rsidRPr="007B1669">
              <w:rPr>
                <w:rFonts w:ascii="Times New Roman" w:hAnsi="Times New Roman"/>
                <w:b/>
              </w:rPr>
              <w:t>s:</w:t>
            </w:r>
            <w:r w:rsidR="007B1669">
              <w:rPr>
                <w:rFonts w:ascii="Times New Roman" w:hAnsi="Times New Roman"/>
              </w:rPr>
              <w:t xml:space="preserve"> A Direção do campus 158326 Restinga irá iniciar tratativa com a reitoria para obter um código e vaga específica para a conformidade de gestão. A Direção do campus 158746 Viamão designará servidor capacitado para a função. </w:t>
            </w:r>
            <w:r w:rsidR="00455C37">
              <w:rPr>
                <w:rFonts w:ascii="Times New Roman" w:hAnsi="Times New Roman"/>
              </w:rPr>
              <w:t>Ambas Diretorias não apontaram</w:t>
            </w:r>
            <w:r w:rsidR="007B1669">
              <w:rPr>
                <w:rFonts w:ascii="Times New Roman" w:hAnsi="Times New Roman"/>
              </w:rPr>
              <w:t xml:space="preserve"> prazos ou </w:t>
            </w:r>
            <w:r w:rsidR="00455C37">
              <w:rPr>
                <w:rFonts w:ascii="Times New Roman" w:hAnsi="Times New Roman"/>
              </w:rPr>
              <w:t>apresentaram</w:t>
            </w:r>
            <w:r w:rsidR="00B33284">
              <w:rPr>
                <w:rFonts w:ascii="Times New Roman" w:hAnsi="Times New Roman"/>
              </w:rPr>
              <w:t xml:space="preserve"> </w:t>
            </w:r>
            <w:r w:rsidR="007B1669">
              <w:rPr>
                <w:rFonts w:ascii="Times New Roman" w:hAnsi="Times New Roman"/>
              </w:rPr>
              <w:t>cronograma de ação das providências relatadas</w:t>
            </w:r>
            <w:r w:rsidR="00455C37">
              <w:rPr>
                <w:rFonts w:ascii="Times New Roman" w:hAnsi="Times New Roman"/>
              </w:rPr>
              <w:t>. A</w:t>
            </w:r>
            <w:r w:rsidR="007B1669">
              <w:rPr>
                <w:rFonts w:ascii="Times New Roman" w:hAnsi="Times New Roman"/>
              </w:rPr>
              <w:t xml:space="preserve"> </w:t>
            </w:r>
            <w:r w:rsidR="00455C37">
              <w:rPr>
                <w:rFonts w:ascii="Times New Roman" w:hAnsi="Times New Roman"/>
              </w:rPr>
              <w:t xml:space="preserve">falta de conformidade dos registros de gestão é recorrente nos campi 158326 Restinga e 158746 Viamão, </w:t>
            </w:r>
            <w:r w:rsidR="001D06CA">
              <w:rPr>
                <w:rFonts w:ascii="Times New Roman" w:hAnsi="Times New Roman"/>
              </w:rPr>
              <w:t>e</w:t>
            </w:r>
            <w:r w:rsidR="00455C37">
              <w:rPr>
                <w:rFonts w:ascii="Times New Roman" w:hAnsi="Times New Roman"/>
              </w:rPr>
              <w:t xml:space="preserve"> foi</w:t>
            </w:r>
            <w:r w:rsidR="007B1669">
              <w:rPr>
                <w:rFonts w:ascii="Times New Roman" w:hAnsi="Times New Roman"/>
              </w:rPr>
              <w:t xml:space="preserve"> objeto de apontamento na Declaração do Contador do</w:t>
            </w:r>
            <w:r w:rsidR="00CA293F">
              <w:rPr>
                <w:rFonts w:ascii="Times New Roman" w:hAnsi="Times New Roman"/>
              </w:rPr>
              <w:t>s</w:t>
            </w:r>
            <w:r w:rsidR="007B1669">
              <w:rPr>
                <w:rFonts w:ascii="Times New Roman" w:hAnsi="Times New Roman"/>
              </w:rPr>
              <w:t xml:space="preserve"> Exercício</w:t>
            </w:r>
            <w:r w:rsidR="00CA293F">
              <w:rPr>
                <w:rFonts w:ascii="Times New Roman" w:hAnsi="Times New Roman"/>
              </w:rPr>
              <w:t>s</w:t>
            </w:r>
            <w:r w:rsidR="007B1669">
              <w:rPr>
                <w:rFonts w:ascii="Times New Roman" w:hAnsi="Times New Roman"/>
              </w:rPr>
              <w:t xml:space="preserve"> de 201</w:t>
            </w:r>
            <w:r w:rsidR="00CA293F">
              <w:rPr>
                <w:rFonts w:ascii="Times New Roman" w:hAnsi="Times New Roman"/>
              </w:rPr>
              <w:t>6, 2017</w:t>
            </w:r>
            <w:r w:rsidR="002C1DE1">
              <w:rPr>
                <w:rFonts w:ascii="Times New Roman" w:hAnsi="Times New Roman"/>
              </w:rPr>
              <w:t>,</w:t>
            </w:r>
            <w:r w:rsidR="00CA293F">
              <w:rPr>
                <w:rFonts w:ascii="Times New Roman" w:hAnsi="Times New Roman"/>
              </w:rPr>
              <w:t xml:space="preserve"> 2018</w:t>
            </w:r>
            <w:r w:rsidR="002C1DE1">
              <w:rPr>
                <w:rFonts w:ascii="Times New Roman" w:hAnsi="Times New Roman"/>
              </w:rPr>
              <w:t xml:space="preserve"> e 2019</w:t>
            </w:r>
            <w:r w:rsidR="007B1669">
              <w:rPr>
                <w:rFonts w:ascii="Times New Roman" w:hAnsi="Times New Roman"/>
              </w:rPr>
              <w:t>.</w:t>
            </w:r>
          </w:p>
          <w:p w14:paraId="3594D8CA" w14:textId="3D00E23D" w:rsidR="004A5832" w:rsidRDefault="004A5832" w:rsidP="00425053">
            <w:pPr>
              <w:ind w:firstLine="567"/>
              <w:jc w:val="both"/>
              <w:rPr>
                <w:rFonts w:ascii="Times New Roman" w:hAnsi="Times New Roman"/>
              </w:rPr>
            </w:pPr>
          </w:p>
          <w:p w14:paraId="57C55800" w14:textId="77777777" w:rsidR="00F9673F" w:rsidRDefault="004A5832" w:rsidP="00425053">
            <w:pPr>
              <w:ind w:firstLine="567"/>
              <w:jc w:val="both"/>
              <w:rPr>
                <w:rFonts w:ascii="Times New Roman" w:hAnsi="Times New Roman"/>
                <w:b/>
              </w:rPr>
            </w:pPr>
            <w:r>
              <w:rPr>
                <w:rFonts w:ascii="Times New Roman" w:hAnsi="Times New Roman"/>
                <w:b/>
              </w:rPr>
              <w:t xml:space="preserve">Restrição 316 – </w:t>
            </w:r>
            <w:r w:rsidR="0047599C">
              <w:rPr>
                <w:rFonts w:ascii="Times New Roman" w:hAnsi="Times New Roman"/>
                <w:b/>
              </w:rPr>
              <w:t xml:space="preserve">Falta ou atraso no cumprimento de diligências. </w:t>
            </w:r>
          </w:p>
          <w:p w14:paraId="2EEF1F1D" w14:textId="77777777" w:rsidR="00F9673F" w:rsidRDefault="00F9673F" w:rsidP="00425053">
            <w:pPr>
              <w:ind w:firstLine="567"/>
              <w:jc w:val="both"/>
              <w:rPr>
                <w:rFonts w:ascii="Times New Roman" w:hAnsi="Times New Roman"/>
                <w:b/>
              </w:rPr>
            </w:pPr>
          </w:p>
          <w:p w14:paraId="65F42329" w14:textId="0D557A6E" w:rsidR="004A5832" w:rsidRPr="009D1E72" w:rsidRDefault="0047599C" w:rsidP="00425053">
            <w:pPr>
              <w:ind w:firstLine="567"/>
              <w:jc w:val="both"/>
              <w:rPr>
                <w:rFonts w:ascii="Times New Roman" w:hAnsi="Times New Roman"/>
                <w:strike/>
              </w:rPr>
            </w:pPr>
            <w:r>
              <w:rPr>
                <w:rFonts w:ascii="Times New Roman" w:hAnsi="Times New Roman"/>
              </w:rPr>
              <w:t xml:space="preserve">Até o encerramento do </w:t>
            </w:r>
            <w:r w:rsidR="00B1165C">
              <w:rPr>
                <w:rFonts w:ascii="Times New Roman" w:hAnsi="Times New Roman"/>
              </w:rPr>
              <w:t>terceiro</w:t>
            </w:r>
            <w:r w:rsidR="002C1DE1">
              <w:rPr>
                <w:rFonts w:ascii="Times New Roman" w:hAnsi="Times New Roman"/>
              </w:rPr>
              <w:t xml:space="preserve"> trimestre</w:t>
            </w:r>
            <w:r>
              <w:rPr>
                <w:rFonts w:ascii="Times New Roman" w:hAnsi="Times New Roman"/>
              </w:rPr>
              <w:t xml:space="preserve">, </w:t>
            </w:r>
            <w:r w:rsidR="007A2071">
              <w:rPr>
                <w:rFonts w:ascii="Times New Roman" w:hAnsi="Times New Roman"/>
              </w:rPr>
              <w:t>a Diretoria de Gestão de Pessoas não apresentou relatório de controle atualizado dos valores a receber derivados da folha de pagamento</w:t>
            </w:r>
            <w:r w:rsidR="00455C37">
              <w:rPr>
                <w:rFonts w:ascii="Times New Roman" w:hAnsi="Times New Roman"/>
              </w:rPr>
              <w:t xml:space="preserve"> à título de reposição ao erário</w:t>
            </w:r>
            <w:r w:rsidR="007A2071">
              <w:rPr>
                <w:rFonts w:ascii="Times New Roman" w:hAnsi="Times New Roman"/>
              </w:rPr>
              <w:t xml:space="preserve">. </w:t>
            </w:r>
            <w:r w:rsidR="007A2071" w:rsidRPr="00455C37">
              <w:rPr>
                <w:rFonts w:ascii="Times New Roman" w:hAnsi="Times New Roman"/>
                <w:b/>
              </w:rPr>
              <w:t>Providências relatadas:</w:t>
            </w:r>
            <w:r w:rsidR="007A2071">
              <w:rPr>
                <w:rFonts w:ascii="Times New Roman" w:hAnsi="Times New Roman"/>
              </w:rPr>
              <w:t xml:space="preserve"> </w:t>
            </w:r>
            <w:r w:rsidR="006559A6" w:rsidRPr="00FA50D8">
              <w:rPr>
                <w:rFonts w:ascii="Times New Roman" w:hAnsi="Times New Roman"/>
              </w:rPr>
              <w:t xml:space="preserve">Através do </w:t>
            </w:r>
            <w:r w:rsidR="007A2071" w:rsidRPr="00FA50D8">
              <w:rPr>
                <w:rFonts w:ascii="Times New Roman" w:hAnsi="Times New Roman"/>
                <w:szCs w:val="24"/>
              </w:rPr>
              <w:t xml:space="preserve">Ofício nº 06/2020/PROAD/IFRS, a </w:t>
            </w:r>
            <w:proofErr w:type="spellStart"/>
            <w:r w:rsidR="007A2071" w:rsidRPr="00FA50D8">
              <w:rPr>
                <w:rFonts w:ascii="Times New Roman" w:hAnsi="Times New Roman"/>
                <w:szCs w:val="24"/>
              </w:rPr>
              <w:t>Pró-reitoria</w:t>
            </w:r>
            <w:proofErr w:type="spellEnd"/>
            <w:r w:rsidR="007A2071" w:rsidRPr="00FA50D8">
              <w:rPr>
                <w:rFonts w:ascii="Times New Roman" w:hAnsi="Times New Roman"/>
                <w:szCs w:val="24"/>
              </w:rPr>
              <w:t xml:space="preserve"> de Administração </w:t>
            </w:r>
            <w:r w:rsidR="00BB1791" w:rsidRPr="00FA50D8">
              <w:rPr>
                <w:rFonts w:ascii="Times New Roman" w:hAnsi="Times New Roman"/>
                <w:szCs w:val="24"/>
              </w:rPr>
              <w:t>informa</w:t>
            </w:r>
            <w:r w:rsidR="006559A6" w:rsidRPr="00FA50D8">
              <w:rPr>
                <w:rFonts w:ascii="Times New Roman" w:hAnsi="Times New Roman"/>
                <w:szCs w:val="24"/>
              </w:rPr>
              <w:t xml:space="preserve"> medidas a serem tomadas a partir da Ordem de Serviço nº 06/2019 que estabelece procedimentos para cadastro, pagamento e lançamentos no SIAPE, porém não manifestou cronograma e ações efetivas para sanar</w:t>
            </w:r>
            <w:r w:rsidR="009D1E72" w:rsidRPr="00FA50D8">
              <w:rPr>
                <w:rFonts w:ascii="Times New Roman" w:hAnsi="Times New Roman"/>
                <w:szCs w:val="24"/>
              </w:rPr>
              <w:t xml:space="preserve"> a ausência de registro de valores a receber pagos indevidamente na folha</w:t>
            </w:r>
            <w:r w:rsidR="00FA50D8" w:rsidRPr="00FA50D8">
              <w:rPr>
                <w:rFonts w:ascii="Times New Roman" w:hAnsi="Times New Roman"/>
                <w:szCs w:val="24"/>
              </w:rPr>
              <w:t>.</w:t>
            </w:r>
          </w:p>
          <w:p w14:paraId="2E25015F" w14:textId="77777777" w:rsidR="0004649C" w:rsidRDefault="0004649C" w:rsidP="00425053">
            <w:pPr>
              <w:ind w:firstLine="567"/>
              <w:jc w:val="both"/>
              <w:rPr>
                <w:rFonts w:ascii="Times New Roman" w:hAnsi="Times New Roman"/>
              </w:rPr>
            </w:pPr>
          </w:p>
          <w:p w14:paraId="6E9EF815" w14:textId="77777777" w:rsidR="00F9673F" w:rsidRDefault="008B58CC" w:rsidP="00425053">
            <w:pPr>
              <w:ind w:firstLine="567"/>
              <w:jc w:val="both"/>
              <w:rPr>
                <w:rFonts w:ascii="Times New Roman" w:hAnsi="Times New Roman"/>
                <w:szCs w:val="24"/>
              </w:rPr>
            </w:pPr>
            <w:r w:rsidRPr="006E54DF">
              <w:rPr>
                <w:rFonts w:ascii="Times New Roman" w:hAnsi="Times New Roman"/>
                <w:b/>
                <w:szCs w:val="24"/>
              </w:rPr>
              <w:t xml:space="preserve">Restrição 603 </w:t>
            </w:r>
            <w:r w:rsidRPr="0044054D">
              <w:rPr>
                <w:rFonts w:ascii="Times New Roman" w:hAnsi="Times New Roman"/>
                <w:b/>
                <w:szCs w:val="24"/>
              </w:rPr>
              <w:t>– Saldo contábil do almoxarifado não confere com RMA</w:t>
            </w:r>
            <w:r w:rsidRPr="008C6CF8">
              <w:rPr>
                <w:rFonts w:ascii="Times New Roman" w:hAnsi="Times New Roman"/>
                <w:szCs w:val="24"/>
              </w:rPr>
              <w:t>.</w:t>
            </w:r>
            <w:r w:rsidRPr="0084590F">
              <w:rPr>
                <w:rFonts w:ascii="Times New Roman" w:hAnsi="Times New Roman"/>
                <w:szCs w:val="24"/>
              </w:rPr>
              <w:t xml:space="preserve"> </w:t>
            </w:r>
          </w:p>
          <w:p w14:paraId="4D8710D7" w14:textId="77777777" w:rsidR="00F9673F" w:rsidRDefault="00F9673F" w:rsidP="00425053">
            <w:pPr>
              <w:ind w:firstLine="567"/>
              <w:jc w:val="both"/>
              <w:rPr>
                <w:rFonts w:ascii="Times New Roman" w:hAnsi="Times New Roman"/>
                <w:szCs w:val="24"/>
              </w:rPr>
            </w:pPr>
          </w:p>
          <w:p w14:paraId="7190AA16" w14:textId="2AEF7875" w:rsidR="00A176ED" w:rsidRDefault="004A5832" w:rsidP="00425053">
            <w:pPr>
              <w:ind w:firstLine="567"/>
              <w:jc w:val="both"/>
              <w:rPr>
                <w:rFonts w:ascii="Times New Roman" w:hAnsi="Times New Roman"/>
                <w:szCs w:val="24"/>
              </w:rPr>
            </w:pPr>
            <w:r>
              <w:rPr>
                <w:rFonts w:ascii="Times New Roman" w:hAnsi="Times New Roman"/>
                <w:szCs w:val="24"/>
              </w:rPr>
              <w:t xml:space="preserve">Em </w:t>
            </w:r>
            <w:r w:rsidR="00B1165C">
              <w:rPr>
                <w:rFonts w:ascii="Times New Roman" w:hAnsi="Times New Roman"/>
                <w:szCs w:val="24"/>
              </w:rPr>
              <w:t>setembro</w:t>
            </w:r>
            <w:r w:rsidR="002738E2">
              <w:rPr>
                <w:rFonts w:ascii="Times New Roman" w:hAnsi="Times New Roman"/>
                <w:szCs w:val="24"/>
              </w:rPr>
              <w:t xml:space="preserve"> 2020</w:t>
            </w:r>
            <w:r>
              <w:rPr>
                <w:rFonts w:ascii="Times New Roman" w:hAnsi="Times New Roman"/>
                <w:szCs w:val="24"/>
              </w:rPr>
              <w:t xml:space="preserve">, o IFRS registrou saldo divergente do Relatório de Movimentação de Almoxarifado em </w:t>
            </w:r>
            <w:r w:rsidR="008E35BC">
              <w:rPr>
                <w:rFonts w:ascii="Times New Roman" w:hAnsi="Times New Roman"/>
                <w:szCs w:val="24"/>
              </w:rPr>
              <w:t>7</w:t>
            </w:r>
            <w:r>
              <w:rPr>
                <w:rFonts w:ascii="Times New Roman" w:hAnsi="Times New Roman"/>
                <w:szCs w:val="24"/>
              </w:rPr>
              <w:t xml:space="preserve"> Unidades: 15826</w:t>
            </w:r>
            <w:r w:rsidR="00E53C3D">
              <w:rPr>
                <w:rFonts w:ascii="Times New Roman" w:hAnsi="Times New Roman"/>
                <w:szCs w:val="24"/>
              </w:rPr>
              <w:t>3</w:t>
            </w:r>
            <w:r>
              <w:rPr>
                <w:rFonts w:ascii="Times New Roman" w:hAnsi="Times New Roman"/>
                <w:szCs w:val="24"/>
              </w:rPr>
              <w:t xml:space="preserve"> </w:t>
            </w:r>
            <w:r w:rsidR="00E53C3D">
              <w:rPr>
                <w:rFonts w:ascii="Times New Roman" w:hAnsi="Times New Roman"/>
                <w:szCs w:val="24"/>
              </w:rPr>
              <w:t>Sertão</w:t>
            </w:r>
            <w:r>
              <w:rPr>
                <w:rFonts w:ascii="Times New Roman" w:hAnsi="Times New Roman"/>
                <w:szCs w:val="24"/>
              </w:rPr>
              <w:t xml:space="preserve">, </w:t>
            </w:r>
            <w:r w:rsidR="008E35BC">
              <w:rPr>
                <w:rFonts w:ascii="Times New Roman" w:hAnsi="Times New Roman"/>
                <w:szCs w:val="24"/>
              </w:rPr>
              <w:t>158</w:t>
            </w:r>
            <w:r w:rsidR="00E53C3D">
              <w:rPr>
                <w:rFonts w:ascii="Times New Roman" w:hAnsi="Times New Roman"/>
                <w:szCs w:val="24"/>
              </w:rPr>
              <w:t>265</w:t>
            </w:r>
            <w:r w:rsidR="008E35BC">
              <w:rPr>
                <w:rFonts w:ascii="Times New Roman" w:hAnsi="Times New Roman"/>
                <w:szCs w:val="24"/>
              </w:rPr>
              <w:t xml:space="preserve"> </w:t>
            </w:r>
            <w:r w:rsidR="00E53C3D">
              <w:rPr>
                <w:rFonts w:ascii="Times New Roman" w:hAnsi="Times New Roman"/>
                <w:szCs w:val="24"/>
              </w:rPr>
              <w:t xml:space="preserve">Canoas, </w:t>
            </w:r>
            <w:r>
              <w:rPr>
                <w:rFonts w:ascii="Times New Roman" w:hAnsi="Times New Roman"/>
                <w:szCs w:val="24"/>
              </w:rPr>
              <w:t>158674 Farroupilha, 15867</w:t>
            </w:r>
            <w:r w:rsidR="00635A7B">
              <w:rPr>
                <w:rFonts w:ascii="Times New Roman" w:hAnsi="Times New Roman"/>
                <w:szCs w:val="24"/>
              </w:rPr>
              <w:t>6</w:t>
            </w:r>
            <w:r>
              <w:rPr>
                <w:rFonts w:ascii="Times New Roman" w:hAnsi="Times New Roman"/>
                <w:szCs w:val="24"/>
              </w:rPr>
              <w:t xml:space="preserve"> Feliz, 158743 Rolante</w:t>
            </w:r>
            <w:r w:rsidR="002C1DE1">
              <w:rPr>
                <w:rFonts w:ascii="Times New Roman" w:hAnsi="Times New Roman"/>
                <w:szCs w:val="24"/>
              </w:rPr>
              <w:t>,</w:t>
            </w:r>
            <w:r w:rsidR="008E35BC">
              <w:rPr>
                <w:rFonts w:ascii="Times New Roman" w:hAnsi="Times New Roman"/>
                <w:szCs w:val="24"/>
              </w:rPr>
              <w:t xml:space="preserve"> </w:t>
            </w:r>
            <w:r w:rsidR="00BA024C">
              <w:rPr>
                <w:rFonts w:ascii="Times New Roman" w:hAnsi="Times New Roman"/>
                <w:szCs w:val="24"/>
              </w:rPr>
              <w:t>158745 Alvorada e</w:t>
            </w:r>
            <w:r>
              <w:rPr>
                <w:rFonts w:ascii="Times New Roman" w:hAnsi="Times New Roman"/>
                <w:szCs w:val="24"/>
              </w:rPr>
              <w:t xml:space="preserve"> 158746 Viamão</w:t>
            </w:r>
            <w:r w:rsidR="00015AC6">
              <w:rPr>
                <w:rFonts w:ascii="Times New Roman" w:hAnsi="Times New Roman"/>
                <w:szCs w:val="24"/>
              </w:rPr>
              <w:t xml:space="preserve">. </w:t>
            </w:r>
            <w:r w:rsidR="00015AC6" w:rsidRPr="00635A7B">
              <w:rPr>
                <w:rFonts w:ascii="Times New Roman" w:hAnsi="Times New Roman"/>
                <w:b/>
                <w:szCs w:val="24"/>
              </w:rPr>
              <w:t>Providências relatadas:</w:t>
            </w:r>
            <w:r w:rsidR="006D6AB6">
              <w:rPr>
                <w:rFonts w:ascii="Times New Roman" w:hAnsi="Times New Roman"/>
                <w:szCs w:val="24"/>
              </w:rPr>
              <w:t xml:space="preserve"> </w:t>
            </w:r>
            <w:r w:rsidR="006D6AB6" w:rsidRPr="004F5DE8">
              <w:rPr>
                <w:rFonts w:ascii="Times New Roman" w:hAnsi="Times New Roman"/>
                <w:color w:val="000000" w:themeColor="text1"/>
                <w:szCs w:val="24"/>
              </w:rPr>
              <w:t xml:space="preserve">Há chamados em aberto para resolução de ajustes de saldos no SIPAC (Sistema controle Almoxarifado e Patrimônio) </w:t>
            </w:r>
            <w:r w:rsidR="00FE42F2" w:rsidRPr="004F5DE8">
              <w:rPr>
                <w:rFonts w:ascii="Times New Roman" w:hAnsi="Times New Roman"/>
                <w:color w:val="000000" w:themeColor="text1"/>
                <w:szCs w:val="24"/>
              </w:rPr>
              <w:t xml:space="preserve">originado </w:t>
            </w:r>
            <w:r w:rsidR="004F5DE8" w:rsidRPr="004F5DE8">
              <w:rPr>
                <w:rFonts w:ascii="Times New Roman" w:hAnsi="Times New Roman"/>
                <w:color w:val="000000" w:themeColor="text1"/>
                <w:szCs w:val="24"/>
              </w:rPr>
              <w:t>pelos</w:t>
            </w:r>
            <w:r w:rsidR="006D6AB6" w:rsidRPr="004F5DE8">
              <w:rPr>
                <w:rFonts w:ascii="Times New Roman" w:hAnsi="Times New Roman"/>
                <w:color w:val="000000" w:themeColor="text1"/>
                <w:szCs w:val="24"/>
              </w:rPr>
              <w:t xml:space="preserve"> Campi 158676 Feliz, </w:t>
            </w:r>
            <w:r w:rsidR="00D02C3D">
              <w:rPr>
                <w:rFonts w:ascii="Times New Roman" w:hAnsi="Times New Roman"/>
                <w:color w:val="000000" w:themeColor="text1"/>
                <w:szCs w:val="24"/>
              </w:rPr>
              <w:t>158745 Alvorada</w:t>
            </w:r>
            <w:r w:rsidR="002738E2">
              <w:rPr>
                <w:rFonts w:ascii="Times New Roman" w:hAnsi="Times New Roman"/>
                <w:color w:val="000000" w:themeColor="text1"/>
                <w:szCs w:val="24"/>
              </w:rPr>
              <w:t xml:space="preserve">, 158746 </w:t>
            </w:r>
            <w:r w:rsidR="005301E0" w:rsidRPr="004F5DE8">
              <w:rPr>
                <w:rFonts w:ascii="Times New Roman" w:hAnsi="Times New Roman"/>
                <w:color w:val="000000" w:themeColor="text1"/>
                <w:szCs w:val="24"/>
              </w:rPr>
              <w:t>Viamão</w:t>
            </w:r>
            <w:r w:rsidR="005301E0">
              <w:rPr>
                <w:rFonts w:ascii="Times New Roman" w:hAnsi="Times New Roman"/>
                <w:szCs w:val="24"/>
              </w:rPr>
              <w:t xml:space="preserve">. </w:t>
            </w:r>
            <w:r w:rsidR="00F20E5C">
              <w:rPr>
                <w:rFonts w:ascii="Times New Roman" w:hAnsi="Times New Roman"/>
                <w:szCs w:val="24"/>
              </w:rPr>
              <w:t xml:space="preserve">As demais </w:t>
            </w:r>
            <w:r w:rsidR="00BA024C">
              <w:rPr>
                <w:rFonts w:ascii="Times New Roman" w:hAnsi="Times New Roman"/>
                <w:szCs w:val="24"/>
              </w:rPr>
              <w:t>Diretorias</w:t>
            </w:r>
            <w:r w:rsidR="00F20E5C">
              <w:rPr>
                <w:rFonts w:ascii="Times New Roman" w:hAnsi="Times New Roman"/>
                <w:szCs w:val="24"/>
              </w:rPr>
              <w:t xml:space="preserve"> </w:t>
            </w:r>
            <w:r w:rsidR="00BA024C">
              <w:rPr>
                <w:rFonts w:ascii="Times New Roman" w:hAnsi="Times New Roman"/>
                <w:szCs w:val="24"/>
              </w:rPr>
              <w:t xml:space="preserve">não </w:t>
            </w:r>
            <w:r w:rsidR="00F20E5C">
              <w:rPr>
                <w:rFonts w:ascii="Times New Roman" w:hAnsi="Times New Roman"/>
                <w:szCs w:val="24"/>
              </w:rPr>
              <w:t xml:space="preserve">manifestaram ações diferentes </w:t>
            </w:r>
            <w:r w:rsidR="00246CFE">
              <w:rPr>
                <w:rFonts w:ascii="Times New Roman" w:hAnsi="Times New Roman"/>
                <w:szCs w:val="24"/>
              </w:rPr>
              <w:t xml:space="preserve">daquelas já adotadas nos </w:t>
            </w:r>
            <w:r w:rsidR="00246CFE">
              <w:rPr>
                <w:rFonts w:ascii="Times New Roman" w:hAnsi="Times New Roman"/>
                <w:szCs w:val="24"/>
              </w:rPr>
              <w:lastRenderedPageBreak/>
              <w:t>períodos/exercícios anteriores</w:t>
            </w:r>
            <w:r w:rsidR="00F20E5C">
              <w:rPr>
                <w:rFonts w:ascii="Times New Roman" w:hAnsi="Times New Roman"/>
                <w:szCs w:val="24"/>
              </w:rPr>
              <w:t xml:space="preserve"> </w:t>
            </w:r>
            <w:r w:rsidR="00966DA2">
              <w:rPr>
                <w:rFonts w:ascii="Times New Roman" w:hAnsi="Times New Roman"/>
                <w:szCs w:val="24"/>
              </w:rPr>
              <w:t>e/</w:t>
            </w:r>
            <w:r w:rsidR="00F20E5C">
              <w:rPr>
                <w:rFonts w:ascii="Times New Roman" w:hAnsi="Times New Roman"/>
                <w:szCs w:val="24"/>
              </w:rPr>
              <w:t>ou cronograma efetivo de ação para as providências relatadas. O saldo divergente do Relatório de Movimentação de Almoxarifado é recorrente</w:t>
            </w:r>
            <w:r w:rsidR="00455C37">
              <w:rPr>
                <w:rFonts w:ascii="Times New Roman" w:hAnsi="Times New Roman"/>
                <w:szCs w:val="24"/>
              </w:rPr>
              <w:t xml:space="preserve"> nos</w:t>
            </w:r>
            <w:r w:rsidR="00A176ED">
              <w:rPr>
                <w:rFonts w:ascii="Times New Roman" w:hAnsi="Times New Roman"/>
                <w:szCs w:val="24"/>
              </w:rPr>
              <w:t xml:space="preserve"> </w:t>
            </w:r>
            <w:r w:rsidR="00A176ED" w:rsidRPr="00FA50D8">
              <w:rPr>
                <w:rFonts w:ascii="Times New Roman" w:hAnsi="Times New Roman"/>
                <w:szCs w:val="24"/>
              </w:rPr>
              <w:t xml:space="preserve">campi </w:t>
            </w:r>
            <w:r w:rsidR="005301E0" w:rsidRPr="00FA50D8">
              <w:rPr>
                <w:rFonts w:ascii="Times New Roman" w:hAnsi="Times New Roman"/>
                <w:szCs w:val="24"/>
              </w:rPr>
              <w:t xml:space="preserve">158265 Canoas, </w:t>
            </w:r>
            <w:r w:rsidR="00A176ED" w:rsidRPr="00FA50D8">
              <w:rPr>
                <w:rFonts w:ascii="Times New Roman" w:hAnsi="Times New Roman"/>
                <w:szCs w:val="24"/>
              </w:rPr>
              <w:t>158674 Farroupilha</w:t>
            </w:r>
            <w:r w:rsidR="005301E0" w:rsidRPr="00FA50D8">
              <w:rPr>
                <w:rFonts w:ascii="Times New Roman" w:hAnsi="Times New Roman"/>
                <w:szCs w:val="24"/>
              </w:rPr>
              <w:t xml:space="preserve">, 158676 Feliz, </w:t>
            </w:r>
            <w:r w:rsidR="00A176ED" w:rsidRPr="00FA50D8">
              <w:rPr>
                <w:rFonts w:ascii="Times New Roman" w:hAnsi="Times New Roman"/>
                <w:szCs w:val="24"/>
              </w:rPr>
              <w:t>158745 Alvorada</w:t>
            </w:r>
            <w:r w:rsidR="005301E0" w:rsidRPr="00FA50D8">
              <w:rPr>
                <w:rFonts w:ascii="Times New Roman" w:hAnsi="Times New Roman"/>
                <w:szCs w:val="24"/>
              </w:rPr>
              <w:t xml:space="preserve"> e 158746 Viamão</w:t>
            </w:r>
            <w:r w:rsidR="00A176ED" w:rsidRPr="00FA50D8">
              <w:rPr>
                <w:rFonts w:ascii="Times New Roman" w:hAnsi="Times New Roman"/>
                <w:szCs w:val="24"/>
              </w:rPr>
              <w:t xml:space="preserve">, </w:t>
            </w:r>
            <w:r w:rsidR="001D06CA" w:rsidRPr="00FA50D8">
              <w:rPr>
                <w:rFonts w:ascii="Times New Roman" w:hAnsi="Times New Roman"/>
                <w:szCs w:val="24"/>
              </w:rPr>
              <w:t>e</w:t>
            </w:r>
            <w:r w:rsidR="00A176ED" w:rsidRPr="00FA50D8">
              <w:rPr>
                <w:rFonts w:ascii="Times New Roman" w:hAnsi="Times New Roman"/>
                <w:szCs w:val="24"/>
              </w:rPr>
              <w:t xml:space="preserve"> foi </w:t>
            </w:r>
            <w:r w:rsidR="00A176ED">
              <w:rPr>
                <w:rFonts w:ascii="Times New Roman" w:hAnsi="Times New Roman"/>
                <w:szCs w:val="24"/>
              </w:rPr>
              <w:t xml:space="preserve">objeto de apontamento na Declaração do Contador </w:t>
            </w:r>
            <w:r w:rsidR="005301E0">
              <w:rPr>
                <w:rFonts w:ascii="Times New Roman" w:hAnsi="Times New Roman"/>
                <w:szCs w:val="24"/>
              </w:rPr>
              <w:t xml:space="preserve">campus 158745 Alvorada </w:t>
            </w:r>
            <w:r w:rsidR="00A176ED">
              <w:rPr>
                <w:rFonts w:ascii="Times New Roman" w:hAnsi="Times New Roman"/>
                <w:szCs w:val="24"/>
              </w:rPr>
              <w:t>do Exercício de 2018</w:t>
            </w:r>
            <w:r w:rsidR="00D02C3D">
              <w:rPr>
                <w:rFonts w:ascii="Times New Roman" w:hAnsi="Times New Roman"/>
                <w:szCs w:val="24"/>
              </w:rPr>
              <w:t xml:space="preserve"> e 2019</w:t>
            </w:r>
            <w:r w:rsidR="00A176ED">
              <w:rPr>
                <w:rFonts w:ascii="Times New Roman" w:hAnsi="Times New Roman"/>
                <w:szCs w:val="24"/>
              </w:rPr>
              <w:t>; campus 158265 Canoas, na Declaração do Contador dos Exercícios de 2017</w:t>
            </w:r>
            <w:r w:rsidR="00D02C3D">
              <w:rPr>
                <w:rFonts w:ascii="Times New Roman" w:hAnsi="Times New Roman"/>
                <w:szCs w:val="24"/>
              </w:rPr>
              <w:t xml:space="preserve">, </w:t>
            </w:r>
            <w:r w:rsidR="00A176ED">
              <w:rPr>
                <w:rFonts w:ascii="Times New Roman" w:hAnsi="Times New Roman"/>
                <w:szCs w:val="24"/>
              </w:rPr>
              <w:t xml:space="preserve"> 2018</w:t>
            </w:r>
            <w:r w:rsidR="00D02C3D">
              <w:rPr>
                <w:rFonts w:ascii="Times New Roman" w:hAnsi="Times New Roman"/>
                <w:szCs w:val="24"/>
              </w:rPr>
              <w:t xml:space="preserve"> e 2019</w:t>
            </w:r>
            <w:r w:rsidR="00A176ED">
              <w:rPr>
                <w:rFonts w:ascii="Times New Roman" w:hAnsi="Times New Roman"/>
                <w:szCs w:val="24"/>
              </w:rPr>
              <w:t xml:space="preserve"> e; </w:t>
            </w:r>
            <w:r w:rsidR="00CA6113">
              <w:rPr>
                <w:rFonts w:ascii="Times New Roman" w:hAnsi="Times New Roman"/>
                <w:szCs w:val="24"/>
              </w:rPr>
              <w:t>Campus 158325 Erechim Declaração do Contador Exercício de 201</w:t>
            </w:r>
            <w:r w:rsidR="00F93A0F">
              <w:rPr>
                <w:rFonts w:ascii="Times New Roman" w:hAnsi="Times New Roman"/>
                <w:szCs w:val="24"/>
              </w:rPr>
              <w:t>7</w:t>
            </w:r>
            <w:r w:rsidR="00CA6113">
              <w:rPr>
                <w:rFonts w:ascii="Times New Roman" w:hAnsi="Times New Roman"/>
                <w:szCs w:val="24"/>
              </w:rPr>
              <w:t xml:space="preserve">, </w:t>
            </w:r>
            <w:r w:rsidR="00F93A0F">
              <w:rPr>
                <w:rFonts w:ascii="Times New Roman" w:hAnsi="Times New Roman"/>
                <w:szCs w:val="24"/>
              </w:rPr>
              <w:t xml:space="preserve">2018; </w:t>
            </w:r>
            <w:r w:rsidR="00A176ED">
              <w:rPr>
                <w:rFonts w:ascii="Times New Roman" w:hAnsi="Times New Roman"/>
                <w:szCs w:val="24"/>
              </w:rPr>
              <w:t>campus 158676 Feliz, na Declaração do Contador dos Exercícios de 2016, 2017</w:t>
            </w:r>
            <w:r w:rsidR="00D02C3D">
              <w:rPr>
                <w:rFonts w:ascii="Times New Roman" w:hAnsi="Times New Roman"/>
                <w:szCs w:val="24"/>
              </w:rPr>
              <w:t>,</w:t>
            </w:r>
            <w:r w:rsidR="00A176ED">
              <w:rPr>
                <w:rFonts w:ascii="Times New Roman" w:hAnsi="Times New Roman"/>
                <w:szCs w:val="24"/>
              </w:rPr>
              <w:t xml:space="preserve"> 2018</w:t>
            </w:r>
            <w:r w:rsidR="00D02C3D">
              <w:rPr>
                <w:rFonts w:ascii="Times New Roman" w:hAnsi="Times New Roman"/>
                <w:szCs w:val="24"/>
              </w:rPr>
              <w:t xml:space="preserve"> e 2019</w:t>
            </w:r>
            <w:r w:rsidR="00A176ED">
              <w:rPr>
                <w:rFonts w:ascii="Times New Roman" w:hAnsi="Times New Roman"/>
                <w:szCs w:val="24"/>
              </w:rPr>
              <w:t>.</w:t>
            </w:r>
          </w:p>
          <w:p w14:paraId="2AEA46B1" w14:textId="78A6B7E2" w:rsidR="001B45F5" w:rsidRDefault="001B45F5" w:rsidP="00425053">
            <w:pPr>
              <w:ind w:firstLine="567"/>
              <w:jc w:val="both"/>
              <w:rPr>
                <w:rFonts w:ascii="Times New Roman" w:hAnsi="Times New Roman"/>
                <w:szCs w:val="24"/>
              </w:rPr>
            </w:pPr>
          </w:p>
          <w:p w14:paraId="2EE95329" w14:textId="3BD045B7" w:rsidR="001B45F5" w:rsidRPr="000217B5" w:rsidRDefault="001B45F5" w:rsidP="00425053">
            <w:pPr>
              <w:ind w:firstLine="567"/>
              <w:jc w:val="both"/>
              <w:rPr>
                <w:rFonts w:ascii="Times New Roman" w:hAnsi="Times New Roman"/>
                <w:b/>
                <w:bCs/>
                <w:szCs w:val="24"/>
              </w:rPr>
            </w:pPr>
            <w:r w:rsidRPr="000217B5">
              <w:rPr>
                <w:rFonts w:ascii="Times New Roman" w:hAnsi="Times New Roman"/>
                <w:b/>
                <w:bCs/>
                <w:szCs w:val="24"/>
              </w:rPr>
              <w:t>Restrição 632</w:t>
            </w:r>
            <w:r w:rsidR="00FD1555" w:rsidRPr="000217B5">
              <w:rPr>
                <w:rFonts w:ascii="Times New Roman" w:hAnsi="Times New Roman"/>
                <w:b/>
                <w:bCs/>
                <w:szCs w:val="24"/>
              </w:rPr>
              <w:t xml:space="preserve"> </w:t>
            </w:r>
            <w:r w:rsidR="00C53C56" w:rsidRPr="000217B5">
              <w:rPr>
                <w:rFonts w:ascii="Times New Roman" w:hAnsi="Times New Roman"/>
                <w:b/>
                <w:bCs/>
                <w:szCs w:val="24"/>
              </w:rPr>
              <w:t>–</w:t>
            </w:r>
            <w:r w:rsidR="00FD1555" w:rsidRPr="000217B5">
              <w:rPr>
                <w:rFonts w:ascii="Times New Roman" w:hAnsi="Times New Roman"/>
                <w:b/>
                <w:bCs/>
                <w:szCs w:val="24"/>
              </w:rPr>
              <w:t xml:space="preserve"> </w:t>
            </w:r>
            <w:r w:rsidR="00C53C56" w:rsidRPr="000217B5">
              <w:rPr>
                <w:rFonts w:ascii="Times New Roman" w:hAnsi="Times New Roman"/>
                <w:b/>
                <w:bCs/>
                <w:szCs w:val="24"/>
              </w:rPr>
              <w:t>Saldos Alongados/Indevidos Contas Transitórias – Ativo Não Circulante</w:t>
            </w:r>
          </w:p>
          <w:p w14:paraId="400F53A6" w14:textId="61AD9258" w:rsidR="00C53C56" w:rsidRDefault="00C53C56" w:rsidP="00425053">
            <w:pPr>
              <w:ind w:firstLine="567"/>
              <w:jc w:val="both"/>
              <w:rPr>
                <w:rFonts w:ascii="Times New Roman" w:hAnsi="Times New Roman"/>
                <w:szCs w:val="24"/>
              </w:rPr>
            </w:pPr>
            <w:r>
              <w:rPr>
                <w:rFonts w:ascii="Times New Roman" w:hAnsi="Times New Roman"/>
                <w:szCs w:val="24"/>
              </w:rPr>
              <w:t xml:space="preserve">Em </w:t>
            </w:r>
            <w:r w:rsidR="00E53C3D">
              <w:rPr>
                <w:rFonts w:ascii="Times New Roman" w:hAnsi="Times New Roman"/>
                <w:szCs w:val="24"/>
              </w:rPr>
              <w:t>setembro</w:t>
            </w:r>
            <w:r>
              <w:rPr>
                <w:rFonts w:ascii="Times New Roman" w:hAnsi="Times New Roman"/>
                <w:szCs w:val="24"/>
              </w:rPr>
              <w:t xml:space="preserve"> 2020, o IFRS registrou existência de saldos alongados em contas do Ativo Permanente no</w:t>
            </w:r>
            <w:r w:rsidR="00F93A0F">
              <w:rPr>
                <w:rFonts w:ascii="Times New Roman" w:hAnsi="Times New Roman"/>
                <w:szCs w:val="24"/>
              </w:rPr>
              <w:t>s</w:t>
            </w:r>
            <w:r>
              <w:rPr>
                <w:rFonts w:ascii="Times New Roman" w:hAnsi="Times New Roman"/>
                <w:szCs w:val="24"/>
              </w:rPr>
              <w:t xml:space="preserve"> Campus 158326 Restinga, relativo a obras em andamento construção do bloco administrativo</w:t>
            </w:r>
            <w:r w:rsidR="0059492D">
              <w:rPr>
                <w:rFonts w:ascii="Times New Roman" w:hAnsi="Times New Roman"/>
                <w:szCs w:val="24"/>
              </w:rPr>
              <w:t xml:space="preserve"> e Campus 15873 Rolante relativo a obras em andamento pórtico, subestação de energia, reservatório de água e plataforma </w:t>
            </w:r>
            <w:proofErr w:type="spellStart"/>
            <w:r w:rsidR="0059492D">
              <w:rPr>
                <w:rFonts w:ascii="Times New Roman" w:hAnsi="Times New Roman"/>
                <w:szCs w:val="24"/>
              </w:rPr>
              <w:t>vergical</w:t>
            </w:r>
            <w:proofErr w:type="spellEnd"/>
            <w:r>
              <w:rPr>
                <w:rFonts w:ascii="Times New Roman" w:hAnsi="Times New Roman"/>
                <w:szCs w:val="24"/>
              </w:rPr>
              <w:t xml:space="preserve">. </w:t>
            </w:r>
            <w:r w:rsidR="000217B5" w:rsidRPr="000217B5">
              <w:rPr>
                <w:rFonts w:ascii="Times New Roman" w:hAnsi="Times New Roman"/>
                <w:b/>
                <w:bCs/>
                <w:szCs w:val="24"/>
              </w:rPr>
              <w:t>Providência relatada</w:t>
            </w:r>
            <w:r w:rsidR="000217B5">
              <w:rPr>
                <w:rFonts w:ascii="Times New Roman" w:hAnsi="Times New Roman"/>
                <w:szCs w:val="24"/>
              </w:rPr>
              <w:t>: Efetuada a conferência dos lançamentos contábeis e aguardando a manifestação da DPO sobre os valores divergentes lançados na obra</w:t>
            </w:r>
            <w:r w:rsidR="0059492D">
              <w:rPr>
                <w:rFonts w:ascii="Times New Roman" w:hAnsi="Times New Roman"/>
                <w:szCs w:val="24"/>
              </w:rPr>
              <w:t xml:space="preserve"> no Campus Restinga e baixa pela conclusão das obras da subestação e reservatório no Campus Rolante</w:t>
            </w:r>
            <w:r w:rsidR="000217B5">
              <w:rPr>
                <w:rFonts w:ascii="Times New Roman" w:hAnsi="Times New Roman"/>
                <w:szCs w:val="24"/>
              </w:rPr>
              <w:t>. O registro da restrição é recorrente no Campus 158326 Restinga desde o exercício de 2019.</w:t>
            </w:r>
          </w:p>
          <w:p w14:paraId="27C0E8D8" w14:textId="1F721F67" w:rsidR="008B58CC" w:rsidRDefault="008B58CC" w:rsidP="00425053">
            <w:pPr>
              <w:ind w:firstLine="567"/>
              <w:jc w:val="both"/>
              <w:rPr>
                <w:rFonts w:ascii="Times New Roman" w:hAnsi="Times New Roman"/>
                <w:szCs w:val="24"/>
              </w:rPr>
            </w:pPr>
          </w:p>
          <w:p w14:paraId="1AFCFCB5" w14:textId="77777777" w:rsidR="00F9673F" w:rsidRDefault="008B58CC" w:rsidP="00425053">
            <w:pPr>
              <w:ind w:firstLine="567"/>
              <w:jc w:val="both"/>
              <w:rPr>
                <w:rFonts w:ascii="Times New Roman" w:hAnsi="Times New Roman"/>
                <w:szCs w:val="24"/>
              </w:rPr>
            </w:pPr>
            <w:r w:rsidRPr="006E54DF">
              <w:rPr>
                <w:rFonts w:ascii="Times New Roman" w:hAnsi="Times New Roman"/>
                <w:b/>
                <w:szCs w:val="24"/>
              </w:rPr>
              <w:t>Restrição 634 – Falta avaliação dos bens móveis, imóveis, intangíveis e outros</w:t>
            </w:r>
            <w:r w:rsidRPr="0084590F">
              <w:rPr>
                <w:rFonts w:ascii="Times New Roman" w:hAnsi="Times New Roman"/>
                <w:szCs w:val="24"/>
              </w:rPr>
              <w:t xml:space="preserve">. </w:t>
            </w:r>
          </w:p>
          <w:p w14:paraId="0A1B20B5" w14:textId="77777777" w:rsidR="00F9673F" w:rsidRDefault="00F9673F" w:rsidP="00425053">
            <w:pPr>
              <w:ind w:firstLine="567"/>
              <w:jc w:val="both"/>
              <w:rPr>
                <w:rFonts w:ascii="Times New Roman" w:hAnsi="Times New Roman"/>
                <w:szCs w:val="24"/>
              </w:rPr>
            </w:pPr>
          </w:p>
          <w:p w14:paraId="70432C0C" w14:textId="5D0837C6" w:rsidR="00B33284" w:rsidRDefault="00B33284" w:rsidP="00425053">
            <w:pPr>
              <w:ind w:firstLine="567"/>
              <w:jc w:val="both"/>
              <w:rPr>
                <w:rFonts w:ascii="Times New Roman" w:hAnsi="Times New Roman"/>
                <w:szCs w:val="24"/>
              </w:rPr>
            </w:pPr>
            <w:r>
              <w:rPr>
                <w:rFonts w:ascii="Times New Roman" w:hAnsi="Times New Roman"/>
                <w:szCs w:val="24"/>
              </w:rPr>
              <w:t xml:space="preserve">Até o encerramento do </w:t>
            </w:r>
            <w:r w:rsidR="006A2E46">
              <w:rPr>
                <w:rFonts w:ascii="Times New Roman" w:hAnsi="Times New Roman"/>
                <w:szCs w:val="24"/>
              </w:rPr>
              <w:t>terceiro</w:t>
            </w:r>
            <w:r w:rsidR="002738E2">
              <w:rPr>
                <w:rFonts w:ascii="Times New Roman" w:hAnsi="Times New Roman"/>
                <w:szCs w:val="24"/>
              </w:rPr>
              <w:t xml:space="preserve"> trimestre 2020</w:t>
            </w:r>
            <w:r>
              <w:rPr>
                <w:rFonts w:ascii="Times New Roman" w:hAnsi="Times New Roman"/>
                <w:szCs w:val="24"/>
              </w:rPr>
              <w:t>, o</w:t>
            </w:r>
            <w:r w:rsidR="008B58CC">
              <w:rPr>
                <w:rFonts w:ascii="Times New Roman" w:hAnsi="Times New Roman"/>
                <w:szCs w:val="24"/>
              </w:rPr>
              <w:t xml:space="preserve"> IFRS não realizou a reavaliação de ativos conforme determinações das Normas Brasileiras de Contabilidade Aplicada ao Setor Público, contidas na NBCT 16.10, MCASP 7ª Edição e </w:t>
            </w:r>
            <w:proofErr w:type="spellStart"/>
            <w:r w:rsidR="008B58CC">
              <w:rPr>
                <w:rFonts w:ascii="Times New Roman" w:hAnsi="Times New Roman"/>
                <w:szCs w:val="24"/>
              </w:rPr>
              <w:t>Macrofunção</w:t>
            </w:r>
            <w:proofErr w:type="spellEnd"/>
            <w:r w:rsidR="008B58CC">
              <w:rPr>
                <w:rFonts w:ascii="Times New Roman" w:hAnsi="Times New Roman"/>
                <w:szCs w:val="24"/>
              </w:rPr>
              <w:t xml:space="preserve"> </w:t>
            </w:r>
            <w:proofErr w:type="spellStart"/>
            <w:r w:rsidR="008B58CC">
              <w:rPr>
                <w:rFonts w:ascii="Times New Roman" w:hAnsi="Times New Roman"/>
                <w:szCs w:val="24"/>
              </w:rPr>
              <w:t>Siafi</w:t>
            </w:r>
            <w:proofErr w:type="spellEnd"/>
            <w:r w:rsidR="008B58CC">
              <w:rPr>
                <w:rFonts w:ascii="Times New Roman" w:hAnsi="Times New Roman"/>
                <w:szCs w:val="24"/>
              </w:rPr>
              <w:t xml:space="preserve"> 02.03.35 – Reavaliação e Redução ao Valor Recuperável, </w:t>
            </w:r>
            <w:r>
              <w:rPr>
                <w:rFonts w:ascii="Times New Roman" w:hAnsi="Times New Roman"/>
                <w:szCs w:val="24"/>
              </w:rPr>
              <w:t xml:space="preserve">e </w:t>
            </w:r>
            <w:r w:rsidR="008B58CC">
              <w:rPr>
                <w:rFonts w:ascii="Times New Roman" w:hAnsi="Times New Roman"/>
                <w:szCs w:val="24"/>
              </w:rPr>
              <w:t xml:space="preserve">de acordo com o solicitado no Acórdão 5.603/2017 – TCU – 2ª Câmara. </w:t>
            </w:r>
            <w:r w:rsidRPr="00B33284">
              <w:rPr>
                <w:rFonts w:ascii="Times New Roman" w:hAnsi="Times New Roman"/>
                <w:b/>
                <w:szCs w:val="24"/>
              </w:rPr>
              <w:t>Providências relatadas:</w:t>
            </w:r>
            <w:r>
              <w:rPr>
                <w:rFonts w:ascii="Times New Roman" w:hAnsi="Times New Roman"/>
                <w:szCs w:val="24"/>
              </w:rPr>
              <w:t xml:space="preserve"> a metodologia para reavaliação dos bens móveis no IFRS será revisada no exercício de 2020 e uma Instrução Normativa, ou documento equivalente, será apresentada aos fóruns de dirigentes internos para aplicação da reavaliação após a finalização do inventário de 2019, em andamento na data de 17 de janeiro de 2020 (Ofício nº 06/2020/PROAD/IFRS). Não foram apontados prazos ou apresentado cronograma de ação das providências relatadas e a </w:t>
            </w:r>
            <w:r w:rsidR="009C48A9">
              <w:rPr>
                <w:rFonts w:ascii="Times New Roman" w:hAnsi="Times New Roman"/>
                <w:szCs w:val="24"/>
              </w:rPr>
              <w:t xml:space="preserve">falta de avaliação dos bens móveis, imóveis, intangíveis e outros é recorrente no IFRS, </w:t>
            </w:r>
            <w:r w:rsidR="001D06CA">
              <w:rPr>
                <w:rFonts w:ascii="Times New Roman" w:hAnsi="Times New Roman"/>
                <w:szCs w:val="24"/>
              </w:rPr>
              <w:t>e</w:t>
            </w:r>
            <w:r>
              <w:rPr>
                <w:rFonts w:ascii="Times New Roman" w:hAnsi="Times New Roman"/>
                <w:szCs w:val="24"/>
              </w:rPr>
              <w:t xml:space="preserve"> foi objeto de apontamento na Declaração do Contador do</w:t>
            </w:r>
            <w:r w:rsidR="00294B65">
              <w:rPr>
                <w:rFonts w:ascii="Times New Roman" w:hAnsi="Times New Roman"/>
                <w:szCs w:val="24"/>
              </w:rPr>
              <w:t>s</w:t>
            </w:r>
            <w:r>
              <w:rPr>
                <w:rFonts w:ascii="Times New Roman" w:hAnsi="Times New Roman"/>
                <w:szCs w:val="24"/>
              </w:rPr>
              <w:t xml:space="preserve"> Exercício</w:t>
            </w:r>
            <w:r w:rsidR="00294B65">
              <w:rPr>
                <w:rFonts w:ascii="Times New Roman" w:hAnsi="Times New Roman"/>
                <w:szCs w:val="24"/>
              </w:rPr>
              <w:t>s</w:t>
            </w:r>
            <w:r>
              <w:rPr>
                <w:rFonts w:ascii="Times New Roman" w:hAnsi="Times New Roman"/>
                <w:szCs w:val="24"/>
              </w:rPr>
              <w:t xml:space="preserve"> de </w:t>
            </w:r>
            <w:r w:rsidR="00294B65">
              <w:rPr>
                <w:rFonts w:ascii="Times New Roman" w:hAnsi="Times New Roman"/>
                <w:szCs w:val="24"/>
              </w:rPr>
              <w:t>2016, sem providência administrativa registrada; 2017, com prazo de conclusão prorrogado</w:t>
            </w:r>
            <w:r w:rsidR="005034B1">
              <w:rPr>
                <w:rFonts w:ascii="Times New Roman" w:hAnsi="Times New Roman"/>
                <w:szCs w:val="24"/>
              </w:rPr>
              <w:t xml:space="preserve"> para 31/05/2018 (Portaria nº 1607/2017)</w:t>
            </w:r>
            <w:r w:rsidR="002738E2">
              <w:rPr>
                <w:rFonts w:ascii="Times New Roman" w:hAnsi="Times New Roman"/>
                <w:szCs w:val="24"/>
              </w:rPr>
              <w:t>,</w:t>
            </w:r>
            <w:r w:rsidR="00294B65">
              <w:rPr>
                <w:rFonts w:ascii="Times New Roman" w:hAnsi="Times New Roman"/>
                <w:szCs w:val="24"/>
              </w:rPr>
              <w:t xml:space="preserve"> </w:t>
            </w:r>
            <w:r>
              <w:rPr>
                <w:rFonts w:ascii="Times New Roman" w:hAnsi="Times New Roman"/>
                <w:szCs w:val="24"/>
              </w:rPr>
              <w:t>2018, cuja providência relatada foi de expedir Instrução Normativa específica sobre avaliação dos bens móveis, sem data prevista</w:t>
            </w:r>
            <w:r w:rsidR="002738E2">
              <w:rPr>
                <w:rFonts w:ascii="Times New Roman" w:hAnsi="Times New Roman"/>
                <w:szCs w:val="24"/>
              </w:rPr>
              <w:t xml:space="preserve"> e 2019</w:t>
            </w:r>
            <w:r w:rsidR="00E85EBB">
              <w:rPr>
                <w:rFonts w:ascii="Times New Roman" w:hAnsi="Times New Roman"/>
                <w:szCs w:val="24"/>
              </w:rPr>
              <w:t xml:space="preserve"> sem providência administrativa registrada.</w:t>
            </w:r>
          </w:p>
          <w:p w14:paraId="1FEFE4DB" w14:textId="77777777" w:rsidR="00673CE8" w:rsidRDefault="00673CE8" w:rsidP="00425053">
            <w:pPr>
              <w:ind w:firstLine="567"/>
              <w:jc w:val="both"/>
              <w:rPr>
                <w:rFonts w:ascii="Times New Roman" w:hAnsi="Times New Roman"/>
                <w:szCs w:val="24"/>
              </w:rPr>
            </w:pPr>
          </w:p>
          <w:p w14:paraId="104603CB" w14:textId="77777777" w:rsidR="00B33284" w:rsidRDefault="00B33284" w:rsidP="00425053">
            <w:pPr>
              <w:ind w:firstLine="567"/>
              <w:jc w:val="both"/>
              <w:rPr>
                <w:rFonts w:ascii="Times New Roman" w:hAnsi="Times New Roman"/>
                <w:szCs w:val="24"/>
              </w:rPr>
            </w:pPr>
          </w:p>
          <w:p w14:paraId="5A904455" w14:textId="77777777" w:rsidR="00F9673F" w:rsidRDefault="008B58CC" w:rsidP="00425053">
            <w:pPr>
              <w:ind w:firstLine="567"/>
              <w:jc w:val="both"/>
              <w:rPr>
                <w:rFonts w:ascii="Times New Roman" w:hAnsi="Times New Roman"/>
                <w:szCs w:val="24"/>
              </w:rPr>
            </w:pPr>
            <w:r w:rsidRPr="006E54DF">
              <w:rPr>
                <w:rFonts w:ascii="Times New Roman" w:hAnsi="Times New Roman"/>
                <w:b/>
                <w:szCs w:val="24"/>
              </w:rPr>
              <w:t>Restrição 640 – Saldo contábil de bens móveis não confere com RMB</w:t>
            </w:r>
            <w:r w:rsidRPr="0084590F">
              <w:rPr>
                <w:rFonts w:ascii="Times New Roman" w:hAnsi="Times New Roman"/>
                <w:szCs w:val="24"/>
              </w:rPr>
              <w:t xml:space="preserve">. </w:t>
            </w:r>
          </w:p>
          <w:p w14:paraId="71BA8F57" w14:textId="77777777" w:rsidR="00F9673F" w:rsidRDefault="00F9673F" w:rsidP="00425053">
            <w:pPr>
              <w:ind w:firstLine="567"/>
              <w:jc w:val="both"/>
              <w:rPr>
                <w:rFonts w:ascii="Times New Roman" w:hAnsi="Times New Roman"/>
                <w:szCs w:val="24"/>
              </w:rPr>
            </w:pPr>
          </w:p>
          <w:p w14:paraId="64A9C392" w14:textId="16389FDF" w:rsidR="0004649C" w:rsidRDefault="00571C29" w:rsidP="00425053">
            <w:pPr>
              <w:ind w:firstLine="567"/>
              <w:jc w:val="both"/>
              <w:rPr>
                <w:rFonts w:ascii="Times New Roman" w:hAnsi="Times New Roman"/>
                <w:szCs w:val="24"/>
              </w:rPr>
            </w:pPr>
            <w:r>
              <w:rPr>
                <w:rFonts w:ascii="Times New Roman" w:hAnsi="Times New Roman"/>
                <w:szCs w:val="24"/>
              </w:rPr>
              <w:t xml:space="preserve">Em </w:t>
            </w:r>
            <w:r w:rsidR="006A2E46">
              <w:rPr>
                <w:rFonts w:ascii="Times New Roman" w:hAnsi="Times New Roman"/>
                <w:szCs w:val="24"/>
              </w:rPr>
              <w:t>setembro</w:t>
            </w:r>
            <w:r w:rsidR="00673CE8">
              <w:rPr>
                <w:rFonts w:ascii="Times New Roman" w:hAnsi="Times New Roman"/>
                <w:szCs w:val="24"/>
              </w:rPr>
              <w:t xml:space="preserve"> 2020</w:t>
            </w:r>
            <w:r>
              <w:rPr>
                <w:rFonts w:ascii="Times New Roman" w:hAnsi="Times New Roman"/>
                <w:szCs w:val="24"/>
              </w:rPr>
              <w:t xml:space="preserve">, o IFRS registrou saldo divergente do Relatório de Movimentação de Bens Móveis em </w:t>
            </w:r>
            <w:proofErr w:type="gramStart"/>
            <w:r w:rsidR="006A2E46">
              <w:rPr>
                <w:rFonts w:ascii="Times New Roman" w:hAnsi="Times New Roman"/>
                <w:szCs w:val="24"/>
              </w:rPr>
              <w:t>12</w:t>
            </w:r>
            <w:r w:rsidR="00650A4D">
              <w:rPr>
                <w:rFonts w:ascii="Times New Roman" w:hAnsi="Times New Roman"/>
                <w:szCs w:val="24"/>
              </w:rPr>
              <w:t xml:space="preserve"> </w:t>
            </w:r>
            <w:r w:rsidR="00FA50D8">
              <w:rPr>
                <w:rFonts w:ascii="Times New Roman" w:hAnsi="Times New Roman"/>
                <w:szCs w:val="24"/>
              </w:rPr>
              <w:t xml:space="preserve"> </w:t>
            </w:r>
            <w:r>
              <w:rPr>
                <w:rFonts w:ascii="Times New Roman" w:hAnsi="Times New Roman"/>
                <w:szCs w:val="24"/>
              </w:rPr>
              <w:t>Unidades</w:t>
            </w:r>
            <w:proofErr w:type="gramEnd"/>
            <w:r>
              <w:rPr>
                <w:rFonts w:ascii="Times New Roman" w:hAnsi="Times New Roman"/>
                <w:szCs w:val="24"/>
              </w:rPr>
              <w:t xml:space="preserve">: </w:t>
            </w:r>
            <w:r w:rsidR="00716110">
              <w:rPr>
                <w:rFonts w:ascii="Times New Roman" w:hAnsi="Times New Roman"/>
                <w:szCs w:val="24"/>
              </w:rPr>
              <w:t>158141 Reitoria, 158261 Porto Alegre</w:t>
            </w:r>
            <w:r w:rsidR="00716110" w:rsidRPr="00FA50D8">
              <w:rPr>
                <w:rFonts w:ascii="Times New Roman" w:hAnsi="Times New Roman"/>
                <w:szCs w:val="24"/>
              </w:rPr>
              <w:t xml:space="preserve">, </w:t>
            </w:r>
            <w:r w:rsidR="006A2E46">
              <w:rPr>
                <w:rFonts w:ascii="Times New Roman" w:hAnsi="Times New Roman"/>
                <w:szCs w:val="24"/>
              </w:rPr>
              <w:t xml:space="preserve">158263 Sertão, </w:t>
            </w:r>
            <w:r w:rsidR="00673CE8">
              <w:rPr>
                <w:rFonts w:ascii="Times New Roman" w:hAnsi="Times New Roman"/>
                <w:szCs w:val="24"/>
              </w:rPr>
              <w:t xml:space="preserve">158264 Bento Gonçalves,  </w:t>
            </w:r>
            <w:r w:rsidR="006A2E46">
              <w:rPr>
                <w:rFonts w:ascii="Times New Roman" w:hAnsi="Times New Roman"/>
                <w:szCs w:val="24"/>
              </w:rPr>
              <w:t xml:space="preserve">158327 Osório, 158328 Caxias do Sul, 158675 Ibirubá, </w:t>
            </w:r>
            <w:r w:rsidR="00716110">
              <w:rPr>
                <w:rFonts w:ascii="Times New Roman" w:hAnsi="Times New Roman"/>
                <w:szCs w:val="24"/>
              </w:rPr>
              <w:t xml:space="preserve">158676 Feliz, 158743 Rolante, </w:t>
            </w:r>
            <w:r w:rsidR="00673CE8">
              <w:rPr>
                <w:rFonts w:ascii="Times New Roman" w:hAnsi="Times New Roman"/>
                <w:szCs w:val="24"/>
              </w:rPr>
              <w:t xml:space="preserve">158744 Vacaria, </w:t>
            </w:r>
            <w:r w:rsidR="00716110">
              <w:rPr>
                <w:rFonts w:ascii="Times New Roman" w:hAnsi="Times New Roman"/>
                <w:szCs w:val="24"/>
              </w:rPr>
              <w:t>158745 Alvorada e 158746 Viamão</w:t>
            </w:r>
            <w:r w:rsidR="008821E5">
              <w:rPr>
                <w:rFonts w:ascii="Times New Roman" w:hAnsi="Times New Roman"/>
                <w:szCs w:val="24"/>
              </w:rPr>
              <w:t xml:space="preserve">. </w:t>
            </w:r>
            <w:r w:rsidR="008821E5" w:rsidRPr="008821E5">
              <w:rPr>
                <w:rFonts w:ascii="Times New Roman" w:hAnsi="Times New Roman"/>
                <w:szCs w:val="24"/>
              </w:rPr>
              <w:t xml:space="preserve">A divergência total do saldo de bens móveis e intangíveis no SIAFI e o saldo de bens móveis e intangíveis no controle patrimonial, em </w:t>
            </w:r>
            <w:r w:rsidR="004210AF">
              <w:rPr>
                <w:rFonts w:ascii="Times New Roman" w:hAnsi="Times New Roman"/>
                <w:szCs w:val="24"/>
              </w:rPr>
              <w:t>30/09</w:t>
            </w:r>
            <w:r w:rsidR="00673CE8">
              <w:rPr>
                <w:rFonts w:ascii="Times New Roman" w:hAnsi="Times New Roman"/>
                <w:szCs w:val="24"/>
              </w:rPr>
              <w:t>/2020</w:t>
            </w:r>
            <w:r w:rsidR="008821E5" w:rsidRPr="008821E5">
              <w:rPr>
                <w:rFonts w:ascii="Times New Roman" w:hAnsi="Times New Roman"/>
                <w:szCs w:val="24"/>
              </w:rPr>
              <w:t xml:space="preserve">, é de R$ </w:t>
            </w:r>
            <w:r w:rsidR="006433CD">
              <w:rPr>
                <w:rFonts w:ascii="Times New Roman" w:hAnsi="Times New Roman"/>
                <w:szCs w:val="24"/>
              </w:rPr>
              <w:t>4.</w:t>
            </w:r>
            <w:r w:rsidR="008B5AE4">
              <w:rPr>
                <w:rFonts w:ascii="Times New Roman" w:hAnsi="Times New Roman"/>
                <w:szCs w:val="24"/>
              </w:rPr>
              <w:t>748.621,82</w:t>
            </w:r>
            <w:r w:rsidR="008821E5">
              <w:rPr>
                <w:rFonts w:ascii="Times New Roman" w:hAnsi="Times New Roman"/>
                <w:szCs w:val="24"/>
              </w:rPr>
              <w:t>.</w:t>
            </w:r>
            <w:r w:rsidR="00716110">
              <w:rPr>
                <w:rFonts w:ascii="Times New Roman" w:hAnsi="Times New Roman"/>
                <w:szCs w:val="24"/>
              </w:rPr>
              <w:t xml:space="preserve"> </w:t>
            </w:r>
            <w:r w:rsidR="00716110" w:rsidRPr="00716110">
              <w:rPr>
                <w:rFonts w:ascii="Times New Roman" w:hAnsi="Times New Roman"/>
                <w:b/>
                <w:szCs w:val="24"/>
              </w:rPr>
              <w:t>Providências relatadas:</w:t>
            </w:r>
            <w:r w:rsidR="00716110">
              <w:rPr>
                <w:rFonts w:ascii="Times New Roman" w:hAnsi="Times New Roman"/>
                <w:szCs w:val="24"/>
              </w:rPr>
              <w:t xml:space="preserve"> A Direção da Unidade 158141 Reitoria manifestou previsão de saneamento das divergências para após o encerramento do inventário de 20</w:t>
            </w:r>
            <w:r w:rsidR="009C48A9">
              <w:rPr>
                <w:rFonts w:ascii="Times New Roman" w:hAnsi="Times New Roman"/>
                <w:szCs w:val="24"/>
              </w:rPr>
              <w:t>19 e</w:t>
            </w:r>
            <w:r w:rsidR="00B31A11">
              <w:rPr>
                <w:rFonts w:ascii="Times New Roman" w:hAnsi="Times New Roman"/>
                <w:szCs w:val="24"/>
              </w:rPr>
              <w:t xml:space="preserve"> a Direção do campus 158745</w:t>
            </w:r>
            <w:r w:rsidR="008821E5">
              <w:rPr>
                <w:rFonts w:ascii="Times New Roman" w:hAnsi="Times New Roman"/>
                <w:szCs w:val="24"/>
              </w:rPr>
              <w:t xml:space="preserve"> enviará para contabilidade, até 17/01/2020, os processos de prestação de contas, de doação e de pagamento, para os ajustes necessários. As demais Diretorias não manifestaram ações diferentes </w:t>
            </w:r>
            <w:r w:rsidR="00246CFE">
              <w:rPr>
                <w:rFonts w:ascii="Times New Roman" w:hAnsi="Times New Roman"/>
                <w:szCs w:val="24"/>
              </w:rPr>
              <w:t>daquelas já adotadas nos períodos/exercícios anteriores</w:t>
            </w:r>
            <w:r w:rsidR="008821E5">
              <w:rPr>
                <w:rFonts w:ascii="Times New Roman" w:hAnsi="Times New Roman"/>
                <w:szCs w:val="24"/>
              </w:rPr>
              <w:t xml:space="preserve"> e/ou cronograma efetivo de ação para as providências relatadas. O saldo divergente do Relatório de Movimentação de </w:t>
            </w:r>
            <w:r w:rsidR="009C48A9">
              <w:rPr>
                <w:rFonts w:ascii="Times New Roman" w:hAnsi="Times New Roman"/>
                <w:szCs w:val="24"/>
              </w:rPr>
              <w:t>Bens Móveis</w:t>
            </w:r>
            <w:r w:rsidR="008821E5">
              <w:rPr>
                <w:rFonts w:ascii="Times New Roman" w:hAnsi="Times New Roman"/>
                <w:szCs w:val="24"/>
              </w:rPr>
              <w:t xml:space="preserve"> é recorrente</w:t>
            </w:r>
            <w:r w:rsidR="005034B1">
              <w:rPr>
                <w:rFonts w:ascii="Times New Roman" w:hAnsi="Times New Roman"/>
                <w:szCs w:val="24"/>
              </w:rPr>
              <w:t xml:space="preserve"> no campus 158745 Alvorada, </w:t>
            </w:r>
            <w:r w:rsidR="001D06CA">
              <w:rPr>
                <w:rFonts w:ascii="Times New Roman" w:hAnsi="Times New Roman"/>
                <w:szCs w:val="24"/>
              </w:rPr>
              <w:t>e</w:t>
            </w:r>
            <w:r w:rsidR="005034B1">
              <w:rPr>
                <w:rFonts w:ascii="Times New Roman" w:hAnsi="Times New Roman"/>
                <w:szCs w:val="24"/>
              </w:rPr>
              <w:t xml:space="preserve"> foi objeto de apontamento na declaração do Contador dos Exercícios de 2017</w:t>
            </w:r>
            <w:r w:rsidR="00730DA8">
              <w:rPr>
                <w:rFonts w:ascii="Times New Roman" w:hAnsi="Times New Roman"/>
                <w:szCs w:val="24"/>
              </w:rPr>
              <w:t>,</w:t>
            </w:r>
            <w:r w:rsidR="005034B1">
              <w:rPr>
                <w:rFonts w:ascii="Times New Roman" w:hAnsi="Times New Roman"/>
                <w:szCs w:val="24"/>
              </w:rPr>
              <w:t xml:space="preserve"> 2018</w:t>
            </w:r>
            <w:r w:rsidR="00730DA8">
              <w:rPr>
                <w:rFonts w:ascii="Times New Roman" w:hAnsi="Times New Roman"/>
                <w:szCs w:val="24"/>
              </w:rPr>
              <w:t xml:space="preserve"> e 2019</w:t>
            </w:r>
            <w:r w:rsidR="005034B1">
              <w:rPr>
                <w:rFonts w:ascii="Times New Roman" w:hAnsi="Times New Roman"/>
                <w:szCs w:val="24"/>
              </w:rPr>
              <w:t xml:space="preserve"> e;</w:t>
            </w:r>
            <w:r w:rsidR="009C48A9">
              <w:rPr>
                <w:rFonts w:ascii="Times New Roman" w:hAnsi="Times New Roman"/>
                <w:szCs w:val="24"/>
              </w:rPr>
              <w:t xml:space="preserve"> </w:t>
            </w:r>
            <w:r w:rsidR="005034B1">
              <w:rPr>
                <w:rFonts w:ascii="Times New Roman" w:hAnsi="Times New Roman"/>
                <w:szCs w:val="24"/>
              </w:rPr>
              <w:t>nos campi</w:t>
            </w:r>
            <w:r w:rsidR="009C48A9">
              <w:rPr>
                <w:rFonts w:ascii="Times New Roman" w:hAnsi="Times New Roman"/>
                <w:szCs w:val="24"/>
              </w:rPr>
              <w:t xml:space="preserve"> 158261 Porto Alegre</w:t>
            </w:r>
            <w:r w:rsidR="005034B1">
              <w:rPr>
                <w:rFonts w:ascii="Times New Roman" w:hAnsi="Times New Roman"/>
                <w:szCs w:val="24"/>
              </w:rPr>
              <w:t xml:space="preserve"> e 158676 Feliz, </w:t>
            </w:r>
            <w:r w:rsidR="008821E5">
              <w:rPr>
                <w:rFonts w:ascii="Times New Roman" w:hAnsi="Times New Roman"/>
                <w:szCs w:val="24"/>
              </w:rPr>
              <w:t>objeto de apontamento na Declaração do Contador do</w:t>
            </w:r>
            <w:r w:rsidR="005034B1">
              <w:rPr>
                <w:rFonts w:ascii="Times New Roman" w:hAnsi="Times New Roman"/>
                <w:szCs w:val="24"/>
              </w:rPr>
              <w:t>s</w:t>
            </w:r>
            <w:r w:rsidR="008821E5">
              <w:rPr>
                <w:rFonts w:ascii="Times New Roman" w:hAnsi="Times New Roman"/>
                <w:szCs w:val="24"/>
              </w:rPr>
              <w:t xml:space="preserve"> Exercício</w:t>
            </w:r>
            <w:r w:rsidR="005034B1">
              <w:rPr>
                <w:rFonts w:ascii="Times New Roman" w:hAnsi="Times New Roman"/>
                <w:szCs w:val="24"/>
              </w:rPr>
              <w:t>s</w:t>
            </w:r>
            <w:r w:rsidR="008821E5">
              <w:rPr>
                <w:rFonts w:ascii="Times New Roman" w:hAnsi="Times New Roman"/>
                <w:szCs w:val="24"/>
              </w:rPr>
              <w:t xml:space="preserve"> de</w:t>
            </w:r>
            <w:r w:rsidR="005034B1">
              <w:rPr>
                <w:rFonts w:ascii="Times New Roman" w:hAnsi="Times New Roman"/>
                <w:szCs w:val="24"/>
              </w:rPr>
              <w:t xml:space="preserve"> 2016, 2017</w:t>
            </w:r>
            <w:r w:rsidR="00730DA8">
              <w:rPr>
                <w:rFonts w:ascii="Times New Roman" w:hAnsi="Times New Roman"/>
                <w:szCs w:val="24"/>
              </w:rPr>
              <w:t>,</w:t>
            </w:r>
            <w:r w:rsidR="008821E5">
              <w:rPr>
                <w:rFonts w:ascii="Times New Roman" w:hAnsi="Times New Roman"/>
                <w:szCs w:val="24"/>
              </w:rPr>
              <w:t xml:space="preserve"> 2018</w:t>
            </w:r>
            <w:r w:rsidR="00730DA8">
              <w:rPr>
                <w:rFonts w:ascii="Times New Roman" w:hAnsi="Times New Roman"/>
                <w:szCs w:val="24"/>
              </w:rPr>
              <w:t xml:space="preserve"> e 2019.</w:t>
            </w:r>
          </w:p>
          <w:p w14:paraId="22D30D4A" w14:textId="77777777" w:rsidR="004A5832" w:rsidRDefault="004A5832" w:rsidP="00425053">
            <w:pPr>
              <w:ind w:firstLine="567"/>
              <w:jc w:val="both"/>
              <w:rPr>
                <w:rFonts w:ascii="Times New Roman" w:hAnsi="Times New Roman"/>
                <w:b/>
                <w:szCs w:val="24"/>
              </w:rPr>
            </w:pPr>
          </w:p>
          <w:p w14:paraId="2023F7F6" w14:textId="77777777" w:rsidR="00F9673F" w:rsidRDefault="008B58CC" w:rsidP="00425053">
            <w:pPr>
              <w:ind w:firstLine="567"/>
              <w:jc w:val="both"/>
              <w:rPr>
                <w:rFonts w:ascii="Times New Roman" w:hAnsi="Times New Roman"/>
                <w:szCs w:val="24"/>
              </w:rPr>
            </w:pPr>
            <w:r w:rsidRPr="00E047C1">
              <w:rPr>
                <w:rFonts w:ascii="Times New Roman" w:hAnsi="Times New Roman"/>
                <w:b/>
                <w:szCs w:val="24"/>
              </w:rPr>
              <w:t>Restrição 642 – Falta ou evolução incompatível da depreciação do ativo imobilizado</w:t>
            </w:r>
            <w:r>
              <w:rPr>
                <w:rFonts w:ascii="Times New Roman" w:hAnsi="Times New Roman"/>
                <w:szCs w:val="24"/>
              </w:rPr>
              <w:t xml:space="preserve">. </w:t>
            </w:r>
          </w:p>
          <w:p w14:paraId="476E3B4C" w14:textId="77777777" w:rsidR="00F9673F" w:rsidRDefault="00F9673F" w:rsidP="00425053">
            <w:pPr>
              <w:ind w:firstLine="567"/>
              <w:jc w:val="both"/>
              <w:rPr>
                <w:rFonts w:ascii="Times New Roman" w:hAnsi="Times New Roman"/>
                <w:szCs w:val="24"/>
              </w:rPr>
            </w:pPr>
          </w:p>
          <w:p w14:paraId="1AB00E8F" w14:textId="1F27EED6" w:rsidR="0004649C" w:rsidRDefault="00246CFE" w:rsidP="00425053">
            <w:pPr>
              <w:ind w:firstLine="567"/>
              <w:jc w:val="both"/>
              <w:rPr>
                <w:rFonts w:ascii="Times New Roman" w:hAnsi="Times New Roman"/>
                <w:szCs w:val="24"/>
              </w:rPr>
            </w:pPr>
            <w:r>
              <w:rPr>
                <w:rFonts w:ascii="Times New Roman" w:hAnsi="Times New Roman"/>
                <w:szCs w:val="24"/>
              </w:rPr>
              <w:t xml:space="preserve">Até </w:t>
            </w:r>
            <w:r w:rsidR="0015202F">
              <w:rPr>
                <w:rFonts w:ascii="Times New Roman" w:hAnsi="Times New Roman"/>
                <w:szCs w:val="24"/>
              </w:rPr>
              <w:t>setembro</w:t>
            </w:r>
            <w:r w:rsidR="00930A4D">
              <w:rPr>
                <w:rFonts w:ascii="Times New Roman" w:hAnsi="Times New Roman"/>
                <w:szCs w:val="24"/>
              </w:rPr>
              <w:t xml:space="preserve"> 2020</w:t>
            </w:r>
            <w:r>
              <w:rPr>
                <w:rFonts w:ascii="Times New Roman" w:hAnsi="Times New Roman"/>
                <w:szCs w:val="24"/>
              </w:rPr>
              <w:t xml:space="preserve">, o IFRS registrou evolução incompatível com o cálculo da depreciação do ativo imobilizado para todas as Unidades. </w:t>
            </w:r>
            <w:r w:rsidRPr="00246CFE">
              <w:rPr>
                <w:rFonts w:ascii="Times New Roman" w:hAnsi="Times New Roman"/>
                <w:b/>
                <w:szCs w:val="24"/>
              </w:rPr>
              <w:t>Providências relatadas:</w:t>
            </w:r>
            <w:r>
              <w:rPr>
                <w:rFonts w:ascii="Times New Roman" w:hAnsi="Times New Roman"/>
                <w:szCs w:val="24"/>
              </w:rPr>
              <w:t xml:space="preserve"> Até a data de 17 de janeiro de 2020</w:t>
            </w:r>
            <w:r w:rsidR="009C48A9">
              <w:rPr>
                <w:rFonts w:ascii="Times New Roman" w:hAnsi="Times New Roman"/>
                <w:szCs w:val="24"/>
              </w:rPr>
              <w:t xml:space="preserve"> (Ofício nº 06/2020/PROAD/IFRS)</w:t>
            </w:r>
            <w:r>
              <w:rPr>
                <w:rFonts w:ascii="Times New Roman" w:hAnsi="Times New Roman"/>
                <w:szCs w:val="24"/>
              </w:rPr>
              <w:t xml:space="preserve">, a </w:t>
            </w:r>
            <w:proofErr w:type="spellStart"/>
            <w:r>
              <w:rPr>
                <w:rFonts w:ascii="Times New Roman" w:hAnsi="Times New Roman"/>
                <w:szCs w:val="24"/>
              </w:rPr>
              <w:t>Pró-reitoria</w:t>
            </w:r>
            <w:proofErr w:type="spellEnd"/>
            <w:r>
              <w:rPr>
                <w:rFonts w:ascii="Times New Roman" w:hAnsi="Times New Roman"/>
                <w:szCs w:val="24"/>
              </w:rPr>
              <w:t xml:space="preserve"> de Administração </w:t>
            </w:r>
            <w:r w:rsidR="006B1C3A" w:rsidRPr="00484257">
              <w:rPr>
                <w:rFonts w:ascii="Times New Roman" w:hAnsi="Times New Roman"/>
                <w:color w:val="000000" w:themeColor="text1"/>
                <w:szCs w:val="24"/>
              </w:rPr>
              <w:t>informa que não identificou e não saneou o sistema de registro patrimonial SIPAC</w:t>
            </w:r>
            <w:r w:rsidR="00484257" w:rsidRPr="00484257">
              <w:rPr>
                <w:rFonts w:ascii="Times New Roman" w:hAnsi="Times New Roman"/>
                <w:color w:val="000000" w:themeColor="text1"/>
                <w:szCs w:val="24"/>
              </w:rPr>
              <w:t>.</w:t>
            </w:r>
            <w:r>
              <w:rPr>
                <w:rFonts w:ascii="Times New Roman" w:hAnsi="Times New Roman"/>
                <w:szCs w:val="24"/>
              </w:rPr>
              <w:t xml:space="preserve"> A evolução incompatível com o cálculo da depreciação do ativo imobilizado é recorrente</w:t>
            </w:r>
            <w:r w:rsidR="009C48A9">
              <w:rPr>
                <w:rFonts w:ascii="Times New Roman" w:hAnsi="Times New Roman"/>
                <w:szCs w:val="24"/>
              </w:rPr>
              <w:t xml:space="preserve"> em todas as Unidades do IFRS</w:t>
            </w:r>
            <w:r>
              <w:rPr>
                <w:rFonts w:ascii="Times New Roman" w:hAnsi="Times New Roman"/>
                <w:szCs w:val="24"/>
              </w:rPr>
              <w:t xml:space="preserve">, </w:t>
            </w:r>
            <w:r w:rsidR="001D06CA">
              <w:rPr>
                <w:rFonts w:ascii="Times New Roman" w:hAnsi="Times New Roman"/>
                <w:szCs w:val="24"/>
              </w:rPr>
              <w:t>e</w:t>
            </w:r>
            <w:r>
              <w:rPr>
                <w:rFonts w:ascii="Times New Roman" w:hAnsi="Times New Roman"/>
                <w:szCs w:val="24"/>
              </w:rPr>
              <w:t xml:space="preserve"> foi objeto de apontamento na Declaração do Contador do</w:t>
            </w:r>
            <w:r w:rsidR="00F63FD2">
              <w:rPr>
                <w:rFonts w:ascii="Times New Roman" w:hAnsi="Times New Roman"/>
                <w:szCs w:val="24"/>
              </w:rPr>
              <w:t>s</w:t>
            </w:r>
            <w:r>
              <w:rPr>
                <w:rFonts w:ascii="Times New Roman" w:hAnsi="Times New Roman"/>
                <w:szCs w:val="24"/>
              </w:rPr>
              <w:t xml:space="preserve"> Exercício</w:t>
            </w:r>
            <w:r w:rsidR="00F63FD2">
              <w:rPr>
                <w:rFonts w:ascii="Times New Roman" w:hAnsi="Times New Roman"/>
                <w:szCs w:val="24"/>
              </w:rPr>
              <w:t>s</w:t>
            </w:r>
            <w:r>
              <w:rPr>
                <w:rFonts w:ascii="Times New Roman" w:hAnsi="Times New Roman"/>
                <w:szCs w:val="24"/>
              </w:rPr>
              <w:t xml:space="preserve"> de </w:t>
            </w:r>
            <w:r w:rsidR="00F63FD2">
              <w:rPr>
                <w:rFonts w:ascii="Times New Roman" w:hAnsi="Times New Roman"/>
                <w:szCs w:val="24"/>
              </w:rPr>
              <w:t>2016, 2017</w:t>
            </w:r>
            <w:r w:rsidR="00930A4D">
              <w:rPr>
                <w:rFonts w:ascii="Times New Roman" w:hAnsi="Times New Roman"/>
                <w:szCs w:val="24"/>
              </w:rPr>
              <w:t>,</w:t>
            </w:r>
            <w:r w:rsidR="00F63FD2">
              <w:rPr>
                <w:rFonts w:ascii="Times New Roman" w:hAnsi="Times New Roman"/>
                <w:szCs w:val="24"/>
              </w:rPr>
              <w:t xml:space="preserve"> </w:t>
            </w:r>
            <w:r>
              <w:rPr>
                <w:rFonts w:ascii="Times New Roman" w:hAnsi="Times New Roman"/>
                <w:szCs w:val="24"/>
              </w:rPr>
              <w:t>2018</w:t>
            </w:r>
            <w:r w:rsidR="00930A4D">
              <w:rPr>
                <w:rFonts w:ascii="Times New Roman" w:hAnsi="Times New Roman"/>
                <w:szCs w:val="24"/>
              </w:rPr>
              <w:t xml:space="preserve"> e 2019.</w:t>
            </w:r>
          </w:p>
          <w:p w14:paraId="61CD9DAD" w14:textId="36D35D7D" w:rsidR="004A5832" w:rsidRDefault="004A5832" w:rsidP="00425053">
            <w:pPr>
              <w:ind w:firstLine="567"/>
              <w:jc w:val="both"/>
              <w:rPr>
                <w:rFonts w:ascii="Times New Roman" w:hAnsi="Times New Roman"/>
                <w:szCs w:val="24"/>
              </w:rPr>
            </w:pPr>
          </w:p>
          <w:p w14:paraId="751496B7" w14:textId="77777777" w:rsidR="00F9673F" w:rsidRDefault="004A5832" w:rsidP="00425053">
            <w:pPr>
              <w:ind w:firstLine="567"/>
              <w:jc w:val="both"/>
              <w:rPr>
                <w:rFonts w:ascii="Times New Roman" w:hAnsi="Times New Roman"/>
                <w:szCs w:val="24"/>
              </w:rPr>
            </w:pPr>
            <w:r>
              <w:rPr>
                <w:rFonts w:ascii="Times New Roman" w:hAnsi="Times New Roman"/>
                <w:b/>
              </w:rPr>
              <w:lastRenderedPageBreak/>
              <w:t xml:space="preserve">Restrição 643 – </w:t>
            </w:r>
            <w:r w:rsidR="008821E5" w:rsidRPr="00E047C1">
              <w:rPr>
                <w:rFonts w:ascii="Times New Roman" w:hAnsi="Times New Roman"/>
                <w:b/>
                <w:szCs w:val="24"/>
              </w:rPr>
              <w:t>Falta ou evolução incompatível da amortização do intangível</w:t>
            </w:r>
            <w:r w:rsidR="008821E5">
              <w:rPr>
                <w:rFonts w:ascii="Times New Roman" w:hAnsi="Times New Roman"/>
                <w:szCs w:val="24"/>
              </w:rPr>
              <w:t>.</w:t>
            </w:r>
            <w:r w:rsidR="00246CFE">
              <w:rPr>
                <w:rFonts w:ascii="Times New Roman" w:hAnsi="Times New Roman"/>
                <w:szCs w:val="24"/>
              </w:rPr>
              <w:t xml:space="preserve"> </w:t>
            </w:r>
          </w:p>
          <w:p w14:paraId="7A64DA0B" w14:textId="77777777" w:rsidR="00F9673F" w:rsidRDefault="00F9673F" w:rsidP="00425053">
            <w:pPr>
              <w:ind w:firstLine="567"/>
              <w:jc w:val="both"/>
              <w:rPr>
                <w:rFonts w:ascii="Times New Roman" w:hAnsi="Times New Roman"/>
                <w:szCs w:val="24"/>
              </w:rPr>
            </w:pPr>
          </w:p>
          <w:p w14:paraId="65B64406" w14:textId="4879C8BE" w:rsidR="004A5832" w:rsidRDefault="00246CFE" w:rsidP="00425053">
            <w:pPr>
              <w:ind w:firstLine="567"/>
              <w:jc w:val="both"/>
              <w:rPr>
                <w:rFonts w:ascii="Times New Roman" w:hAnsi="Times New Roman"/>
                <w:szCs w:val="24"/>
              </w:rPr>
            </w:pPr>
            <w:r>
              <w:rPr>
                <w:rFonts w:ascii="Times New Roman" w:hAnsi="Times New Roman"/>
                <w:szCs w:val="24"/>
              </w:rPr>
              <w:t xml:space="preserve">Até </w:t>
            </w:r>
            <w:r w:rsidR="0015202F">
              <w:rPr>
                <w:rFonts w:ascii="Times New Roman" w:hAnsi="Times New Roman"/>
                <w:szCs w:val="24"/>
              </w:rPr>
              <w:t>setembro</w:t>
            </w:r>
            <w:r w:rsidR="00930A4D">
              <w:rPr>
                <w:rFonts w:ascii="Times New Roman" w:hAnsi="Times New Roman"/>
                <w:szCs w:val="24"/>
              </w:rPr>
              <w:t xml:space="preserve"> 2020</w:t>
            </w:r>
            <w:r>
              <w:rPr>
                <w:rFonts w:ascii="Times New Roman" w:hAnsi="Times New Roman"/>
                <w:szCs w:val="24"/>
              </w:rPr>
              <w:t xml:space="preserve">, o IFRS registrou evolução incompatível com o cálculo da amortização do intangível para todas as Unidades com saldo amortizável. </w:t>
            </w:r>
            <w:r w:rsidRPr="00246CFE">
              <w:rPr>
                <w:rFonts w:ascii="Times New Roman" w:hAnsi="Times New Roman"/>
                <w:b/>
                <w:szCs w:val="24"/>
              </w:rPr>
              <w:t>Providências relatadas:</w:t>
            </w:r>
            <w:r>
              <w:rPr>
                <w:rFonts w:ascii="Times New Roman" w:hAnsi="Times New Roman"/>
                <w:szCs w:val="24"/>
              </w:rPr>
              <w:t xml:space="preserve"> equivalente à restrição 642.</w:t>
            </w:r>
            <w:r w:rsidR="009C48A9">
              <w:rPr>
                <w:rFonts w:ascii="Times New Roman" w:hAnsi="Times New Roman"/>
                <w:szCs w:val="24"/>
              </w:rPr>
              <w:t xml:space="preserve"> A evolução incompatível com o cálculo da amortização do intangível é recorrente em todas as Unidades do IFRS, </w:t>
            </w:r>
            <w:r w:rsidR="001D06CA">
              <w:rPr>
                <w:rFonts w:ascii="Times New Roman" w:hAnsi="Times New Roman"/>
                <w:szCs w:val="24"/>
              </w:rPr>
              <w:t>e</w:t>
            </w:r>
            <w:r w:rsidR="009C48A9">
              <w:rPr>
                <w:rFonts w:ascii="Times New Roman" w:hAnsi="Times New Roman"/>
                <w:szCs w:val="24"/>
              </w:rPr>
              <w:t xml:space="preserve"> foi objeto de apontamento na Declaração do Contador do</w:t>
            </w:r>
            <w:r w:rsidR="00F63FD2">
              <w:rPr>
                <w:rFonts w:ascii="Times New Roman" w:hAnsi="Times New Roman"/>
                <w:szCs w:val="24"/>
              </w:rPr>
              <w:t>s</w:t>
            </w:r>
            <w:r w:rsidR="009C48A9">
              <w:rPr>
                <w:rFonts w:ascii="Times New Roman" w:hAnsi="Times New Roman"/>
                <w:szCs w:val="24"/>
              </w:rPr>
              <w:t xml:space="preserve"> Exercício</w:t>
            </w:r>
            <w:r w:rsidR="00F63FD2">
              <w:rPr>
                <w:rFonts w:ascii="Times New Roman" w:hAnsi="Times New Roman"/>
                <w:szCs w:val="24"/>
              </w:rPr>
              <w:t>s</w:t>
            </w:r>
            <w:r w:rsidR="009C48A9">
              <w:rPr>
                <w:rFonts w:ascii="Times New Roman" w:hAnsi="Times New Roman"/>
                <w:szCs w:val="24"/>
              </w:rPr>
              <w:t xml:space="preserve"> de</w:t>
            </w:r>
            <w:r w:rsidR="00F63FD2">
              <w:rPr>
                <w:rFonts w:ascii="Times New Roman" w:hAnsi="Times New Roman"/>
                <w:szCs w:val="24"/>
              </w:rPr>
              <w:t xml:space="preserve"> 2016, 2017</w:t>
            </w:r>
            <w:r w:rsidR="00930A4D">
              <w:rPr>
                <w:rFonts w:ascii="Times New Roman" w:hAnsi="Times New Roman"/>
                <w:szCs w:val="24"/>
              </w:rPr>
              <w:t xml:space="preserve">, </w:t>
            </w:r>
            <w:r w:rsidR="009C48A9">
              <w:rPr>
                <w:rFonts w:ascii="Times New Roman" w:hAnsi="Times New Roman"/>
                <w:szCs w:val="24"/>
              </w:rPr>
              <w:t>2018</w:t>
            </w:r>
            <w:r w:rsidR="00930A4D">
              <w:rPr>
                <w:rFonts w:ascii="Times New Roman" w:hAnsi="Times New Roman"/>
                <w:szCs w:val="24"/>
              </w:rPr>
              <w:t xml:space="preserve"> e 2019.</w:t>
            </w:r>
          </w:p>
          <w:p w14:paraId="603B977D" w14:textId="77777777" w:rsidR="006433CD" w:rsidRDefault="006433CD" w:rsidP="00425053">
            <w:pPr>
              <w:ind w:firstLine="567"/>
              <w:jc w:val="both"/>
              <w:rPr>
                <w:rFonts w:ascii="Times New Roman" w:hAnsi="Times New Roman"/>
                <w:b/>
              </w:rPr>
            </w:pPr>
          </w:p>
          <w:p w14:paraId="00506655" w14:textId="77777777" w:rsidR="004A5832" w:rsidRDefault="004A5832" w:rsidP="00425053">
            <w:pPr>
              <w:ind w:firstLine="567"/>
              <w:jc w:val="both"/>
              <w:rPr>
                <w:rFonts w:ascii="Times New Roman" w:hAnsi="Times New Roman"/>
                <w:szCs w:val="24"/>
              </w:rPr>
            </w:pPr>
          </w:p>
          <w:p w14:paraId="0BDCA1C7" w14:textId="77777777" w:rsidR="00F9673F" w:rsidRDefault="008B58CC" w:rsidP="00425053">
            <w:pPr>
              <w:ind w:firstLine="567"/>
              <w:jc w:val="both"/>
              <w:rPr>
                <w:rFonts w:ascii="Times New Roman" w:hAnsi="Times New Roman"/>
                <w:szCs w:val="24"/>
              </w:rPr>
            </w:pPr>
            <w:r w:rsidRPr="00AE684F">
              <w:rPr>
                <w:rFonts w:ascii="Times New Roman" w:hAnsi="Times New Roman"/>
                <w:b/>
                <w:szCs w:val="24"/>
              </w:rPr>
              <w:t>Restrição 653 – Saldos alongados/indevidos contas de controle</w:t>
            </w:r>
            <w:r>
              <w:rPr>
                <w:rFonts w:ascii="Times New Roman" w:hAnsi="Times New Roman"/>
                <w:szCs w:val="24"/>
              </w:rPr>
              <w:t xml:space="preserve">. </w:t>
            </w:r>
          </w:p>
          <w:p w14:paraId="0B871402" w14:textId="77777777" w:rsidR="00F9673F" w:rsidRDefault="00F9673F" w:rsidP="00425053">
            <w:pPr>
              <w:ind w:firstLine="567"/>
              <w:jc w:val="both"/>
              <w:rPr>
                <w:rFonts w:ascii="Times New Roman" w:hAnsi="Times New Roman"/>
                <w:szCs w:val="24"/>
              </w:rPr>
            </w:pPr>
          </w:p>
          <w:p w14:paraId="29CB6F49" w14:textId="5349B890" w:rsidR="0004649C" w:rsidRDefault="00246CFE" w:rsidP="00425053">
            <w:pPr>
              <w:ind w:firstLine="567"/>
              <w:jc w:val="both"/>
              <w:rPr>
                <w:rFonts w:ascii="Times New Roman" w:hAnsi="Times New Roman"/>
                <w:szCs w:val="24"/>
              </w:rPr>
            </w:pPr>
            <w:r>
              <w:rPr>
                <w:rFonts w:ascii="Times New Roman" w:hAnsi="Times New Roman"/>
                <w:szCs w:val="24"/>
              </w:rPr>
              <w:t xml:space="preserve">Até </w:t>
            </w:r>
            <w:r w:rsidR="0015202F">
              <w:rPr>
                <w:rFonts w:ascii="Times New Roman" w:hAnsi="Times New Roman"/>
                <w:szCs w:val="24"/>
              </w:rPr>
              <w:t>setembro</w:t>
            </w:r>
            <w:r w:rsidR="00930A4D">
              <w:rPr>
                <w:rFonts w:ascii="Times New Roman" w:hAnsi="Times New Roman"/>
                <w:szCs w:val="24"/>
              </w:rPr>
              <w:t xml:space="preserve"> 2020</w:t>
            </w:r>
            <w:r>
              <w:rPr>
                <w:rFonts w:ascii="Times New Roman" w:hAnsi="Times New Roman"/>
                <w:szCs w:val="24"/>
              </w:rPr>
              <w:t>, o IFRS não possui documentos de controle</w:t>
            </w:r>
            <w:r w:rsidR="0047599C">
              <w:rPr>
                <w:rFonts w:ascii="Times New Roman" w:hAnsi="Times New Roman"/>
                <w:szCs w:val="24"/>
              </w:rPr>
              <w:t xml:space="preserve"> de garantias recebidas,</w:t>
            </w:r>
            <w:r>
              <w:rPr>
                <w:rFonts w:ascii="Times New Roman" w:hAnsi="Times New Roman"/>
                <w:szCs w:val="24"/>
              </w:rPr>
              <w:t xml:space="preserve"> </w:t>
            </w:r>
            <w:r w:rsidR="0047599C">
              <w:rPr>
                <w:rFonts w:ascii="Times New Roman" w:hAnsi="Times New Roman"/>
                <w:szCs w:val="24"/>
              </w:rPr>
              <w:t>de direitos e obrigações</w:t>
            </w:r>
            <w:r>
              <w:rPr>
                <w:rFonts w:ascii="Times New Roman" w:hAnsi="Times New Roman"/>
                <w:szCs w:val="24"/>
              </w:rPr>
              <w:t xml:space="preserve"> contratuais</w:t>
            </w:r>
            <w:r w:rsidR="0047599C">
              <w:rPr>
                <w:rFonts w:ascii="Times New Roman" w:hAnsi="Times New Roman"/>
                <w:szCs w:val="24"/>
              </w:rPr>
              <w:t xml:space="preserve"> e de responsabilidade de terceiros que possam ser conciliados com as respectivas contas de controle, conforme normatiza a </w:t>
            </w:r>
            <w:proofErr w:type="spellStart"/>
            <w:r w:rsidR="0047599C">
              <w:rPr>
                <w:rFonts w:ascii="Times New Roman" w:hAnsi="Times New Roman"/>
                <w:szCs w:val="24"/>
              </w:rPr>
              <w:t>Macrofunção</w:t>
            </w:r>
            <w:proofErr w:type="spellEnd"/>
            <w:r w:rsidR="0047599C">
              <w:rPr>
                <w:rFonts w:ascii="Times New Roman" w:hAnsi="Times New Roman"/>
                <w:szCs w:val="24"/>
              </w:rPr>
              <w:t xml:space="preserve"> 020318 – Encerramento de Exercício. </w:t>
            </w:r>
            <w:r w:rsidR="0047599C" w:rsidRPr="0047599C">
              <w:rPr>
                <w:rFonts w:ascii="Times New Roman" w:hAnsi="Times New Roman"/>
                <w:b/>
                <w:szCs w:val="24"/>
              </w:rPr>
              <w:t>Providências relatadas:</w:t>
            </w:r>
            <w:r w:rsidR="0047599C">
              <w:rPr>
                <w:rFonts w:ascii="Times New Roman" w:hAnsi="Times New Roman"/>
                <w:szCs w:val="24"/>
              </w:rPr>
              <w:t xml:space="preserve"> Até a data de 17 de janeiro de 2020</w:t>
            </w:r>
            <w:r w:rsidR="009C48A9">
              <w:rPr>
                <w:rFonts w:ascii="Times New Roman" w:hAnsi="Times New Roman"/>
                <w:szCs w:val="24"/>
              </w:rPr>
              <w:t xml:space="preserve"> (Ofício nº 06/2020/PROAD/IFRS)</w:t>
            </w:r>
            <w:r w:rsidR="0047599C">
              <w:rPr>
                <w:rFonts w:ascii="Times New Roman" w:hAnsi="Times New Roman"/>
                <w:szCs w:val="24"/>
              </w:rPr>
              <w:t xml:space="preserve">, a </w:t>
            </w:r>
            <w:proofErr w:type="spellStart"/>
            <w:r w:rsidR="0047599C">
              <w:rPr>
                <w:rFonts w:ascii="Times New Roman" w:hAnsi="Times New Roman"/>
                <w:szCs w:val="24"/>
              </w:rPr>
              <w:t>Pró-reitoria</w:t>
            </w:r>
            <w:proofErr w:type="spellEnd"/>
            <w:r w:rsidR="0047599C">
              <w:rPr>
                <w:rFonts w:ascii="Times New Roman" w:hAnsi="Times New Roman"/>
                <w:szCs w:val="24"/>
              </w:rPr>
              <w:t xml:space="preserve"> de Administração </w:t>
            </w:r>
            <w:r w:rsidR="00EC31E3" w:rsidRPr="00484257">
              <w:rPr>
                <w:rFonts w:ascii="Times New Roman" w:hAnsi="Times New Roman"/>
                <w:color w:val="000000" w:themeColor="text1"/>
                <w:szCs w:val="24"/>
              </w:rPr>
              <w:t>informa que é necessário a implantação do módulo contratos através do SIPAC (Sistema de controle do Almoxarifado e Patrimônio).</w:t>
            </w:r>
            <w:r w:rsidR="0047599C">
              <w:rPr>
                <w:rFonts w:ascii="Times New Roman" w:hAnsi="Times New Roman"/>
                <w:szCs w:val="24"/>
              </w:rPr>
              <w:t xml:space="preserve"> A ausência de documentos de controle de garantias recebidas, de direitos e obrigações contratuais e de responsabilidade de terceiros é recorrente</w:t>
            </w:r>
            <w:r w:rsidR="009C48A9">
              <w:rPr>
                <w:rFonts w:ascii="Times New Roman" w:hAnsi="Times New Roman"/>
                <w:szCs w:val="24"/>
              </w:rPr>
              <w:t xml:space="preserve"> no IFRS</w:t>
            </w:r>
            <w:r w:rsidR="0047599C">
              <w:rPr>
                <w:rFonts w:ascii="Times New Roman" w:hAnsi="Times New Roman"/>
                <w:szCs w:val="24"/>
              </w:rPr>
              <w:t xml:space="preserve">, </w:t>
            </w:r>
            <w:r w:rsidR="001D06CA">
              <w:rPr>
                <w:rFonts w:ascii="Times New Roman" w:hAnsi="Times New Roman"/>
                <w:szCs w:val="24"/>
              </w:rPr>
              <w:t>e</w:t>
            </w:r>
            <w:r w:rsidR="0047599C">
              <w:rPr>
                <w:rFonts w:ascii="Times New Roman" w:hAnsi="Times New Roman"/>
                <w:szCs w:val="24"/>
              </w:rPr>
              <w:t xml:space="preserve"> foi objeto de apontamento na Declaração do Contador do</w:t>
            </w:r>
            <w:r w:rsidR="00F63FD2">
              <w:rPr>
                <w:rFonts w:ascii="Times New Roman" w:hAnsi="Times New Roman"/>
                <w:szCs w:val="24"/>
              </w:rPr>
              <w:t>s</w:t>
            </w:r>
            <w:r w:rsidR="0047599C">
              <w:rPr>
                <w:rFonts w:ascii="Times New Roman" w:hAnsi="Times New Roman"/>
                <w:szCs w:val="24"/>
              </w:rPr>
              <w:t xml:space="preserve"> Exercício</w:t>
            </w:r>
            <w:r w:rsidR="00F63FD2">
              <w:rPr>
                <w:rFonts w:ascii="Times New Roman" w:hAnsi="Times New Roman"/>
                <w:szCs w:val="24"/>
              </w:rPr>
              <w:t>s</w:t>
            </w:r>
            <w:r w:rsidR="0047599C">
              <w:rPr>
                <w:rFonts w:ascii="Times New Roman" w:hAnsi="Times New Roman"/>
                <w:szCs w:val="24"/>
              </w:rPr>
              <w:t xml:space="preserve"> de</w:t>
            </w:r>
            <w:r w:rsidR="00F63FD2">
              <w:rPr>
                <w:rFonts w:ascii="Times New Roman" w:hAnsi="Times New Roman"/>
                <w:szCs w:val="24"/>
              </w:rPr>
              <w:t xml:space="preserve"> 2017</w:t>
            </w:r>
            <w:r w:rsidR="00930A4D">
              <w:rPr>
                <w:rFonts w:ascii="Times New Roman" w:hAnsi="Times New Roman"/>
                <w:szCs w:val="24"/>
              </w:rPr>
              <w:t>,</w:t>
            </w:r>
            <w:r w:rsidR="0047599C">
              <w:rPr>
                <w:rFonts w:ascii="Times New Roman" w:hAnsi="Times New Roman"/>
                <w:szCs w:val="24"/>
              </w:rPr>
              <w:t xml:space="preserve"> 2018</w:t>
            </w:r>
            <w:r w:rsidR="00930A4D">
              <w:rPr>
                <w:rFonts w:ascii="Times New Roman" w:hAnsi="Times New Roman"/>
                <w:szCs w:val="24"/>
              </w:rPr>
              <w:t xml:space="preserve"> e 2019.</w:t>
            </w:r>
          </w:p>
          <w:p w14:paraId="1A13379F" w14:textId="77777777" w:rsidR="008B58CC" w:rsidRDefault="008B58CC" w:rsidP="00425053">
            <w:pPr>
              <w:ind w:firstLine="567"/>
              <w:jc w:val="both"/>
              <w:rPr>
                <w:rFonts w:ascii="Times New Roman" w:hAnsi="Times New Roman"/>
                <w:szCs w:val="24"/>
              </w:rPr>
            </w:pPr>
          </w:p>
          <w:p w14:paraId="6E499B1C" w14:textId="77777777" w:rsidR="008B58CC" w:rsidRDefault="008B58CC" w:rsidP="00425053">
            <w:pPr>
              <w:ind w:firstLine="567"/>
              <w:jc w:val="both"/>
              <w:rPr>
                <w:rFonts w:ascii="Times New Roman" w:hAnsi="Times New Roman"/>
                <w:szCs w:val="24"/>
              </w:rPr>
            </w:pPr>
            <w:r w:rsidRPr="00EF49B6">
              <w:rPr>
                <w:rFonts w:ascii="Times New Roman" w:hAnsi="Times New Roman"/>
                <w:szCs w:val="24"/>
              </w:rPr>
              <w:t>Estou ci</w:t>
            </w:r>
            <w:r>
              <w:rPr>
                <w:rFonts w:ascii="Times New Roman" w:hAnsi="Times New Roman"/>
                <w:szCs w:val="24"/>
              </w:rPr>
              <w:t>ente das responsabilidades civis e profissionais desta declaração.</w:t>
            </w:r>
          </w:p>
          <w:p w14:paraId="18D084E6" w14:textId="77777777" w:rsidR="008B58CC" w:rsidRPr="00EF49B6" w:rsidRDefault="008B58CC" w:rsidP="00425053">
            <w:pPr>
              <w:ind w:firstLine="567"/>
              <w:jc w:val="both"/>
            </w:pPr>
          </w:p>
        </w:tc>
      </w:tr>
      <w:tr w:rsidR="008B58CC" w14:paraId="61C977B1" w14:textId="77777777" w:rsidTr="008B58CC">
        <w:trPr>
          <w:trHeight w:val="471"/>
        </w:trPr>
        <w:tc>
          <w:tcPr>
            <w:tcW w:w="1951" w:type="dxa"/>
            <w:shd w:val="clear" w:color="auto" w:fill="D5DCE4" w:themeFill="text2" w:themeFillTint="33"/>
            <w:vAlign w:val="center"/>
          </w:tcPr>
          <w:p w14:paraId="66A131D9" w14:textId="77777777" w:rsidR="008B58CC" w:rsidRPr="00184144" w:rsidRDefault="008B58CC" w:rsidP="00425053">
            <w:pPr>
              <w:rPr>
                <w:rFonts w:ascii="Times New Roman" w:hAnsi="Times New Roman"/>
                <w:b/>
                <w:szCs w:val="24"/>
              </w:rPr>
            </w:pPr>
            <w:r w:rsidRPr="00184144">
              <w:rPr>
                <w:rFonts w:ascii="Times New Roman" w:hAnsi="Times New Roman"/>
                <w:b/>
                <w:szCs w:val="24"/>
              </w:rPr>
              <w:lastRenderedPageBreak/>
              <w:t>Local</w:t>
            </w:r>
          </w:p>
        </w:tc>
        <w:tc>
          <w:tcPr>
            <w:tcW w:w="4536" w:type="dxa"/>
            <w:shd w:val="clear" w:color="auto" w:fill="D5DCE4" w:themeFill="text2" w:themeFillTint="33"/>
            <w:vAlign w:val="center"/>
          </w:tcPr>
          <w:p w14:paraId="51024FC9" w14:textId="77777777" w:rsidR="008B58CC" w:rsidRDefault="008B58CC" w:rsidP="00425053">
            <w:pPr>
              <w:rPr>
                <w:rFonts w:ascii="Times New Roman" w:hAnsi="Times New Roman"/>
                <w:szCs w:val="24"/>
              </w:rPr>
            </w:pPr>
            <w:r>
              <w:rPr>
                <w:rFonts w:ascii="Times New Roman" w:hAnsi="Times New Roman"/>
                <w:szCs w:val="24"/>
              </w:rPr>
              <w:t>Bento Gonçalves</w:t>
            </w:r>
          </w:p>
        </w:tc>
        <w:tc>
          <w:tcPr>
            <w:tcW w:w="1134" w:type="dxa"/>
            <w:shd w:val="clear" w:color="auto" w:fill="D5DCE4" w:themeFill="text2" w:themeFillTint="33"/>
            <w:vAlign w:val="center"/>
          </w:tcPr>
          <w:p w14:paraId="60BBB8D2" w14:textId="77777777" w:rsidR="008B58CC" w:rsidRPr="00184144" w:rsidRDefault="008B58CC" w:rsidP="00425053">
            <w:pPr>
              <w:rPr>
                <w:rFonts w:ascii="Times New Roman" w:hAnsi="Times New Roman"/>
                <w:b/>
                <w:szCs w:val="24"/>
              </w:rPr>
            </w:pPr>
            <w:r w:rsidRPr="00184144">
              <w:rPr>
                <w:rFonts w:ascii="Times New Roman" w:hAnsi="Times New Roman"/>
                <w:b/>
                <w:szCs w:val="24"/>
              </w:rPr>
              <w:t>Data</w:t>
            </w:r>
          </w:p>
        </w:tc>
        <w:tc>
          <w:tcPr>
            <w:tcW w:w="2439" w:type="dxa"/>
            <w:shd w:val="clear" w:color="auto" w:fill="D5DCE4" w:themeFill="text2" w:themeFillTint="33"/>
            <w:vAlign w:val="center"/>
          </w:tcPr>
          <w:p w14:paraId="1CAE3239" w14:textId="5FD50F1C" w:rsidR="008B58CC" w:rsidRDefault="0015202F" w:rsidP="008B58CC">
            <w:pPr>
              <w:rPr>
                <w:rFonts w:ascii="Times New Roman" w:hAnsi="Times New Roman"/>
                <w:szCs w:val="24"/>
              </w:rPr>
            </w:pPr>
            <w:r>
              <w:rPr>
                <w:rFonts w:ascii="Times New Roman" w:hAnsi="Times New Roman"/>
                <w:szCs w:val="24"/>
              </w:rPr>
              <w:t>30/10</w:t>
            </w:r>
            <w:r w:rsidR="00235E1B">
              <w:rPr>
                <w:rFonts w:ascii="Times New Roman" w:hAnsi="Times New Roman"/>
                <w:szCs w:val="24"/>
              </w:rPr>
              <w:t>/2020</w:t>
            </w:r>
          </w:p>
        </w:tc>
      </w:tr>
      <w:tr w:rsidR="008B58CC" w14:paraId="16F60627" w14:textId="77777777" w:rsidTr="008B58CC">
        <w:trPr>
          <w:trHeight w:val="432"/>
        </w:trPr>
        <w:tc>
          <w:tcPr>
            <w:tcW w:w="1951" w:type="dxa"/>
            <w:vAlign w:val="center"/>
          </w:tcPr>
          <w:p w14:paraId="0901A9FB" w14:textId="77777777" w:rsidR="008B58CC" w:rsidRPr="00184144" w:rsidRDefault="008B58CC" w:rsidP="00425053">
            <w:pPr>
              <w:rPr>
                <w:rFonts w:ascii="Times New Roman" w:hAnsi="Times New Roman"/>
                <w:b/>
                <w:szCs w:val="24"/>
              </w:rPr>
            </w:pPr>
            <w:r w:rsidRPr="00184144">
              <w:rPr>
                <w:rFonts w:ascii="Times New Roman" w:hAnsi="Times New Roman"/>
                <w:b/>
                <w:szCs w:val="24"/>
              </w:rPr>
              <w:t>Contador Resp.</w:t>
            </w:r>
          </w:p>
        </w:tc>
        <w:tc>
          <w:tcPr>
            <w:tcW w:w="4536" w:type="dxa"/>
            <w:vAlign w:val="center"/>
          </w:tcPr>
          <w:p w14:paraId="1FE2AC25" w14:textId="77777777" w:rsidR="008B58CC" w:rsidRDefault="008B58CC" w:rsidP="00425053">
            <w:pPr>
              <w:rPr>
                <w:rFonts w:ascii="Times New Roman" w:hAnsi="Times New Roman"/>
                <w:szCs w:val="24"/>
              </w:rPr>
            </w:pPr>
            <w:r>
              <w:rPr>
                <w:rFonts w:ascii="Times New Roman" w:hAnsi="Times New Roman"/>
                <w:szCs w:val="24"/>
              </w:rPr>
              <w:t>Luiz Antônio Hining</w:t>
            </w:r>
          </w:p>
        </w:tc>
        <w:tc>
          <w:tcPr>
            <w:tcW w:w="1134" w:type="dxa"/>
            <w:vAlign w:val="center"/>
          </w:tcPr>
          <w:p w14:paraId="55F2D67D" w14:textId="77777777" w:rsidR="008B58CC" w:rsidRPr="00184144" w:rsidRDefault="008B58CC" w:rsidP="00425053">
            <w:pPr>
              <w:rPr>
                <w:rFonts w:ascii="Times New Roman" w:hAnsi="Times New Roman"/>
                <w:b/>
                <w:szCs w:val="24"/>
              </w:rPr>
            </w:pPr>
            <w:r w:rsidRPr="00184144">
              <w:rPr>
                <w:rFonts w:ascii="Times New Roman" w:hAnsi="Times New Roman"/>
                <w:b/>
                <w:szCs w:val="24"/>
              </w:rPr>
              <w:t>CRC nº</w:t>
            </w:r>
          </w:p>
        </w:tc>
        <w:tc>
          <w:tcPr>
            <w:tcW w:w="2439" w:type="dxa"/>
            <w:vAlign w:val="center"/>
          </w:tcPr>
          <w:p w14:paraId="601B6B73" w14:textId="77777777" w:rsidR="008B58CC" w:rsidRDefault="008B58CC" w:rsidP="00425053">
            <w:pPr>
              <w:rPr>
                <w:rFonts w:ascii="Times New Roman" w:hAnsi="Times New Roman"/>
                <w:szCs w:val="24"/>
              </w:rPr>
            </w:pPr>
            <w:r>
              <w:rPr>
                <w:rFonts w:ascii="Times New Roman" w:hAnsi="Times New Roman"/>
                <w:szCs w:val="24"/>
              </w:rPr>
              <w:t>43.833</w:t>
            </w:r>
          </w:p>
        </w:tc>
      </w:tr>
    </w:tbl>
    <w:p w14:paraId="47341382" w14:textId="77777777" w:rsidR="008B58CC" w:rsidRDefault="008B58CC" w:rsidP="008B58CC">
      <w:pPr>
        <w:spacing w:after="40"/>
        <w:rPr>
          <w:rFonts w:ascii="Arial" w:eastAsia="Arial Unicode MS" w:hAnsi="Arial" w:cs="Arial"/>
          <w:sz w:val="20"/>
          <w:szCs w:val="20"/>
        </w:rPr>
      </w:pPr>
    </w:p>
    <w:p w14:paraId="22555D41" w14:textId="20CA0DA8" w:rsidR="008C268B" w:rsidRDefault="008C268B" w:rsidP="009C48A9">
      <w:pPr>
        <w:spacing w:after="40"/>
        <w:rPr>
          <w:rFonts w:ascii="Arial" w:eastAsia="Arial Unicode MS" w:hAnsi="Arial" w:cs="Arial"/>
          <w:sz w:val="20"/>
          <w:szCs w:val="20"/>
        </w:rPr>
      </w:pPr>
      <w:r>
        <w:rPr>
          <w:rFonts w:ascii="Arial" w:eastAsia="Arial Unicode MS" w:hAnsi="Arial" w:cs="Arial"/>
          <w:sz w:val="20"/>
          <w:szCs w:val="20"/>
        </w:rPr>
        <w:br w:type="page"/>
      </w:r>
    </w:p>
    <w:p w14:paraId="2D59224E" w14:textId="75536724" w:rsidR="004F53A5" w:rsidRPr="00533035" w:rsidRDefault="004F53A5" w:rsidP="003216D5">
      <w:pPr>
        <w:spacing w:after="240"/>
        <w:ind w:firstLine="993"/>
        <w:rPr>
          <w:rFonts w:ascii="Arial" w:eastAsia="Arial Unicode MS" w:hAnsi="Arial" w:cs="Arial"/>
          <w:b/>
          <w:color w:val="009999"/>
          <w:sz w:val="36"/>
          <w:szCs w:val="36"/>
        </w:rPr>
      </w:pPr>
      <w:r w:rsidRPr="00533035">
        <w:rPr>
          <w:rFonts w:ascii="Arial" w:eastAsia="Arial Unicode MS" w:hAnsi="Arial" w:cs="Arial"/>
          <w:b/>
          <w:color w:val="009999"/>
          <w:sz w:val="36"/>
          <w:szCs w:val="36"/>
        </w:rPr>
        <w:lastRenderedPageBreak/>
        <w:t>Demonstrações contábeis</w:t>
      </w:r>
    </w:p>
    <w:p w14:paraId="79CFF911" w14:textId="009141F4" w:rsidR="00AC63FF" w:rsidRDefault="003216D5" w:rsidP="00533035">
      <w:pPr>
        <w:spacing w:after="40"/>
        <w:ind w:firstLine="567"/>
        <w:rPr>
          <w:rFonts w:ascii="Arial" w:eastAsia="Arial Unicode MS" w:hAnsi="Arial" w:cs="Arial"/>
          <w:sz w:val="28"/>
          <w:szCs w:val="28"/>
        </w:rPr>
      </w:pPr>
      <w:r w:rsidRPr="00533035">
        <w:rPr>
          <w:rFonts w:ascii="Arial" w:eastAsia="Arial Unicode MS" w:hAnsi="Arial" w:cs="Arial"/>
          <w:sz w:val="28"/>
          <w:szCs w:val="28"/>
        </w:rPr>
        <w:t>Balanço Patrimonial</w:t>
      </w:r>
    </w:p>
    <w:p w14:paraId="5F9BCDDC" w14:textId="121FB2B9" w:rsidR="003735F4" w:rsidRDefault="003735F4" w:rsidP="00533035">
      <w:pPr>
        <w:spacing w:after="40"/>
        <w:ind w:firstLine="567"/>
        <w:rPr>
          <w:rFonts w:ascii="Arial" w:eastAsia="Arial Unicode MS" w:hAnsi="Arial" w:cs="Arial"/>
          <w:sz w:val="28"/>
          <w:szCs w:val="28"/>
        </w:rPr>
      </w:pPr>
      <w:r w:rsidRPr="003735F4">
        <w:rPr>
          <w:rFonts w:ascii="Arial" w:eastAsia="Arial Unicode MS" w:hAnsi="Arial" w:cs="Arial"/>
          <w:noProof/>
          <w:sz w:val="28"/>
          <w:szCs w:val="28"/>
        </w:rPr>
        <w:drawing>
          <wp:inline distT="0" distB="0" distL="0" distR="0" wp14:anchorId="5FB19746" wp14:editId="203B00D9">
            <wp:extent cx="4608830" cy="503999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5039995"/>
                    </a:xfrm>
                    <a:prstGeom prst="rect">
                      <a:avLst/>
                    </a:prstGeom>
                    <a:noFill/>
                    <a:ln>
                      <a:noFill/>
                    </a:ln>
                  </pic:spPr>
                </pic:pic>
              </a:graphicData>
            </a:graphic>
          </wp:inline>
        </w:drawing>
      </w:r>
    </w:p>
    <w:p w14:paraId="6518194E" w14:textId="28732F5D" w:rsidR="003735F4" w:rsidRDefault="003735F4" w:rsidP="00533035">
      <w:pPr>
        <w:spacing w:after="40"/>
        <w:ind w:firstLine="567"/>
        <w:rPr>
          <w:rFonts w:ascii="Arial" w:eastAsia="Arial Unicode MS" w:hAnsi="Arial" w:cs="Arial"/>
          <w:sz w:val="28"/>
          <w:szCs w:val="28"/>
        </w:rPr>
      </w:pPr>
      <w:r w:rsidRPr="003735F4">
        <w:rPr>
          <w:rFonts w:ascii="Arial" w:eastAsia="Arial Unicode MS" w:hAnsi="Arial" w:cs="Arial"/>
          <w:noProof/>
          <w:sz w:val="28"/>
          <w:szCs w:val="28"/>
        </w:rPr>
        <w:drawing>
          <wp:inline distT="0" distB="0" distL="0" distR="0" wp14:anchorId="121B82DB" wp14:editId="548FB72D">
            <wp:extent cx="4484370" cy="321119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4370" cy="3211195"/>
                    </a:xfrm>
                    <a:prstGeom prst="rect">
                      <a:avLst/>
                    </a:prstGeom>
                    <a:noFill/>
                    <a:ln>
                      <a:noFill/>
                    </a:ln>
                  </pic:spPr>
                </pic:pic>
              </a:graphicData>
            </a:graphic>
          </wp:inline>
        </w:drawing>
      </w:r>
    </w:p>
    <w:p w14:paraId="7189CB7E" w14:textId="70807AD2" w:rsidR="00E86922" w:rsidRDefault="00E86922" w:rsidP="00C73175">
      <w:pPr>
        <w:spacing w:after="40"/>
        <w:rPr>
          <w:rFonts w:ascii="Arial" w:eastAsia="Arial Unicode MS" w:hAnsi="Arial" w:cs="Arial"/>
          <w:sz w:val="28"/>
          <w:szCs w:val="28"/>
        </w:rPr>
      </w:pPr>
    </w:p>
    <w:p w14:paraId="6E375E3F" w14:textId="1C1495BB" w:rsidR="004F53A5" w:rsidRDefault="000C35BD" w:rsidP="004F53A5">
      <w:pPr>
        <w:spacing w:after="40"/>
        <w:rPr>
          <w:rFonts w:ascii="Arial" w:eastAsia="Arial Unicode MS" w:hAnsi="Arial" w:cs="Arial"/>
          <w:sz w:val="20"/>
          <w:szCs w:val="20"/>
        </w:rPr>
      </w:pPr>
      <w:r w:rsidRPr="00533035">
        <w:rPr>
          <w:rFonts w:ascii="Arial" w:eastAsia="Arial Unicode MS" w:hAnsi="Arial" w:cs="Arial"/>
          <w:sz w:val="20"/>
          <w:szCs w:val="20"/>
        </w:rPr>
        <w:lastRenderedPageBreak/>
        <w:t>O Balanço Patrimonial evidencia os ativos e passivos, e sua evolução 20</w:t>
      </w:r>
      <w:r w:rsidR="00893DD4">
        <w:rPr>
          <w:rFonts w:ascii="Arial" w:eastAsia="Arial Unicode MS" w:hAnsi="Arial" w:cs="Arial"/>
          <w:sz w:val="20"/>
          <w:szCs w:val="20"/>
        </w:rPr>
        <w:t>20</w:t>
      </w:r>
      <w:r w:rsidRPr="00533035">
        <w:rPr>
          <w:rFonts w:ascii="Arial" w:eastAsia="Arial Unicode MS" w:hAnsi="Arial" w:cs="Arial"/>
          <w:sz w:val="20"/>
          <w:szCs w:val="20"/>
        </w:rPr>
        <w:t xml:space="preserve"> em relação a 20</w:t>
      </w:r>
      <w:r w:rsidR="00893DD4">
        <w:rPr>
          <w:rFonts w:ascii="Arial" w:eastAsia="Arial Unicode MS" w:hAnsi="Arial" w:cs="Arial"/>
          <w:sz w:val="20"/>
          <w:szCs w:val="20"/>
        </w:rPr>
        <w:t>19</w:t>
      </w:r>
      <w:r w:rsidRPr="00533035">
        <w:rPr>
          <w:rFonts w:ascii="Arial" w:eastAsia="Arial Unicode MS" w:hAnsi="Arial" w:cs="Arial"/>
          <w:sz w:val="20"/>
          <w:szCs w:val="20"/>
        </w:rPr>
        <w:t>. Os ativos compreendem os saldos de recursos financeiros e patrimoniais controlados pelo IFRS, com capacidade de geração de benefícios econômicos futuros ou potencial de serviços, ao passo que os passivos compreendem os saldos de suas obrigações presentes, decorrente de eventos passados e com alta probabilidade de desembolso futuro. O Patrimônio líquido (PL) representa a diferença entre o total dos ativos e o total dos passivos, sendo uma importante referê</w:t>
      </w:r>
      <w:r w:rsidR="00676BFE">
        <w:rPr>
          <w:rFonts w:ascii="Arial" w:eastAsia="Arial Unicode MS" w:hAnsi="Arial" w:cs="Arial"/>
          <w:sz w:val="20"/>
          <w:szCs w:val="20"/>
        </w:rPr>
        <w:t>ncia sobre a situação financeira</w:t>
      </w:r>
      <w:r w:rsidRPr="00533035">
        <w:rPr>
          <w:rFonts w:ascii="Arial" w:eastAsia="Arial Unicode MS" w:hAnsi="Arial" w:cs="Arial"/>
          <w:sz w:val="20"/>
          <w:szCs w:val="20"/>
        </w:rPr>
        <w:t xml:space="preserve"> de qualquer entidade.</w:t>
      </w:r>
    </w:p>
    <w:p w14:paraId="5CC0EC17" w14:textId="702E214B" w:rsidR="009D48A1" w:rsidRDefault="009D48A1" w:rsidP="004F53A5">
      <w:pPr>
        <w:spacing w:after="40"/>
        <w:rPr>
          <w:rFonts w:ascii="Arial" w:eastAsia="Arial Unicode MS" w:hAnsi="Arial" w:cs="Arial"/>
          <w:sz w:val="20"/>
          <w:szCs w:val="20"/>
        </w:rPr>
      </w:pPr>
    </w:p>
    <w:p w14:paraId="34C02C83" w14:textId="423DEDBF" w:rsidR="009D48A1" w:rsidRDefault="009D48A1" w:rsidP="004F53A5">
      <w:pPr>
        <w:spacing w:after="40"/>
        <w:rPr>
          <w:rFonts w:ascii="Arial" w:eastAsia="Arial Unicode MS" w:hAnsi="Arial" w:cs="Arial"/>
          <w:sz w:val="20"/>
          <w:szCs w:val="20"/>
        </w:rPr>
      </w:pPr>
      <w:r w:rsidRPr="009D48A1">
        <w:rPr>
          <w:rFonts w:ascii="Arial" w:eastAsia="Arial Unicode MS" w:hAnsi="Arial" w:cs="Arial"/>
          <w:noProof/>
          <w:sz w:val="20"/>
          <w:szCs w:val="20"/>
        </w:rPr>
        <w:drawing>
          <wp:inline distT="0" distB="0" distL="0" distR="0" wp14:anchorId="52C66896" wp14:editId="2E4C9023">
            <wp:extent cx="2560320" cy="1177925"/>
            <wp:effectExtent l="0" t="0" r="0" b="317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177925"/>
                    </a:xfrm>
                    <a:prstGeom prst="rect">
                      <a:avLst/>
                    </a:prstGeom>
                    <a:noFill/>
                    <a:ln>
                      <a:noFill/>
                    </a:ln>
                  </pic:spPr>
                </pic:pic>
              </a:graphicData>
            </a:graphic>
          </wp:inline>
        </w:drawing>
      </w:r>
      <w:r w:rsidRPr="009D48A1">
        <w:rPr>
          <w:rFonts w:ascii="Arial" w:eastAsia="Arial Unicode MS" w:hAnsi="Arial" w:cs="Arial"/>
          <w:sz w:val="20"/>
          <w:szCs w:val="20"/>
        </w:rPr>
        <w:t xml:space="preserve"> </w:t>
      </w:r>
      <w:r w:rsidRPr="009D48A1">
        <w:rPr>
          <w:rFonts w:ascii="Arial" w:eastAsia="Arial Unicode MS" w:hAnsi="Arial" w:cs="Arial"/>
          <w:noProof/>
          <w:sz w:val="20"/>
          <w:szCs w:val="20"/>
        </w:rPr>
        <w:drawing>
          <wp:inline distT="0" distB="0" distL="0" distR="0" wp14:anchorId="57E1AB04" wp14:editId="5AAD37AE">
            <wp:extent cx="2560320" cy="107505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075055"/>
                    </a:xfrm>
                    <a:prstGeom prst="rect">
                      <a:avLst/>
                    </a:prstGeom>
                    <a:noFill/>
                    <a:ln>
                      <a:noFill/>
                    </a:ln>
                  </pic:spPr>
                </pic:pic>
              </a:graphicData>
            </a:graphic>
          </wp:inline>
        </w:drawing>
      </w:r>
    </w:p>
    <w:p w14:paraId="3D691D30" w14:textId="0491849F" w:rsidR="00371D61" w:rsidRDefault="00371D61" w:rsidP="004F53A5">
      <w:pPr>
        <w:spacing w:after="40"/>
        <w:rPr>
          <w:rFonts w:ascii="Arial" w:eastAsia="Arial Unicode MS" w:hAnsi="Arial" w:cs="Arial"/>
          <w:sz w:val="20"/>
          <w:szCs w:val="20"/>
        </w:rPr>
      </w:pPr>
    </w:p>
    <w:p w14:paraId="447E916D" w14:textId="2B4731EE" w:rsidR="00676BFE" w:rsidRDefault="00676BFE" w:rsidP="00676BFE">
      <w:pPr>
        <w:spacing w:after="40"/>
        <w:rPr>
          <w:rFonts w:ascii="Arial" w:eastAsia="Arial Unicode MS" w:hAnsi="Arial" w:cs="Arial"/>
          <w:sz w:val="20"/>
          <w:szCs w:val="20"/>
        </w:rPr>
      </w:pPr>
      <w:r w:rsidRPr="00A06D31">
        <w:rPr>
          <w:rFonts w:ascii="Arial" w:eastAsia="Arial Unicode MS" w:hAnsi="Arial" w:cs="Arial"/>
          <w:sz w:val="20"/>
          <w:szCs w:val="20"/>
        </w:rPr>
        <w:t xml:space="preserve">Conforme demonstrado no gráfico, o IFRS encerrou o </w:t>
      </w:r>
      <w:r w:rsidR="009D48A1">
        <w:rPr>
          <w:rFonts w:ascii="Arial" w:eastAsia="Arial Unicode MS" w:hAnsi="Arial" w:cs="Arial"/>
          <w:sz w:val="20"/>
          <w:szCs w:val="20"/>
        </w:rPr>
        <w:t>3</w:t>
      </w:r>
      <w:r>
        <w:rPr>
          <w:rFonts w:ascii="Arial" w:eastAsia="Arial Unicode MS" w:hAnsi="Arial" w:cs="Arial"/>
          <w:sz w:val="20"/>
          <w:szCs w:val="20"/>
        </w:rPr>
        <w:t>º trimestre de 20</w:t>
      </w:r>
      <w:r w:rsidR="00893DD4">
        <w:rPr>
          <w:rFonts w:ascii="Arial" w:eastAsia="Arial Unicode MS" w:hAnsi="Arial" w:cs="Arial"/>
          <w:sz w:val="20"/>
          <w:szCs w:val="20"/>
        </w:rPr>
        <w:t>20</w:t>
      </w:r>
      <w:r w:rsidRPr="00A06D31">
        <w:rPr>
          <w:rFonts w:ascii="Arial" w:eastAsia="Arial Unicode MS" w:hAnsi="Arial" w:cs="Arial"/>
          <w:sz w:val="20"/>
          <w:szCs w:val="20"/>
        </w:rPr>
        <w:t xml:space="preserve"> com um ativo líquido da ordem de R$ </w:t>
      </w:r>
      <w:r>
        <w:rPr>
          <w:rFonts w:ascii="Arial" w:eastAsia="Arial Unicode MS" w:hAnsi="Arial" w:cs="Arial"/>
          <w:sz w:val="20"/>
          <w:szCs w:val="20"/>
        </w:rPr>
        <w:t>2</w:t>
      </w:r>
      <w:r w:rsidR="009D48A1">
        <w:rPr>
          <w:rFonts w:ascii="Arial" w:eastAsia="Arial Unicode MS" w:hAnsi="Arial" w:cs="Arial"/>
          <w:sz w:val="20"/>
          <w:szCs w:val="20"/>
        </w:rPr>
        <w:t>23</w:t>
      </w:r>
      <w:r w:rsidRPr="00A06D31">
        <w:rPr>
          <w:rFonts w:ascii="Arial" w:eastAsia="Arial Unicode MS" w:hAnsi="Arial" w:cs="Arial"/>
          <w:sz w:val="20"/>
          <w:szCs w:val="20"/>
        </w:rPr>
        <w:t xml:space="preserve"> milhões.</w:t>
      </w:r>
    </w:p>
    <w:p w14:paraId="4C31D0D8" w14:textId="1822A971" w:rsidR="00C73175" w:rsidRDefault="00C73175" w:rsidP="00676BFE">
      <w:pPr>
        <w:spacing w:after="40"/>
        <w:rPr>
          <w:rFonts w:ascii="Arial" w:eastAsia="Arial Unicode MS" w:hAnsi="Arial" w:cs="Arial"/>
          <w:sz w:val="20"/>
          <w:szCs w:val="20"/>
        </w:rPr>
      </w:pPr>
    </w:p>
    <w:p w14:paraId="04CB2534" w14:textId="005EE482" w:rsidR="00C73175" w:rsidRDefault="00C73175" w:rsidP="00676BFE">
      <w:pPr>
        <w:spacing w:after="40"/>
        <w:rPr>
          <w:rFonts w:ascii="Arial" w:eastAsia="Arial Unicode MS" w:hAnsi="Arial" w:cs="Arial"/>
          <w:sz w:val="20"/>
          <w:szCs w:val="20"/>
        </w:rPr>
      </w:pPr>
    </w:p>
    <w:p w14:paraId="5370ED92" w14:textId="2E56E989" w:rsidR="00C73175" w:rsidRDefault="00C73175" w:rsidP="00676BFE">
      <w:pPr>
        <w:spacing w:after="40"/>
        <w:rPr>
          <w:rFonts w:ascii="Arial" w:eastAsia="Arial Unicode MS" w:hAnsi="Arial" w:cs="Arial"/>
          <w:sz w:val="20"/>
          <w:szCs w:val="20"/>
        </w:rPr>
      </w:pPr>
    </w:p>
    <w:p w14:paraId="5749F96C" w14:textId="4BF2771B" w:rsidR="00C73175" w:rsidRDefault="00C73175" w:rsidP="00676BFE">
      <w:pPr>
        <w:spacing w:after="40"/>
        <w:rPr>
          <w:rFonts w:ascii="Arial" w:eastAsia="Arial Unicode MS" w:hAnsi="Arial" w:cs="Arial"/>
          <w:sz w:val="20"/>
          <w:szCs w:val="20"/>
        </w:rPr>
      </w:pPr>
    </w:p>
    <w:p w14:paraId="2FD01C9A" w14:textId="5DE618F5" w:rsidR="00C73175" w:rsidRDefault="00C73175" w:rsidP="00676BFE">
      <w:pPr>
        <w:spacing w:after="40"/>
        <w:rPr>
          <w:rFonts w:ascii="Arial" w:eastAsia="Arial Unicode MS" w:hAnsi="Arial" w:cs="Arial"/>
          <w:sz w:val="20"/>
          <w:szCs w:val="20"/>
        </w:rPr>
      </w:pPr>
    </w:p>
    <w:p w14:paraId="5F58671D" w14:textId="5D78A3E4" w:rsidR="00C73175" w:rsidRDefault="00C73175" w:rsidP="00676BFE">
      <w:pPr>
        <w:spacing w:after="40"/>
        <w:rPr>
          <w:rFonts w:ascii="Arial" w:eastAsia="Arial Unicode MS" w:hAnsi="Arial" w:cs="Arial"/>
          <w:sz w:val="20"/>
          <w:szCs w:val="20"/>
        </w:rPr>
      </w:pPr>
    </w:p>
    <w:p w14:paraId="7834524B" w14:textId="0A45F9BD" w:rsidR="00C73175" w:rsidRDefault="00C73175" w:rsidP="00676BFE">
      <w:pPr>
        <w:spacing w:after="40"/>
        <w:rPr>
          <w:rFonts w:ascii="Arial" w:eastAsia="Arial Unicode MS" w:hAnsi="Arial" w:cs="Arial"/>
          <w:sz w:val="20"/>
          <w:szCs w:val="20"/>
        </w:rPr>
      </w:pPr>
    </w:p>
    <w:p w14:paraId="398A901E" w14:textId="13C79B2E" w:rsidR="00C73175" w:rsidRDefault="00C73175" w:rsidP="00676BFE">
      <w:pPr>
        <w:spacing w:after="40"/>
        <w:rPr>
          <w:rFonts w:ascii="Arial" w:eastAsia="Arial Unicode MS" w:hAnsi="Arial" w:cs="Arial"/>
          <w:sz w:val="20"/>
          <w:szCs w:val="20"/>
        </w:rPr>
      </w:pPr>
    </w:p>
    <w:p w14:paraId="6B98E3BD" w14:textId="6365B40E" w:rsidR="00C73175" w:rsidRDefault="00C73175" w:rsidP="00676BFE">
      <w:pPr>
        <w:spacing w:after="40"/>
        <w:rPr>
          <w:rFonts w:ascii="Arial" w:eastAsia="Arial Unicode MS" w:hAnsi="Arial" w:cs="Arial"/>
          <w:sz w:val="20"/>
          <w:szCs w:val="20"/>
        </w:rPr>
      </w:pPr>
    </w:p>
    <w:p w14:paraId="4FB97A97" w14:textId="19A0D637" w:rsidR="00C73175" w:rsidRDefault="00C73175" w:rsidP="00676BFE">
      <w:pPr>
        <w:spacing w:after="40"/>
        <w:rPr>
          <w:rFonts w:ascii="Arial" w:eastAsia="Arial Unicode MS" w:hAnsi="Arial" w:cs="Arial"/>
          <w:sz w:val="20"/>
          <w:szCs w:val="20"/>
        </w:rPr>
      </w:pPr>
    </w:p>
    <w:p w14:paraId="4A46A9E9" w14:textId="13F136C0" w:rsidR="00C73175" w:rsidRDefault="00C73175" w:rsidP="00676BFE">
      <w:pPr>
        <w:spacing w:after="40"/>
        <w:rPr>
          <w:rFonts w:ascii="Arial" w:eastAsia="Arial Unicode MS" w:hAnsi="Arial" w:cs="Arial"/>
          <w:sz w:val="20"/>
          <w:szCs w:val="20"/>
        </w:rPr>
      </w:pPr>
    </w:p>
    <w:p w14:paraId="27CE14D4" w14:textId="2801E1E2" w:rsidR="00C73175" w:rsidRDefault="00C73175" w:rsidP="00676BFE">
      <w:pPr>
        <w:spacing w:after="40"/>
        <w:rPr>
          <w:rFonts w:ascii="Arial" w:eastAsia="Arial Unicode MS" w:hAnsi="Arial" w:cs="Arial"/>
          <w:sz w:val="20"/>
          <w:szCs w:val="20"/>
        </w:rPr>
      </w:pPr>
    </w:p>
    <w:p w14:paraId="6B435EE9" w14:textId="129CF93F" w:rsidR="00C73175" w:rsidRDefault="00C73175" w:rsidP="00676BFE">
      <w:pPr>
        <w:spacing w:after="40"/>
        <w:rPr>
          <w:rFonts w:ascii="Arial" w:eastAsia="Arial Unicode MS" w:hAnsi="Arial" w:cs="Arial"/>
          <w:sz w:val="20"/>
          <w:szCs w:val="20"/>
        </w:rPr>
      </w:pPr>
    </w:p>
    <w:p w14:paraId="2B12AF3E" w14:textId="06D9B0B3" w:rsidR="00C73175" w:rsidRDefault="00C73175" w:rsidP="00676BFE">
      <w:pPr>
        <w:spacing w:after="40"/>
        <w:rPr>
          <w:rFonts w:ascii="Arial" w:eastAsia="Arial Unicode MS" w:hAnsi="Arial" w:cs="Arial"/>
          <w:sz w:val="20"/>
          <w:szCs w:val="20"/>
        </w:rPr>
      </w:pPr>
    </w:p>
    <w:p w14:paraId="685C67F7" w14:textId="3C0D5DA0" w:rsidR="00C73175" w:rsidRDefault="00C73175" w:rsidP="00676BFE">
      <w:pPr>
        <w:spacing w:after="40"/>
        <w:rPr>
          <w:rFonts w:ascii="Arial" w:eastAsia="Arial Unicode MS" w:hAnsi="Arial" w:cs="Arial"/>
          <w:sz w:val="20"/>
          <w:szCs w:val="20"/>
        </w:rPr>
      </w:pPr>
    </w:p>
    <w:p w14:paraId="67CD965E" w14:textId="550E8CC8" w:rsidR="00C73175" w:rsidRDefault="00C73175" w:rsidP="00676BFE">
      <w:pPr>
        <w:spacing w:after="40"/>
        <w:rPr>
          <w:rFonts w:ascii="Arial" w:eastAsia="Arial Unicode MS" w:hAnsi="Arial" w:cs="Arial"/>
          <w:sz w:val="20"/>
          <w:szCs w:val="20"/>
        </w:rPr>
      </w:pPr>
    </w:p>
    <w:p w14:paraId="2A3BBF6E" w14:textId="512BB295" w:rsidR="00C73175" w:rsidRDefault="00C73175" w:rsidP="00676BFE">
      <w:pPr>
        <w:spacing w:after="40"/>
        <w:rPr>
          <w:rFonts w:ascii="Arial" w:eastAsia="Arial Unicode MS" w:hAnsi="Arial" w:cs="Arial"/>
          <w:sz w:val="20"/>
          <w:szCs w:val="20"/>
        </w:rPr>
      </w:pPr>
    </w:p>
    <w:p w14:paraId="146ECCE2" w14:textId="79B6A9E7" w:rsidR="00C73175" w:rsidRDefault="00C73175" w:rsidP="00676BFE">
      <w:pPr>
        <w:spacing w:after="40"/>
        <w:rPr>
          <w:rFonts w:ascii="Arial" w:eastAsia="Arial Unicode MS" w:hAnsi="Arial" w:cs="Arial"/>
          <w:sz w:val="20"/>
          <w:szCs w:val="20"/>
        </w:rPr>
      </w:pPr>
    </w:p>
    <w:p w14:paraId="6FA0FEC6" w14:textId="0E5AD583" w:rsidR="00C73175" w:rsidRDefault="00C73175" w:rsidP="00676BFE">
      <w:pPr>
        <w:spacing w:after="40"/>
        <w:rPr>
          <w:rFonts w:ascii="Arial" w:eastAsia="Arial Unicode MS" w:hAnsi="Arial" w:cs="Arial"/>
          <w:sz w:val="20"/>
          <w:szCs w:val="20"/>
        </w:rPr>
      </w:pPr>
    </w:p>
    <w:p w14:paraId="4DBDC580" w14:textId="044EA136" w:rsidR="00C73175" w:rsidRDefault="00C73175" w:rsidP="00676BFE">
      <w:pPr>
        <w:spacing w:after="40"/>
        <w:rPr>
          <w:rFonts w:ascii="Arial" w:eastAsia="Arial Unicode MS" w:hAnsi="Arial" w:cs="Arial"/>
          <w:sz w:val="20"/>
          <w:szCs w:val="20"/>
        </w:rPr>
      </w:pPr>
    </w:p>
    <w:p w14:paraId="578B42B2" w14:textId="148A9BB4" w:rsidR="00C73175" w:rsidRDefault="00C73175" w:rsidP="00676BFE">
      <w:pPr>
        <w:spacing w:after="40"/>
        <w:rPr>
          <w:rFonts w:ascii="Arial" w:eastAsia="Arial Unicode MS" w:hAnsi="Arial" w:cs="Arial"/>
          <w:sz w:val="20"/>
          <w:szCs w:val="20"/>
        </w:rPr>
      </w:pPr>
    </w:p>
    <w:p w14:paraId="24841798" w14:textId="7A89D577" w:rsidR="00C73175" w:rsidRDefault="00C73175" w:rsidP="00676BFE">
      <w:pPr>
        <w:spacing w:after="40"/>
        <w:rPr>
          <w:rFonts w:ascii="Arial" w:eastAsia="Arial Unicode MS" w:hAnsi="Arial" w:cs="Arial"/>
          <w:sz w:val="20"/>
          <w:szCs w:val="20"/>
        </w:rPr>
      </w:pPr>
    </w:p>
    <w:p w14:paraId="14CF3FBA" w14:textId="6DCC8208" w:rsidR="00C73175" w:rsidRDefault="00C73175" w:rsidP="00676BFE">
      <w:pPr>
        <w:spacing w:after="40"/>
        <w:rPr>
          <w:rFonts w:ascii="Arial" w:eastAsia="Arial Unicode MS" w:hAnsi="Arial" w:cs="Arial"/>
          <w:sz w:val="20"/>
          <w:szCs w:val="20"/>
        </w:rPr>
      </w:pPr>
    </w:p>
    <w:p w14:paraId="59A56756" w14:textId="397A46F4" w:rsidR="00C73175" w:rsidRDefault="00C73175" w:rsidP="00676BFE">
      <w:pPr>
        <w:spacing w:after="40"/>
        <w:rPr>
          <w:rFonts w:ascii="Arial" w:eastAsia="Arial Unicode MS" w:hAnsi="Arial" w:cs="Arial"/>
          <w:sz w:val="20"/>
          <w:szCs w:val="20"/>
        </w:rPr>
      </w:pPr>
    </w:p>
    <w:p w14:paraId="2300CA05" w14:textId="7052F150" w:rsidR="00C73175" w:rsidRDefault="00C73175" w:rsidP="00676BFE">
      <w:pPr>
        <w:spacing w:after="40"/>
        <w:rPr>
          <w:rFonts w:ascii="Arial" w:eastAsia="Arial Unicode MS" w:hAnsi="Arial" w:cs="Arial"/>
          <w:sz w:val="20"/>
          <w:szCs w:val="20"/>
        </w:rPr>
      </w:pPr>
    </w:p>
    <w:p w14:paraId="39007F8D" w14:textId="632A16DE" w:rsidR="00C73175" w:rsidRDefault="00C73175" w:rsidP="00676BFE">
      <w:pPr>
        <w:spacing w:after="40"/>
        <w:rPr>
          <w:rFonts w:ascii="Arial" w:eastAsia="Arial Unicode MS" w:hAnsi="Arial" w:cs="Arial"/>
          <w:sz w:val="20"/>
          <w:szCs w:val="20"/>
        </w:rPr>
      </w:pPr>
    </w:p>
    <w:p w14:paraId="60BC29E6" w14:textId="2DA041EF" w:rsidR="00C73175" w:rsidRDefault="00C73175" w:rsidP="00676BFE">
      <w:pPr>
        <w:spacing w:after="40"/>
        <w:rPr>
          <w:rFonts w:ascii="Arial" w:eastAsia="Arial Unicode MS" w:hAnsi="Arial" w:cs="Arial"/>
          <w:sz w:val="20"/>
          <w:szCs w:val="20"/>
        </w:rPr>
      </w:pPr>
    </w:p>
    <w:p w14:paraId="780E3E72" w14:textId="557E8656" w:rsidR="00C73175" w:rsidRDefault="00C73175" w:rsidP="00676BFE">
      <w:pPr>
        <w:spacing w:after="40"/>
        <w:rPr>
          <w:rFonts w:ascii="Arial" w:eastAsia="Arial Unicode MS" w:hAnsi="Arial" w:cs="Arial"/>
          <w:sz w:val="20"/>
          <w:szCs w:val="20"/>
        </w:rPr>
      </w:pPr>
    </w:p>
    <w:p w14:paraId="71F472DF" w14:textId="49E7C8DA" w:rsidR="00C73175" w:rsidRDefault="00C73175" w:rsidP="00676BFE">
      <w:pPr>
        <w:spacing w:after="40"/>
        <w:rPr>
          <w:rFonts w:ascii="Arial" w:eastAsia="Arial Unicode MS" w:hAnsi="Arial" w:cs="Arial"/>
          <w:sz w:val="20"/>
          <w:szCs w:val="20"/>
        </w:rPr>
      </w:pPr>
    </w:p>
    <w:p w14:paraId="5C112624" w14:textId="18F10FD8" w:rsidR="00C73175" w:rsidRDefault="00C73175" w:rsidP="00676BFE">
      <w:pPr>
        <w:spacing w:after="40"/>
        <w:rPr>
          <w:rFonts w:ascii="Arial" w:eastAsia="Arial Unicode MS" w:hAnsi="Arial" w:cs="Arial"/>
          <w:sz w:val="20"/>
          <w:szCs w:val="20"/>
        </w:rPr>
      </w:pPr>
    </w:p>
    <w:p w14:paraId="2C6C8E73" w14:textId="33678ACE" w:rsidR="00C73175" w:rsidRDefault="00C40707" w:rsidP="00744CDB">
      <w:pPr>
        <w:spacing w:after="40"/>
        <w:ind w:firstLine="567"/>
        <w:rPr>
          <w:rFonts w:ascii="Arial" w:eastAsia="Arial Unicode MS" w:hAnsi="Arial" w:cs="Arial"/>
          <w:sz w:val="28"/>
          <w:szCs w:val="28"/>
        </w:rPr>
      </w:pPr>
      <w:r w:rsidRPr="00533035">
        <w:rPr>
          <w:rFonts w:ascii="Arial" w:eastAsia="Arial Unicode MS" w:hAnsi="Arial" w:cs="Arial"/>
          <w:sz w:val="28"/>
          <w:szCs w:val="28"/>
        </w:rPr>
        <w:lastRenderedPageBreak/>
        <w:t>Demonstração das Variações Patrimoniais</w:t>
      </w:r>
      <w:r w:rsidR="009D48A1">
        <w:rPr>
          <w:rFonts w:ascii="Arial" w:eastAsia="Arial Unicode MS" w:hAnsi="Arial" w:cs="Arial"/>
          <w:sz w:val="28"/>
          <w:szCs w:val="28"/>
        </w:rPr>
        <w:br/>
      </w:r>
      <w:r w:rsidR="009D48A1" w:rsidRPr="009D48A1">
        <w:rPr>
          <w:rFonts w:ascii="Arial" w:eastAsia="Arial Unicode MS" w:hAnsi="Arial" w:cs="Arial"/>
          <w:noProof/>
          <w:sz w:val="28"/>
          <w:szCs w:val="28"/>
        </w:rPr>
        <w:drawing>
          <wp:inline distT="0" distB="0" distL="0" distR="0" wp14:anchorId="01423BA4" wp14:editId="14D9E6E0">
            <wp:extent cx="4740275" cy="2070100"/>
            <wp:effectExtent l="0" t="0" r="317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0275" cy="2070100"/>
                    </a:xfrm>
                    <a:prstGeom prst="rect">
                      <a:avLst/>
                    </a:prstGeom>
                    <a:noFill/>
                    <a:ln>
                      <a:noFill/>
                    </a:ln>
                  </pic:spPr>
                </pic:pic>
              </a:graphicData>
            </a:graphic>
          </wp:inline>
        </w:drawing>
      </w:r>
    </w:p>
    <w:p w14:paraId="2644CE50" w14:textId="16593EAC" w:rsidR="009D48A1" w:rsidRDefault="009D48A1" w:rsidP="009D48A1">
      <w:pPr>
        <w:spacing w:after="40"/>
        <w:rPr>
          <w:rFonts w:ascii="Arial" w:eastAsia="Arial Unicode MS" w:hAnsi="Arial" w:cs="Arial"/>
          <w:sz w:val="28"/>
          <w:szCs w:val="28"/>
        </w:rPr>
      </w:pPr>
      <w:r w:rsidRPr="009D48A1">
        <w:rPr>
          <w:rFonts w:ascii="Arial" w:eastAsia="Arial Unicode MS" w:hAnsi="Arial" w:cs="Arial"/>
          <w:noProof/>
          <w:sz w:val="28"/>
          <w:szCs w:val="28"/>
        </w:rPr>
        <w:drawing>
          <wp:inline distT="0" distB="0" distL="0" distR="0" wp14:anchorId="30FBA10E" wp14:editId="0F1AE894">
            <wp:extent cx="4835525" cy="5010785"/>
            <wp:effectExtent l="0" t="0" r="317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5525" cy="5010785"/>
                    </a:xfrm>
                    <a:prstGeom prst="rect">
                      <a:avLst/>
                    </a:prstGeom>
                    <a:noFill/>
                    <a:ln>
                      <a:noFill/>
                    </a:ln>
                  </pic:spPr>
                </pic:pic>
              </a:graphicData>
            </a:graphic>
          </wp:inline>
        </w:drawing>
      </w:r>
    </w:p>
    <w:p w14:paraId="4B53BFFD" w14:textId="4BF0C84B" w:rsidR="00D42FB9" w:rsidRDefault="00D42FB9" w:rsidP="00744CDB">
      <w:pPr>
        <w:spacing w:after="40"/>
        <w:ind w:firstLine="567"/>
        <w:rPr>
          <w:rFonts w:ascii="Arial" w:eastAsia="Arial Unicode MS" w:hAnsi="Arial" w:cs="Arial"/>
          <w:sz w:val="28"/>
          <w:szCs w:val="28"/>
        </w:rPr>
      </w:pPr>
    </w:p>
    <w:p w14:paraId="098EE787" w14:textId="637B5E31" w:rsidR="00C73175" w:rsidRDefault="00C73175" w:rsidP="00C73175">
      <w:pPr>
        <w:spacing w:after="40"/>
        <w:rPr>
          <w:rFonts w:ascii="Arial" w:eastAsia="Arial Unicode MS" w:hAnsi="Arial" w:cs="Arial"/>
          <w:sz w:val="28"/>
          <w:szCs w:val="28"/>
        </w:rPr>
      </w:pPr>
    </w:p>
    <w:p w14:paraId="7E331355" w14:textId="08799314" w:rsidR="00D42FB9" w:rsidRDefault="00D42FB9" w:rsidP="004F53A5">
      <w:pPr>
        <w:spacing w:after="40"/>
        <w:rPr>
          <w:rFonts w:ascii="Arial" w:eastAsia="Arial Unicode MS" w:hAnsi="Arial" w:cs="Arial"/>
          <w:sz w:val="20"/>
          <w:szCs w:val="20"/>
        </w:rPr>
      </w:pPr>
    </w:p>
    <w:p w14:paraId="3B0C08A9" w14:textId="57B4FD2E" w:rsidR="00D42FB9" w:rsidRDefault="00D42FB9" w:rsidP="004F53A5">
      <w:pPr>
        <w:spacing w:after="40"/>
        <w:rPr>
          <w:rFonts w:ascii="Arial" w:eastAsia="Arial Unicode MS" w:hAnsi="Arial" w:cs="Arial"/>
          <w:sz w:val="20"/>
          <w:szCs w:val="20"/>
        </w:rPr>
      </w:pPr>
    </w:p>
    <w:p w14:paraId="5561B9FB" w14:textId="2128BE15" w:rsidR="00D42FB9" w:rsidRDefault="00D42FB9" w:rsidP="004F53A5">
      <w:pPr>
        <w:spacing w:after="40"/>
        <w:rPr>
          <w:rFonts w:ascii="Arial" w:eastAsia="Arial Unicode MS" w:hAnsi="Arial" w:cs="Arial"/>
          <w:sz w:val="20"/>
          <w:szCs w:val="20"/>
        </w:rPr>
      </w:pPr>
    </w:p>
    <w:p w14:paraId="3310F4AF" w14:textId="2C87BB3C" w:rsidR="00D42FB9" w:rsidRDefault="00D42FB9" w:rsidP="004F53A5">
      <w:pPr>
        <w:spacing w:after="40"/>
        <w:rPr>
          <w:rFonts w:ascii="Arial" w:eastAsia="Arial Unicode MS" w:hAnsi="Arial" w:cs="Arial"/>
          <w:sz w:val="20"/>
          <w:szCs w:val="20"/>
        </w:rPr>
      </w:pPr>
    </w:p>
    <w:p w14:paraId="6E26C895" w14:textId="60E9E986" w:rsidR="00D42FB9" w:rsidRDefault="00D42FB9" w:rsidP="004F53A5">
      <w:pPr>
        <w:spacing w:after="40"/>
        <w:rPr>
          <w:rFonts w:ascii="Arial" w:eastAsia="Arial Unicode MS" w:hAnsi="Arial" w:cs="Arial"/>
          <w:sz w:val="20"/>
          <w:szCs w:val="20"/>
        </w:rPr>
      </w:pPr>
    </w:p>
    <w:p w14:paraId="08B09B04" w14:textId="7A379A0D" w:rsidR="00D42FB9" w:rsidRDefault="00D42FB9" w:rsidP="004F53A5">
      <w:pPr>
        <w:spacing w:after="40"/>
        <w:rPr>
          <w:rFonts w:ascii="Arial" w:eastAsia="Arial Unicode MS" w:hAnsi="Arial" w:cs="Arial"/>
          <w:sz w:val="20"/>
          <w:szCs w:val="20"/>
        </w:rPr>
      </w:pPr>
    </w:p>
    <w:p w14:paraId="421DEE5E" w14:textId="114E598D" w:rsidR="00D42FB9" w:rsidRDefault="00D42FB9" w:rsidP="004F53A5">
      <w:pPr>
        <w:spacing w:after="40"/>
        <w:rPr>
          <w:rFonts w:ascii="Arial" w:eastAsia="Arial Unicode MS" w:hAnsi="Arial" w:cs="Arial"/>
          <w:sz w:val="20"/>
          <w:szCs w:val="20"/>
        </w:rPr>
      </w:pPr>
    </w:p>
    <w:p w14:paraId="05CE420E" w14:textId="78C61C34" w:rsidR="00D42FB9" w:rsidRDefault="00D42FB9" w:rsidP="004F53A5">
      <w:pPr>
        <w:spacing w:after="40"/>
        <w:rPr>
          <w:rFonts w:ascii="Arial" w:eastAsia="Arial Unicode MS" w:hAnsi="Arial" w:cs="Arial"/>
          <w:sz w:val="20"/>
          <w:szCs w:val="20"/>
        </w:rPr>
      </w:pPr>
    </w:p>
    <w:p w14:paraId="127CC9C3" w14:textId="1ED9D48A" w:rsidR="00D42FB9" w:rsidRDefault="00756B26" w:rsidP="008C268B">
      <w:pPr>
        <w:tabs>
          <w:tab w:val="left" w:pos="9525"/>
        </w:tabs>
        <w:spacing w:after="40"/>
        <w:ind w:firstLine="567"/>
        <w:rPr>
          <w:rFonts w:ascii="Arial" w:eastAsia="Arial Unicode MS" w:hAnsi="Arial" w:cs="Arial"/>
          <w:sz w:val="28"/>
          <w:szCs w:val="28"/>
        </w:rPr>
      </w:pPr>
      <w:r w:rsidRPr="00533035">
        <w:rPr>
          <w:rFonts w:ascii="Arial" w:eastAsia="Arial Unicode MS" w:hAnsi="Arial" w:cs="Arial"/>
          <w:sz w:val="28"/>
          <w:szCs w:val="28"/>
        </w:rPr>
        <w:lastRenderedPageBreak/>
        <w:t>Balanço Orçamentário</w:t>
      </w:r>
    </w:p>
    <w:p w14:paraId="25BB6BAE" w14:textId="31D0BC3C" w:rsidR="009D48A1" w:rsidRDefault="009D48A1" w:rsidP="008C268B">
      <w:pPr>
        <w:tabs>
          <w:tab w:val="left" w:pos="9525"/>
        </w:tabs>
        <w:spacing w:after="40"/>
        <w:ind w:firstLine="567"/>
        <w:rPr>
          <w:rFonts w:ascii="Arial" w:eastAsia="Arial Unicode MS" w:hAnsi="Arial" w:cs="Arial"/>
          <w:sz w:val="28"/>
          <w:szCs w:val="28"/>
        </w:rPr>
      </w:pPr>
      <w:r w:rsidRPr="009D48A1">
        <w:rPr>
          <w:rFonts w:ascii="Arial" w:eastAsia="Arial Unicode MS" w:hAnsi="Arial" w:cs="Arial"/>
          <w:noProof/>
          <w:sz w:val="28"/>
          <w:szCs w:val="28"/>
        </w:rPr>
        <w:drawing>
          <wp:inline distT="0" distB="0" distL="0" distR="0" wp14:anchorId="294B80FE" wp14:editId="63960055">
            <wp:extent cx="4981575" cy="310134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3101340"/>
                    </a:xfrm>
                    <a:prstGeom prst="rect">
                      <a:avLst/>
                    </a:prstGeom>
                    <a:noFill/>
                    <a:ln>
                      <a:noFill/>
                    </a:ln>
                  </pic:spPr>
                </pic:pic>
              </a:graphicData>
            </a:graphic>
          </wp:inline>
        </w:drawing>
      </w:r>
    </w:p>
    <w:p w14:paraId="2FD22AFB" w14:textId="43ECBB00" w:rsidR="009D48A1" w:rsidRDefault="009D48A1" w:rsidP="008C268B">
      <w:pPr>
        <w:tabs>
          <w:tab w:val="left" w:pos="9525"/>
        </w:tabs>
        <w:spacing w:after="40"/>
        <w:ind w:firstLine="567"/>
        <w:rPr>
          <w:rFonts w:ascii="Arial" w:eastAsia="Arial Unicode MS" w:hAnsi="Arial" w:cs="Arial"/>
          <w:sz w:val="28"/>
          <w:szCs w:val="28"/>
        </w:rPr>
      </w:pPr>
      <w:r w:rsidRPr="009D48A1">
        <w:rPr>
          <w:rFonts w:ascii="Arial" w:eastAsia="Arial Unicode MS" w:hAnsi="Arial" w:cs="Arial"/>
          <w:noProof/>
          <w:sz w:val="28"/>
          <w:szCs w:val="28"/>
        </w:rPr>
        <w:drawing>
          <wp:inline distT="0" distB="0" distL="0" distR="0" wp14:anchorId="061D95AE" wp14:editId="52DD3CBE">
            <wp:extent cx="6371590" cy="310134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1590" cy="3101340"/>
                    </a:xfrm>
                    <a:prstGeom prst="rect">
                      <a:avLst/>
                    </a:prstGeom>
                    <a:noFill/>
                    <a:ln>
                      <a:noFill/>
                    </a:ln>
                  </pic:spPr>
                </pic:pic>
              </a:graphicData>
            </a:graphic>
          </wp:inline>
        </w:drawing>
      </w:r>
    </w:p>
    <w:p w14:paraId="6BCECFA8" w14:textId="4B37196A" w:rsidR="009D48A1" w:rsidRDefault="009D48A1" w:rsidP="008C268B">
      <w:pPr>
        <w:tabs>
          <w:tab w:val="left" w:pos="9525"/>
        </w:tabs>
        <w:spacing w:after="40"/>
        <w:ind w:firstLine="567"/>
        <w:rPr>
          <w:rFonts w:ascii="Arial" w:eastAsia="Arial Unicode MS" w:hAnsi="Arial" w:cs="Arial"/>
          <w:sz w:val="28"/>
          <w:szCs w:val="28"/>
        </w:rPr>
      </w:pPr>
      <w:r w:rsidRPr="009D48A1">
        <w:rPr>
          <w:rFonts w:ascii="Arial" w:eastAsia="Arial Unicode MS" w:hAnsi="Arial" w:cs="Arial"/>
          <w:noProof/>
          <w:sz w:val="28"/>
          <w:szCs w:val="28"/>
        </w:rPr>
        <w:drawing>
          <wp:inline distT="0" distB="0" distL="0" distR="0" wp14:anchorId="59FA9252" wp14:editId="6FEF5259">
            <wp:extent cx="4154805" cy="171196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4805" cy="1711960"/>
                    </a:xfrm>
                    <a:prstGeom prst="rect">
                      <a:avLst/>
                    </a:prstGeom>
                    <a:noFill/>
                    <a:ln>
                      <a:noFill/>
                    </a:ln>
                  </pic:spPr>
                </pic:pic>
              </a:graphicData>
            </a:graphic>
          </wp:inline>
        </w:drawing>
      </w:r>
    </w:p>
    <w:p w14:paraId="0FA70181" w14:textId="77777777" w:rsidR="009D48A1" w:rsidRDefault="009D48A1" w:rsidP="008C268B">
      <w:pPr>
        <w:tabs>
          <w:tab w:val="left" w:pos="9525"/>
        </w:tabs>
        <w:spacing w:after="40"/>
        <w:ind w:firstLine="567"/>
        <w:rPr>
          <w:rFonts w:ascii="Arial" w:eastAsia="Arial Unicode MS" w:hAnsi="Arial" w:cs="Arial"/>
          <w:sz w:val="28"/>
          <w:szCs w:val="28"/>
        </w:rPr>
      </w:pPr>
    </w:p>
    <w:p w14:paraId="2A33CDDE" w14:textId="0BFA8545" w:rsidR="00D42FB9" w:rsidRDefault="00D42FB9" w:rsidP="008C268B">
      <w:pPr>
        <w:tabs>
          <w:tab w:val="left" w:pos="9525"/>
        </w:tabs>
        <w:spacing w:after="40"/>
        <w:ind w:firstLine="567"/>
        <w:rPr>
          <w:rFonts w:ascii="Arial" w:eastAsia="Arial Unicode MS" w:hAnsi="Arial" w:cs="Arial"/>
          <w:sz w:val="28"/>
          <w:szCs w:val="28"/>
        </w:rPr>
      </w:pPr>
    </w:p>
    <w:p w14:paraId="125CA6D9" w14:textId="24D76F66" w:rsidR="006D7255" w:rsidRDefault="008C268B" w:rsidP="008C268B">
      <w:pPr>
        <w:tabs>
          <w:tab w:val="left" w:pos="9525"/>
        </w:tabs>
        <w:spacing w:after="40"/>
        <w:ind w:firstLine="567"/>
        <w:rPr>
          <w:rFonts w:ascii="Arial" w:eastAsia="Arial Unicode MS" w:hAnsi="Arial" w:cs="Arial"/>
          <w:sz w:val="20"/>
          <w:szCs w:val="20"/>
        </w:rPr>
        <w:sectPr w:rsidR="006D7255" w:rsidSect="00E576AD">
          <w:type w:val="continuous"/>
          <w:pgSz w:w="11906" w:h="16838"/>
          <w:pgMar w:top="1021" w:right="851" w:bottom="851" w:left="851" w:header="709" w:footer="0" w:gutter="0"/>
          <w:cols w:space="144"/>
          <w:docGrid w:linePitch="360"/>
        </w:sectPr>
      </w:pPr>
      <w:r>
        <w:rPr>
          <w:rFonts w:ascii="Arial" w:eastAsia="Arial Unicode MS" w:hAnsi="Arial" w:cs="Arial"/>
          <w:sz w:val="28"/>
          <w:szCs w:val="28"/>
        </w:rPr>
        <w:tab/>
      </w:r>
    </w:p>
    <w:p w14:paraId="159E78C5" w14:textId="73DDF41F" w:rsidR="00C73175" w:rsidRDefault="00C73175" w:rsidP="001F7B7F">
      <w:pPr>
        <w:spacing w:after="40"/>
        <w:ind w:right="536"/>
        <w:rPr>
          <w:rFonts w:ascii="Arial" w:eastAsia="Arial Unicode MS" w:hAnsi="Arial" w:cs="Arial"/>
          <w:sz w:val="20"/>
          <w:szCs w:val="20"/>
        </w:rPr>
      </w:pPr>
    </w:p>
    <w:p w14:paraId="4E500FDB" w14:textId="77777777" w:rsidR="006D7255" w:rsidRDefault="006D7255" w:rsidP="008C268B">
      <w:pPr>
        <w:spacing w:after="40"/>
        <w:ind w:right="178"/>
        <w:rPr>
          <w:rFonts w:ascii="Arial" w:eastAsia="Arial Unicode MS" w:hAnsi="Arial" w:cs="Arial"/>
          <w:sz w:val="20"/>
          <w:szCs w:val="20"/>
        </w:rPr>
      </w:pPr>
    </w:p>
    <w:p w14:paraId="59E783A0" w14:textId="24EB4678" w:rsidR="008C268B" w:rsidRDefault="008C268B" w:rsidP="001F7B7F">
      <w:pPr>
        <w:spacing w:after="40"/>
        <w:ind w:right="536"/>
        <w:rPr>
          <w:rFonts w:ascii="Arial" w:eastAsia="Arial Unicode MS" w:hAnsi="Arial" w:cs="Arial"/>
          <w:sz w:val="20"/>
          <w:szCs w:val="20"/>
        </w:rPr>
      </w:pPr>
    </w:p>
    <w:p w14:paraId="1E37F1D4" w14:textId="77777777" w:rsidR="008C268B" w:rsidRDefault="008C268B" w:rsidP="001F7B7F">
      <w:pPr>
        <w:spacing w:after="40"/>
        <w:ind w:right="536"/>
        <w:rPr>
          <w:rFonts w:ascii="Arial" w:eastAsia="Arial Unicode MS" w:hAnsi="Arial" w:cs="Arial"/>
          <w:sz w:val="20"/>
          <w:szCs w:val="20"/>
        </w:rPr>
      </w:pPr>
    </w:p>
    <w:p w14:paraId="3A7A9E2C" w14:textId="597F1B86" w:rsidR="006D7255" w:rsidRDefault="006D7255" w:rsidP="006D7255">
      <w:pPr>
        <w:spacing w:after="40"/>
        <w:ind w:firstLine="567"/>
        <w:rPr>
          <w:rFonts w:ascii="Arial" w:eastAsia="Arial Unicode MS" w:hAnsi="Arial" w:cs="Arial"/>
          <w:sz w:val="28"/>
          <w:szCs w:val="28"/>
        </w:rPr>
      </w:pPr>
      <w:r w:rsidRPr="00533035">
        <w:rPr>
          <w:rFonts w:ascii="Arial" w:eastAsia="Arial Unicode MS" w:hAnsi="Arial" w:cs="Arial"/>
          <w:sz w:val="28"/>
          <w:szCs w:val="28"/>
        </w:rPr>
        <w:t xml:space="preserve">Balanço </w:t>
      </w:r>
      <w:r>
        <w:rPr>
          <w:rFonts w:ascii="Arial" w:eastAsia="Arial Unicode MS" w:hAnsi="Arial" w:cs="Arial"/>
          <w:sz w:val="28"/>
          <w:szCs w:val="28"/>
        </w:rPr>
        <w:t>Financeiro</w:t>
      </w:r>
    </w:p>
    <w:p w14:paraId="7C4FD558" w14:textId="328D88FE" w:rsidR="00EA04D0" w:rsidRDefault="00EA04D0" w:rsidP="006D7255">
      <w:pPr>
        <w:spacing w:after="40"/>
        <w:ind w:firstLine="567"/>
        <w:rPr>
          <w:rFonts w:ascii="Arial" w:eastAsia="Arial Unicode MS" w:hAnsi="Arial" w:cs="Arial"/>
          <w:sz w:val="28"/>
          <w:szCs w:val="28"/>
        </w:rPr>
      </w:pPr>
      <w:r w:rsidRPr="00EA04D0">
        <w:rPr>
          <w:rFonts w:ascii="Arial" w:eastAsia="Arial Unicode MS" w:hAnsi="Arial" w:cs="Arial"/>
          <w:noProof/>
          <w:sz w:val="28"/>
          <w:szCs w:val="28"/>
        </w:rPr>
        <w:drawing>
          <wp:inline distT="0" distB="0" distL="0" distR="0" wp14:anchorId="599A129F" wp14:editId="2A19959E">
            <wp:extent cx="4505960" cy="6042660"/>
            <wp:effectExtent l="0" t="0" r="889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5960" cy="6042660"/>
                    </a:xfrm>
                    <a:prstGeom prst="rect">
                      <a:avLst/>
                    </a:prstGeom>
                    <a:noFill/>
                    <a:ln>
                      <a:noFill/>
                    </a:ln>
                  </pic:spPr>
                </pic:pic>
              </a:graphicData>
            </a:graphic>
          </wp:inline>
        </w:drawing>
      </w:r>
    </w:p>
    <w:p w14:paraId="3F602709" w14:textId="77D972E5" w:rsidR="00D42FB9" w:rsidRDefault="00D42FB9" w:rsidP="006D7255">
      <w:pPr>
        <w:spacing w:after="40"/>
        <w:ind w:firstLine="567"/>
        <w:rPr>
          <w:rFonts w:ascii="Arial" w:eastAsia="Arial Unicode MS" w:hAnsi="Arial" w:cs="Arial"/>
          <w:sz w:val="28"/>
          <w:szCs w:val="28"/>
        </w:rPr>
      </w:pPr>
    </w:p>
    <w:p w14:paraId="6CD356AB" w14:textId="7B8A931B" w:rsidR="00996B00" w:rsidRPr="00533035" w:rsidRDefault="00996B00" w:rsidP="00996B00">
      <w:pPr>
        <w:spacing w:after="40"/>
        <w:rPr>
          <w:rFonts w:ascii="Arial" w:eastAsia="Arial Unicode MS" w:hAnsi="Arial" w:cs="Arial"/>
          <w:sz w:val="28"/>
          <w:szCs w:val="28"/>
        </w:rPr>
      </w:pPr>
    </w:p>
    <w:p w14:paraId="6BF4535E" w14:textId="7C4A0B48" w:rsidR="00E40488" w:rsidRDefault="00E40488" w:rsidP="004F53A5">
      <w:pPr>
        <w:spacing w:after="40"/>
        <w:rPr>
          <w:noProof/>
          <w:lang w:eastAsia="pt-BR"/>
        </w:rPr>
      </w:pPr>
    </w:p>
    <w:p w14:paraId="3F9FBB59" w14:textId="47B174A1" w:rsidR="00996B00" w:rsidRDefault="00996B00" w:rsidP="004F53A5">
      <w:pPr>
        <w:spacing w:after="40"/>
        <w:rPr>
          <w:noProof/>
          <w:lang w:eastAsia="pt-BR"/>
        </w:rPr>
      </w:pPr>
    </w:p>
    <w:p w14:paraId="7DD4248B" w14:textId="4E8AE374" w:rsidR="00996B00" w:rsidRDefault="00996B00" w:rsidP="004F53A5">
      <w:pPr>
        <w:spacing w:after="40"/>
        <w:rPr>
          <w:noProof/>
          <w:lang w:eastAsia="pt-BR"/>
        </w:rPr>
      </w:pPr>
    </w:p>
    <w:p w14:paraId="4144B5D4" w14:textId="77777777" w:rsidR="00996B00" w:rsidRDefault="00996B00" w:rsidP="004F53A5">
      <w:pPr>
        <w:spacing w:after="40"/>
        <w:rPr>
          <w:rFonts w:ascii="Arial" w:eastAsia="Arial Unicode MS" w:hAnsi="Arial" w:cs="Arial"/>
          <w:sz w:val="20"/>
          <w:szCs w:val="20"/>
        </w:rPr>
      </w:pPr>
    </w:p>
    <w:p w14:paraId="22965A47" w14:textId="0EF3B545" w:rsidR="005432E7" w:rsidRDefault="005432E7" w:rsidP="004F53A5">
      <w:pPr>
        <w:spacing w:after="40"/>
        <w:rPr>
          <w:rFonts w:ascii="Arial" w:eastAsia="Arial Unicode MS" w:hAnsi="Arial" w:cs="Arial"/>
          <w:sz w:val="20"/>
          <w:szCs w:val="20"/>
        </w:rPr>
      </w:pPr>
    </w:p>
    <w:p w14:paraId="367DCA32" w14:textId="01A35FCC" w:rsidR="005432E7" w:rsidRDefault="005432E7" w:rsidP="004F53A5">
      <w:pPr>
        <w:spacing w:after="40"/>
        <w:rPr>
          <w:rFonts w:ascii="Arial" w:eastAsia="Arial Unicode MS" w:hAnsi="Arial" w:cs="Arial"/>
          <w:sz w:val="20"/>
          <w:szCs w:val="20"/>
        </w:rPr>
      </w:pPr>
    </w:p>
    <w:p w14:paraId="739EBF5E" w14:textId="57AAFEC1" w:rsidR="005432E7" w:rsidRDefault="005432E7" w:rsidP="004F53A5">
      <w:pPr>
        <w:spacing w:after="40"/>
        <w:rPr>
          <w:rFonts w:ascii="Arial" w:eastAsia="Arial Unicode MS" w:hAnsi="Arial" w:cs="Arial"/>
          <w:sz w:val="20"/>
          <w:szCs w:val="20"/>
        </w:rPr>
      </w:pPr>
    </w:p>
    <w:p w14:paraId="55FC29EC" w14:textId="36E9CD35" w:rsidR="005432E7" w:rsidRDefault="005432E7" w:rsidP="004F53A5">
      <w:pPr>
        <w:spacing w:after="40"/>
        <w:rPr>
          <w:rFonts w:ascii="Arial" w:eastAsia="Arial Unicode MS" w:hAnsi="Arial" w:cs="Arial"/>
          <w:sz w:val="20"/>
          <w:szCs w:val="20"/>
        </w:rPr>
      </w:pPr>
    </w:p>
    <w:p w14:paraId="42724AFD" w14:textId="401ADB23" w:rsidR="005432E7" w:rsidRDefault="005432E7" w:rsidP="004F53A5">
      <w:pPr>
        <w:spacing w:after="40"/>
        <w:rPr>
          <w:rFonts w:ascii="Arial" w:eastAsia="Arial Unicode MS" w:hAnsi="Arial" w:cs="Arial"/>
          <w:sz w:val="20"/>
          <w:szCs w:val="20"/>
        </w:rPr>
      </w:pPr>
    </w:p>
    <w:p w14:paraId="615597F8" w14:textId="7E21FEEC" w:rsidR="005432E7" w:rsidRDefault="005432E7" w:rsidP="004F53A5">
      <w:pPr>
        <w:spacing w:after="40"/>
        <w:rPr>
          <w:rFonts w:ascii="Arial" w:eastAsia="Arial Unicode MS" w:hAnsi="Arial" w:cs="Arial"/>
          <w:sz w:val="20"/>
          <w:szCs w:val="20"/>
        </w:rPr>
      </w:pPr>
    </w:p>
    <w:p w14:paraId="793DA4FC" w14:textId="57BA9BE3" w:rsidR="005432E7" w:rsidRDefault="005432E7" w:rsidP="004F53A5">
      <w:pPr>
        <w:spacing w:after="40"/>
        <w:rPr>
          <w:rFonts w:ascii="Arial" w:eastAsia="Arial Unicode MS" w:hAnsi="Arial" w:cs="Arial"/>
          <w:sz w:val="20"/>
          <w:szCs w:val="20"/>
        </w:rPr>
      </w:pPr>
    </w:p>
    <w:p w14:paraId="2CFB36E5" w14:textId="17EC2815" w:rsidR="005432E7" w:rsidRDefault="005432E7" w:rsidP="004F53A5">
      <w:pPr>
        <w:spacing w:after="40"/>
        <w:rPr>
          <w:rFonts w:ascii="Arial" w:eastAsia="Arial Unicode MS" w:hAnsi="Arial" w:cs="Arial"/>
          <w:sz w:val="20"/>
          <w:szCs w:val="20"/>
        </w:rPr>
      </w:pPr>
    </w:p>
    <w:p w14:paraId="59CA5C9C" w14:textId="3A5C6CF6" w:rsidR="005432E7" w:rsidRDefault="005432E7" w:rsidP="004F53A5">
      <w:pPr>
        <w:spacing w:after="40"/>
        <w:rPr>
          <w:rFonts w:ascii="Arial" w:eastAsia="Arial Unicode MS" w:hAnsi="Arial" w:cs="Arial"/>
          <w:sz w:val="20"/>
          <w:szCs w:val="20"/>
        </w:rPr>
      </w:pPr>
    </w:p>
    <w:p w14:paraId="45E77542" w14:textId="2559883D" w:rsidR="00D559BD" w:rsidRDefault="00D559BD" w:rsidP="00D559BD">
      <w:pPr>
        <w:spacing w:after="40"/>
        <w:ind w:firstLine="567"/>
        <w:rPr>
          <w:rFonts w:ascii="Arial" w:eastAsia="Arial Unicode MS" w:hAnsi="Arial" w:cs="Arial"/>
          <w:sz w:val="28"/>
          <w:szCs w:val="28"/>
        </w:rPr>
      </w:pPr>
      <w:r>
        <w:rPr>
          <w:rFonts w:ascii="Arial" w:eastAsia="Arial Unicode MS" w:hAnsi="Arial" w:cs="Arial"/>
          <w:sz w:val="28"/>
          <w:szCs w:val="28"/>
        </w:rPr>
        <w:lastRenderedPageBreak/>
        <w:t>Demonstração dos Fluxos de Caixa</w:t>
      </w:r>
    </w:p>
    <w:p w14:paraId="76CC62A0" w14:textId="5FA1615B" w:rsidR="00EA04D0" w:rsidRDefault="00EA04D0" w:rsidP="00D559BD">
      <w:pPr>
        <w:spacing w:after="40"/>
        <w:ind w:firstLine="567"/>
        <w:rPr>
          <w:rFonts w:ascii="Arial" w:eastAsia="Arial Unicode MS" w:hAnsi="Arial" w:cs="Arial"/>
          <w:sz w:val="28"/>
          <w:szCs w:val="28"/>
        </w:rPr>
      </w:pPr>
      <w:r w:rsidRPr="00EA04D0">
        <w:rPr>
          <w:rFonts w:ascii="Arial" w:eastAsia="Arial Unicode MS" w:hAnsi="Arial" w:cs="Arial"/>
          <w:noProof/>
          <w:sz w:val="28"/>
          <w:szCs w:val="28"/>
        </w:rPr>
        <w:drawing>
          <wp:inline distT="0" distB="0" distL="0" distR="0" wp14:anchorId="5E3E22FB" wp14:editId="6BE8DE34">
            <wp:extent cx="4945380" cy="5669280"/>
            <wp:effectExtent l="0" t="0" r="762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5380" cy="5669280"/>
                    </a:xfrm>
                    <a:prstGeom prst="rect">
                      <a:avLst/>
                    </a:prstGeom>
                    <a:noFill/>
                    <a:ln>
                      <a:noFill/>
                    </a:ln>
                  </pic:spPr>
                </pic:pic>
              </a:graphicData>
            </a:graphic>
          </wp:inline>
        </w:drawing>
      </w:r>
    </w:p>
    <w:p w14:paraId="321B87F4" w14:textId="6C19A909" w:rsidR="00D42FB9" w:rsidRDefault="00D42FB9" w:rsidP="00D559BD">
      <w:pPr>
        <w:spacing w:after="40"/>
        <w:ind w:firstLine="567"/>
        <w:rPr>
          <w:rFonts w:ascii="Arial" w:eastAsia="Arial Unicode MS" w:hAnsi="Arial" w:cs="Arial"/>
          <w:sz w:val="28"/>
          <w:szCs w:val="28"/>
        </w:rPr>
      </w:pPr>
    </w:p>
    <w:p w14:paraId="05F74644" w14:textId="7A4F4464" w:rsidR="00B81850" w:rsidRDefault="00B81850" w:rsidP="004F53A5">
      <w:pPr>
        <w:spacing w:after="40"/>
        <w:rPr>
          <w:rFonts w:ascii="Arial" w:eastAsia="Arial Unicode MS" w:hAnsi="Arial" w:cs="Arial"/>
          <w:sz w:val="20"/>
          <w:szCs w:val="20"/>
        </w:rPr>
      </w:pPr>
    </w:p>
    <w:p w14:paraId="4DFF982E" w14:textId="617DED42" w:rsidR="00B81850" w:rsidRDefault="00B81850" w:rsidP="004F53A5">
      <w:pPr>
        <w:spacing w:after="40"/>
        <w:rPr>
          <w:rFonts w:ascii="Arial" w:eastAsia="Arial Unicode MS" w:hAnsi="Arial" w:cs="Arial"/>
          <w:sz w:val="20"/>
          <w:szCs w:val="20"/>
        </w:rPr>
      </w:pPr>
    </w:p>
    <w:p w14:paraId="3703E0EF" w14:textId="2AD8F024" w:rsidR="00B81850" w:rsidRDefault="00B81850" w:rsidP="004F53A5">
      <w:pPr>
        <w:spacing w:after="40"/>
        <w:rPr>
          <w:rFonts w:ascii="Arial" w:eastAsia="Arial Unicode MS" w:hAnsi="Arial" w:cs="Arial"/>
          <w:sz w:val="20"/>
          <w:szCs w:val="20"/>
        </w:rPr>
      </w:pPr>
    </w:p>
    <w:p w14:paraId="5F815B36" w14:textId="0095010F" w:rsidR="00B81850" w:rsidRDefault="00B81850" w:rsidP="004F53A5">
      <w:pPr>
        <w:spacing w:after="40"/>
        <w:rPr>
          <w:rFonts w:ascii="Arial" w:eastAsia="Arial Unicode MS" w:hAnsi="Arial" w:cs="Arial"/>
          <w:sz w:val="20"/>
          <w:szCs w:val="20"/>
        </w:rPr>
      </w:pPr>
    </w:p>
    <w:p w14:paraId="6F565923" w14:textId="5EA698DD" w:rsidR="00B81850" w:rsidRDefault="00B81850" w:rsidP="004F53A5">
      <w:pPr>
        <w:spacing w:after="40"/>
        <w:rPr>
          <w:rFonts w:ascii="Arial" w:eastAsia="Arial Unicode MS" w:hAnsi="Arial" w:cs="Arial"/>
          <w:sz w:val="20"/>
          <w:szCs w:val="20"/>
        </w:rPr>
      </w:pPr>
    </w:p>
    <w:p w14:paraId="3843331F" w14:textId="050D0821" w:rsidR="00B81850" w:rsidRDefault="00B81850" w:rsidP="004F53A5">
      <w:pPr>
        <w:spacing w:after="40"/>
        <w:rPr>
          <w:rFonts w:ascii="Arial" w:eastAsia="Arial Unicode MS" w:hAnsi="Arial" w:cs="Arial"/>
          <w:sz w:val="20"/>
          <w:szCs w:val="20"/>
        </w:rPr>
      </w:pPr>
    </w:p>
    <w:p w14:paraId="5FFD81A0" w14:textId="1B62B457" w:rsidR="00B81850" w:rsidRDefault="00B81850" w:rsidP="004F53A5">
      <w:pPr>
        <w:spacing w:after="40"/>
        <w:rPr>
          <w:rFonts w:ascii="Arial" w:eastAsia="Arial Unicode MS" w:hAnsi="Arial" w:cs="Arial"/>
          <w:sz w:val="20"/>
          <w:szCs w:val="20"/>
        </w:rPr>
      </w:pPr>
    </w:p>
    <w:p w14:paraId="34AD1F95" w14:textId="70A176E2" w:rsidR="00B81850" w:rsidRDefault="00B81850" w:rsidP="004F53A5">
      <w:pPr>
        <w:spacing w:after="40"/>
        <w:rPr>
          <w:rFonts w:ascii="Arial" w:eastAsia="Arial Unicode MS" w:hAnsi="Arial" w:cs="Arial"/>
          <w:sz w:val="20"/>
          <w:szCs w:val="20"/>
        </w:rPr>
      </w:pPr>
    </w:p>
    <w:p w14:paraId="7D5AC18C" w14:textId="1DC00508" w:rsidR="00B81850" w:rsidRDefault="00B81850" w:rsidP="004F53A5">
      <w:pPr>
        <w:spacing w:after="40"/>
        <w:rPr>
          <w:rFonts w:ascii="Arial" w:eastAsia="Arial Unicode MS" w:hAnsi="Arial" w:cs="Arial"/>
          <w:sz w:val="20"/>
          <w:szCs w:val="20"/>
        </w:rPr>
      </w:pPr>
    </w:p>
    <w:p w14:paraId="6A8DD068" w14:textId="5D811114" w:rsidR="00B81850" w:rsidRDefault="00B81850" w:rsidP="004F53A5">
      <w:pPr>
        <w:spacing w:after="40"/>
        <w:rPr>
          <w:rFonts w:ascii="Arial" w:eastAsia="Arial Unicode MS" w:hAnsi="Arial" w:cs="Arial"/>
          <w:sz w:val="20"/>
          <w:szCs w:val="20"/>
        </w:rPr>
      </w:pPr>
    </w:p>
    <w:p w14:paraId="3B790A4D" w14:textId="2D8D043D" w:rsidR="00B81850" w:rsidRDefault="00B81850" w:rsidP="004F53A5">
      <w:pPr>
        <w:spacing w:after="40"/>
        <w:rPr>
          <w:rFonts w:ascii="Arial" w:eastAsia="Arial Unicode MS" w:hAnsi="Arial" w:cs="Arial"/>
          <w:sz w:val="20"/>
          <w:szCs w:val="20"/>
        </w:rPr>
      </w:pPr>
    </w:p>
    <w:p w14:paraId="15E870F4" w14:textId="1141FD7C" w:rsidR="00B81850" w:rsidRDefault="00B81850" w:rsidP="004F53A5">
      <w:pPr>
        <w:spacing w:after="40"/>
        <w:rPr>
          <w:rFonts w:ascii="Arial" w:eastAsia="Arial Unicode MS" w:hAnsi="Arial" w:cs="Arial"/>
          <w:sz w:val="20"/>
          <w:szCs w:val="20"/>
        </w:rPr>
      </w:pPr>
    </w:p>
    <w:p w14:paraId="2BA64468" w14:textId="249B12C3" w:rsidR="00B81850" w:rsidRDefault="00B81850" w:rsidP="004F53A5">
      <w:pPr>
        <w:spacing w:after="40"/>
        <w:rPr>
          <w:rFonts w:ascii="Arial" w:eastAsia="Arial Unicode MS" w:hAnsi="Arial" w:cs="Arial"/>
          <w:sz w:val="20"/>
          <w:szCs w:val="20"/>
        </w:rPr>
      </w:pPr>
    </w:p>
    <w:p w14:paraId="6C2B9988" w14:textId="5FADD650" w:rsidR="00B81850" w:rsidRDefault="00B81850" w:rsidP="004F53A5">
      <w:pPr>
        <w:spacing w:after="40"/>
        <w:rPr>
          <w:rFonts w:ascii="Arial" w:eastAsia="Arial Unicode MS" w:hAnsi="Arial" w:cs="Arial"/>
          <w:sz w:val="20"/>
          <w:szCs w:val="20"/>
        </w:rPr>
      </w:pPr>
    </w:p>
    <w:p w14:paraId="2B03A816" w14:textId="4654127B" w:rsidR="00B81850" w:rsidRDefault="00B81850" w:rsidP="004F53A5">
      <w:pPr>
        <w:spacing w:after="40"/>
        <w:rPr>
          <w:rFonts w:ascii="Arial" w:eastAsia="Arial Unicode MS" w:hAnsi="Arial" w:cs="Arial"/>
          <w:sz w:val="20"/>
          <w:szCs w:val="20"/>
        </w:rPr>
      </w:pPr>
    </w:p>
    <w:p w14:paraId="2255E542" w14:textId="5448D005" w:rsidR="00B81850" w:rsidRDefault="00B81850" w:rsidP="004F53A5">
      <w:pPr>
        <w:spacing w:after="40"/>
        <w:rPr>
          <w:rFonts w:ascii="Arial" w:eastAsia="Arial Unicode MS" w:hAnsi="Arial" w:cs="Arial"/>
          <w:sz w:val="20"/>
          <w:szCs w:val="20"/>
        </w:rPr>
      </w:pPr>
    </w:p>
    <w:p w14:paraId="08612EC1" w14:textId="134B5AE9" w:rsidR="00B81850" w:rsidRDefault="00B81850" w:rsidP="004F53A5">
      <w:pPr>
        <w:spacing w:after="40"/>
        <w:rPr>
          <w:rFonts w:ascii="Arial" w:eastAsia="Arial Unicode MS" w:hAnsi="Arial" w:cs="Arial"/>
          <w:sz w:val="20"/>
          <w:szCs w:val="20"/>
        </w:rPr>
      </w:pPr>
    </w:p>
    <w:p w14:paraId="4CEB6A58" w14:textId="7E5B99AB" w:rsidR="00B81850" w:rsidRDefault="00B81850" w:rsidP="004F53A5">
      <w:pPr>
        <w:spacing w:after="40"/>
        <w:rPr>
          <w:rFonts w:ascii="Arial" w:eastAsia="Arial Unicode MS" w:hAnsi="Arial" w:cs="Arial"/>
          <w:sz w:val="20"/>
          <w:szCs w:val="20"/>
        </w:rPr>
      </w:pPr>
    </w:p>
    <w:p w14:paraId="7969F09F" w14:textId="6523D060" w:rsidR="00433D43" w:rsidRDefault="00433D43" w:rsidP="00433D43">
      <w:pPr>
        <w:spacing w:after="40"/>
        <w:ind w:firstLine="567"/>
        <w:rPr>
          <w:rFonts w:ascii="Arial" w:eastAsia="Arial Unicode MS" w:hAnsi="Arial" w:cs="Arial"/>
          <w:sz w:val="28"/>
          <w:szCs w:val="28"/>
        </w:rPr>
      </w:pPr>
      <w:r>
        <w:rPr>
          <w:rFonts w:ascii="Arial" w:eastAsia="Arial Unicode MS" w:hAnsi="Arial" w:cs="Arial"/>
          <w:sz w:val="28"/>
          <w:szCs w:val="28"/>
        </w:rPr>
        <w:lastRenderedPageBreak/>
        <w:t>Demonstração das Mutações do Patrimônio Líquido</w:t>
      </w:r>
    </w:p>
    <w:p w14:paraId="29FDF015" w14:textId="236211CC" w:rsidR="00EA04D0" w:rsidRDefault="00EA04D0" w:rsidP="00433D43">
      <w:pPr>
        <w:spacing w:after="40"/>
        <w:ind w:firstLine="567"/>
        <w:rPr>
          <w:rFonts w:ascii="Arial" w:eastAsia="Arial Unicode MS" w:hAnsi="Arial" w:cs="Arial"/>
          <w:sz w:val="28"/>
          <w:szCs w:val="28"/>
        </w:rPr>
      </w:pPr>
      <w:r w:rsidRPr="00EA04D0">
        <w:rPr>
          <w:rFonts w:ascii="Arial" w:eastAsia="Arial Unicode MS" w:hAnsi="Arial" w:cs="Arial"/>
          <w:noProof/>
          <w:sz w:val="28"/>
          <w:szCs w:val="28"/>
        </w:rPr>
        <w:drawing>
          <wp:inline distT="0" distB="0" distL="0" distR="0" wp14:anchorId="58D32744" wp14:editId="11F5F26E">
            <wp:extent cx="5895975" cy="2435860"/>
            <wp:effectExtent l="0" t="0" r="952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5975" cy="2435860"/>
                    </a:xfrm>
                    <a:prstGeom prst="rect">
                      <a:avLst/>
                    </a:prstGeom>
                    <a:noFill/>
                    <a:ln>
                      <a:noFill/>
                    </a:ln>
                  </pic:spPr>
                </pic:pic>
              </a:graphicData>
            </a:graphic>
          </wp:inline>
        </w:drawing>
      </w:r>
    </w:p>
    <w:p w14:paraId="7DAD1188" w14:textId="2F76A333" w:rsidR="00B81850" w:rsidRDefault="00B81850" w:rsidP="00433D43">
      <w:pPr>
        <w:spacing w:after="40"/>
        <w:ind w:firstLine="567"/>
        <w:rPr>
          <w:rFonts w:ascii="Arial" w:eastAsia="Arial Unicode MS" w:hAnsi="Arial" w:cs="Arial"/>
          <w:sz w:val="28"/>
          <w:szCs w:val="28"/>
        </w:rPr>
      </w:pPr>
    </w:p>
    <w:p w14:paraId="207CD8C6" w14:textId="04517C8E" w:rsidR="00996B00" w:rsidRPr="00433D43" w:rsidRDefault="00996B00" w:rsidP="00996B00">
      <w:pPr>
        <w:spacing w:after="40"/>
        <w:rPr>
          <w:rFonts w:ascii="Arial" w:eastAsia="Arial Unicode MS" w:hAnsi="Arial" w:cs="Arial"/>
          <w:sz w:val="28"/>
          <w:szCs w:val="28"/>
        </w:rPr>
      </w:pPr>
    </w:p>
    <w:p w14:paraId="766A9F31" w14:textId="3BC7A2B0" w:rsidR="00433D43" w:rsidRDefault="00433D43" w:rsidP="004F53A5">
      <w:pPr>
        <w:spacing w:after="40"/>
        <w:rPr>
          <w:rFonts w:ascii="Arial" w:eastAsia="Arial Unicode MS" w:hAnsi="Arial" w:cs="Arial"/>
          <w:sz w:val="20"/>
          <w:szCs w:val="20"/>
        </w:rPr>
      </w:pPr>
    </w:p>
    <w:p w14:paraId="74B90490" w14:textId="31E0CF7D" w:rsidR="00433D43" w:rsidRDefault="00433D43" w:rsidP="004F53A5">
      <w:pPr>
        <w:spacing w:after="40"/>
        <w:rPr>
          <w:rFonts w:ascii="Arial" w:eastAsia="Arial Unicode MS" w:hAnsi="Arial" w:cs="Arial"/>
          <w:sz w:val="20"/>
          <w:szCs w:val="20"/>
        </w:rPr>
      </w:pPr>
    </w:p>
    <w:p w14:paraId="1884BDB0" w14:textId="376DC328" w:rsidR="00B81850" w:rsidRDefault="00B81850" w:rsidP="004F53A5">
      <w:pPr>
        <w:spacing w:after="40"/>
        <w:rPr>
          <w:rFonts w:ascii="Arial" w:eastAsia="Arial Unicode MS" w:hAnsi="Arial" w:cs="Arial"/>
          <w:sz w:val="20"/>
          <w:szCs w:val="20"/>
        </w:rPr>
      </w:pPr>
    </w:p>
    <w:p w14:paraId="08E4B48B" w14:textId="48EEF843" w:rsidR="00B81850" w:rsidRDefault="00B81850" w:rsidP="004F53A5">
      <w:pPr>
        <w:spacing w:after="40"/>
        <w:rPr>
          <w:rFonts w:ascii="Arial" w:eastAsia="Arial Unicode MS" w:hAnsi="Arial" w:cs="Arial"/>
          <w:sz w:val="20"/>
          <w:szCs w:val="20"/>
        </w:rPr>
      </w:pPr>
    </w:p>
    <w:p w14:paraId="12B6EBEC" w14:textId="0E857E73" w:rsidR="00B81850" w:rsidRDefault="00B81850" w:rsidP="004F53A5">
      <w:pPr>
        <w:spacing w:after="40"/>
        <w:rPr>
          <w:rFonts w:ascii="Arial" w:eastAsia="Arial Unicode MS" w:hAnsi="Arial" w:cs="Arial"/>
          <w:sz w:val="20"/>
          <w:szCs w:val="20"/>
        </w:rPr>
      </w:pPr>
    </w:p>
    <w:p w14:paraId="3250C0B8" w14:textId="5EFE1C7F" w:rsidR="00B81850" w:rsidRDefault="00B81850" w:rsidP="004F53A5">
      <w:pPr>
        <w:spacing w:after="40"/>
        <w:rPr>
          <w:rFonts w:ascii="Arial" w:eastAsia="Arial Unicode MS" w:hAnsi="Arial" w:cs="Arial"/>
          <w:sz w:val="20"/>
          <w:szCs w:val="20"/>
        </w:rPr>
      </w:pPr>
    </w:p>
    <w:p w14:paraId="5598232E" w14:textId="488A7CE5" w:rsidR="00B81850" w:rsidRDefault="00B81850" w:rsidP="004F53A5">
      <w:pPr>
        <w:spacing w:after="40"/>
        <w:rPr>
          <w:rFonts w:ascii="Arial" w:eastAsia="Arial Unicode MS" w:hAnsi="Arial" w:cs="Arial"/>
          <w:sz w:val="20"/>
          <w:szCs w:val="20"/>
        </w:rPr>
      </w:pPr>
    </w:p>
    <w:p w14:paraId="03E62739" w14:textId="2F7B7ADE" w:rsidR="00B81850" w:rsidRDefault="00B81850" w:rsidP="004F53A5">
      <w:pPr>
        <w:spacing w:after="40"/>
        <w:rPr>
          <w:rFonts w:ascii="Arial" w:eastAsia="Arial Unicode MS" w:hAnsi="Arial" w:cs="Arial"/>
          <w:sz w:val="20"/>
          <w:szCs w:val="20"/>
        </w:rPr>
      </w:pPr>
    </w:p>
    <w:p w14:paraId="2F25633A" w14:textId="485C73F9" w:rsidR="00B81850" w:rsidRDefault="00B81850" w:rsidP="004F53A5">
      <w:pPr>
        <w:spacing w:after="40"/>
        <w:rPr>
          <w:rFonts w:ascii="Arial" w:eastAsia="Arial Unicode MS" w:hAnsi="Arial" w:cs="Arial"/>
          <w:sz w:val="20"/>
          <w:szCs w:val="20"/>
        </w:rPr>
      </w:pPr>
    </w:p>
    <w:p w14:paraId="1DD9F160" w14:textId="4D0DA227" w:rsidR="00B81850" w:rsidRDefault="00B81850" w:rsidP="004F53A5">
      <w:pPr>
        <w:spacing w:after="40"/>
        <w:rPr>
          <w:rFonts w:ascii="Arial" w:eastAsia="Arial Unicode MS" w:hAnsi="Arial" w:cs="Arial"/>
          <w:sz w:val="20"/>
          <w:szCs w:val="20"/>
        </w:rPr>
      </w:pPr>
    </w:p>
    <w:p w14:paraId="1F128770" w14:textId="24E2A24A" w:rsidR="00B81850" w:rsidRDefault="00B81850" w:rsidP="004F53A5">
      <w:pPr>
        <w:spacing w:after="40"/>
        <w:rPr>
          <w:rFonts w:ascii="Arial" w:eastAsia="Arial Unicode MS" w:hAnsi="Arial" w:cs="Arial"/>
          <w:sz w:val="20"/>
          <w:szCs w:val="20"/>
        </w:rPr>
      </w:pPr>
    </w:p>
    <w:p w14:paraId="2578B91E" w14:textId="23626B46" w:rsidR="00B81850" w:rsidRDefault="00B81850" w:rsidP="004F53A5">
      <w:pPr>
        <w:spacing w:after="40"/>
        <w:rPr>
          <w:rFonts w:ascii="Arial" w:eastAsia="Arial Unicode MS" w:hAnsi="Arial" w:cs="Arial"/>
          <w:sz w:val="20"/>
          <w:szCs w:val="20"/>
        </w:rPr>
      </w:pPr>
    </w:p>
    <w:p w14:paraId="11BA18D3" w14:textId="2B571991" w:rsidR="00B81850" w:rsidRDefault="00B81850" w:rsidP="004F53A5">
      <w:pPr>
        <w:spacing w:after="40"/>
        <w:rPr>
          <w:rFonts w:ascii="Arial" w:eastAsia="Arial Unicode MS" w:hAnsi="Arial" w:cs="Arial"/>
          <w:sz w:val="20"/>
          <w:szCs w:val="20"/>
        </w:rPr>
      </w:pPr>
    </w:p>
    <w:p w14:paraId="477C8B05" w14:textId="0FEE1344" w:rsidR="00B81850" w:rsidRDefault="00B81850" w:rsidP="004F53A5">
      <w:pPr>
        <w:spacing w:after="40"/>
        <w:rPr>
          <w:rFonts w:ascii="Arial" w:eastAsia="Arial Unicode MS" w:hAnsi="Arial" w:cs="Arial"/>
          <w:sz w:val="20"/>
          <w:szCs w:val="20"/>
        </w:rPr>
      </w:pPr>
    </w:p>
    <w:p w14:paraId="3B65C004" w14:textId="498428A7" w:rsidR="00B81850" w:rsidRDefault="00B81850" w:rsidP="004F53A5">
      <w:pPr>
        <w:spacing w:after="40"/>
        <w:rPr>
          <w:rFonts w:ascii="Arial" w:eastAsia="Arial Unicode MS" w:hAnsi="Arial" w:cs="Arial"/>
          <w:sz w:val="20"/>
          <w:szCs w:val="20"/>
        </w:rPr>
      </w:pPr>
    </w:p>
    <w:p w14:paraId="6E186848" w14:textId="3965754A" w:rsidR="00B81850" w:rsidRDefault="00B81850" w:rsidP="004F53A5">
      <w:pPr>
        <w:spacing w:after="40"/>
        <w:rPr>
          <w:rFonts w:ascii="Arial" w:eastAsia="Arial Unicode MS" w:hAnsi="Arial" w:cs="Arial"/>
          <w:sz w:val="20"/>
          <w:szCs w:val="20"/>
        </w:rPr>
      </w:pPr>
    </w:p>
    <w:p w14:paraId="0451575A" w14:textId="755FA8C7" w:rsidR="00B81850" w:rsidRDefault="00B81850" w:rsidP="004F53A5">
      <w:pPr>
        <w:spacing w:after="40"/>
        <w:rPr>
          <w:rFonts w:ascii="Arial" w:eastAsia="Arial Unicode MS" w:hAnsi="Arial" w:cs="Arial"/>
          <w:sz w:val="20"/>
          <w:szCs w:val="20"/>
        </w:rPr>
      </w:pPr>
    </w:p>
    <w:p w14:paraId="71DABE8B" w14:textId="2332902E" w:rsidR="007D1028" w:rsidRDefault="007D1028" w:rsidP="004F53A5">
      <w:pPr>
        <w:spacing w:after="40"/>
        <w:rPr>
          <w:rFonts w:ascii="Arial" w:eastAsia="Arial Unicode MS" w:hAnsi="Arial" w:cs="Arial"/>
          <w:sz w:val="20"/>
          <w:szCs w:val="20"/>
        </w:rPr>
      </w:pPr>
    </w:p>
    <w:p w14:paraId="65D1E6E9" w14:textId="40946D4F" w:rsidR="007D1028" w:rsidRDefault="007D1028" w:rsidP="004F53A5">
      <w:pPr>
        <w:spacing w:after="40"/>
        <w:rPr>
          <w:rFonts w:ascii="Arial" w:eastAsia="Arial Unicode MS" w:hAnsi="Arial" w:cs="Arial"/>
          <w:sz w:val="20"/>
          <w:szCs w:val="20"/>
        </w:rPr>
      </w:pPr>
    </w:p>
    <w:p w14:paraId="1932426C" w14:textId="382AF117" w:rsidR="007D1028" w:rsidRDefault="007D1028" w:rsidP="004F53A5">
      <w:pPr>
        <w:spacing w:after="40"/>
        <w:rPr>
          <w:rFonts w:ascii="Arial" w:eastAsia="Arial Unicode MS" w:hAnsi="Arial" w:cs="Arial"/>
          <w:sz w:val="20"/>
          <w:szCs w:val="20"/>
        </w:rPr>
      </w:pPr>
    </w:p>
    <w:p w14:paraId="626FE09C" w14:textId="7908B808" w:rsidR="007D1028" w:rsidRDefault="007D1028" w:rsidP="004F53A5">
      <w:pPr>
        <w:spacing w:after="40"/>
        <w:rPr>
          <w:rFonts w:ascii="Arial" w:eastAsia="Arial Unicode MS" w:hAnsi="Arial" w:cs="Arial"/>
          <w:sz w:val="20"/>
          <w:szCs w:val="20"/>
        </w:rPr>
      </w:pPr>
    </w:p>
    <w:p w14:paraId="5E88F24E" w14:textId="46C48DA7" w:rsidR="007D1028" w:rsidRDefault="007D1028" w:rsidP="004F53A5">
      <w:pPr>
        <w:spacing w:after="40"/>
        <w:rPr>
          <w:rFonts w:ascii="Arial" w:eastAsia="Arial Unicode MS" w:hAnsi="Arial" w:cs="Arial"/>
          <w:sz w:val="20"/>
          <w:szCs w:val="20"/>
        </w:rPr>
      </w:pPr>
    </w:p>
    <w:p w14:paraId="7D7B080C" w14:textId="73F0A007" w:rsidR="007D1028" w:rsidRDefault="007D1028" w:rsidP="004F53A5">
      <w:pPr>
        <w:spacing w:after="40"/>
        <w:rPr>
          <w:rFonts w:ascii="Arial" w:eastAsia="Arial Unicode MS" w:hAnsi="Arial" w:cs="Arial"/>
          <w:sz w:val="20"/>
          <w:szCs w:val="20"/>
        </w:rPr>
      </w:pPr>
    </w:p>
    <w:p w14:paraId="71382D7E" w14:textId="13362BD8" w:rsidR="007D1028" w:rsidRDefault="007D1028" w:rsidP="004F53A5">
      <w:pPr>
        <w:spacing w:after="40"/>
        <w:rPr>
          <w:rFonts w:ascii="Arial" w:eastAsia="Arial Unicode MS" w:hAnsi="Arial" w:cs="Arial"/>
          <w:sz w:val="20"/>
          <w:szCs w:val="20"/>
        </w:rPr>
      </w:pPr>
    </w:p>
    <w:p w14:paraId="203CB4B1" w14:textId="53ECBF1E" w:rsidR="007D1028" w:rsidRDefault="007D1028" w:rsidP="004F53A5">
      <w:pPr>
        <w:spacing w:after="40"/>
        <w:rPr>
          <w:rFonts w:ascii="Arial" w:eastAsia="Arial Unicode MS" w:hAnsi="Arial" w:cs="Arial"/>
          <w:sz w:val="20"/>
          <w:szCs w:val="20"/>
        </w:rPr>
      </w:pPr>
    </w:p>
    <w:p w14:paraId="3C6CD36A" w14:textId="35F76A77" w:rsidR="007D1028" w:rsidRDefault="007D1028" w:rsidP="004F53A5">
      <w:pPr>
        <w:spacing w:after="40"/>
        <w:rPr>
          <w:rFonts w:ascii="Arial" w:eastAsia="Arial Unicode MS" w:hAnsi="Arial" w:cs="Arial"/>
          <w:sz w:val="20"/>
          <w:szCs w:val="20"/>
        </w:rPr>
      </w:pPr>
    </w:p>
    <w:p w14:paraId="6FBC32B7" w14:textId="77777777" w:rsidR="007D1028" w:rsidRDefault="007D1028" w:rsidP="004F53A5">
      <w:pPr>
        <w:spacing w:after="40"/>
        <w:rPr>
          <w:rFonts w:ascii="Arial" w:eastAsia="Arial Unicode MS" w:hAnsi="Arial" w:cs="Arial"/>
          <w:sz w:val="20"/>
          <w:szCs w:val="20"/>
        </w:rPr>
      </w:pPr>
    </w:p>
    <w:p w14:paraId="2FF1D29E" w14:textId="6B29B4D6" w:rsidR="00B81850" w:rsidRDefault="00B81850" w:rsidP="004F53A5">
      <w:pPr>
        <w:spacing w:after="40"/>
        <w:rPr>
          <w:rFonts w:ascii="Arial" w:eastAsia="Arial Unicode MS" w:hAnsi="Arial" w:cs="Arial"/>
          <w:sz w:val="20"/>
          <w:szCs w:val="20"/>
        </w:rPr>
      </w:pPr>
    </w:p>
    <w:p w14:paraId="3A0B73D9" w14:textId="64681A48" w:rsidR="00B81850" w:rsidRDefault="00B81850" w:rsidP="004F53A5">
      <w:pPr>
        <w:spacing w:after="40"/>
        <w:rPr>
          <w:rFonts w:ascii="Arial" w:eastAsia="Arial Unicode MS" w:hAnsi="Arial" w:cs="Arial"/>
          <w:sz w:val="20"/>
          <w:szCs w:val="20"/>
        </w:rPr>
      </w:pPr>
    </w:p>
    <w:p w14:paraId="08C51CD1" w14:textId="77777777" w:rsidR="00B81850" w:rsidRDefault="00B81850" w:rsidP="004F53A5">
      <w:pPr>
        <w:spacing w:after="40"/>
        <w:rPr>
          <w:rFonts w:ascii="Arial" w:eastAsia="Arial Unicode MS" w:hAnsi="Arial" w:cs="Arial"/>
          <w:sz w:val="20"/>
          <w:szCs w:val="20"/>
        </w:rPr>
      </w:pPr>
    </w:p>
    <w:p w14:paraId="0E6E664D" w14:textId="1D6C3156" w:rsidR="005432E7" w:rsidRDefault="005432E7" w:rsidP="004F53A5">
      <w:pPr>
        <w:spacing w:after="40"/>
        <w:rPr>
          <w:rFonts w:ascii="Arial" w:eastAsia="Arial Unicode MS" w:hAnsi="Arial" w:cs="Arial"/>
          <w:sz w:val="20"/>
          <w:szCs w:val="20"/>
        </w:rPr>
      </w:pPr>
    </w:p>
    <w:p w14:paraId="66C5D73E" w14:textId="3736E11C" w:rsidR="00006B51" w:rsidRPr="00533035" w:rsidRDefault="00006B51" w:rsidP="00E40488">
      <w:pPr>
        <w:spacing w:after="240"/>
        <w:rPr>
          <w:rFonts w:ascii="Arial" w:eastAsia="Arial Unicode MS" w:hAnsi="Arial" w:cs="Arial"/>
          <w:b/>
          <w:color w:val="009999"/>
          <w:sz w:val="36"/>
          <w:szCs w:val="36"/>
        </w:rPr>
      </w:pPr>
      <w:r w:rsidRPr="00533035">
        <w:rPr>
          <w:rFonts w:ascii="Arial" w:eastAsia="Arial Unicode MS" w:hAnsi="Arial" w:cs="Arial"/>
          <w:b/>
          <w:color w:val="009999"/>
          <w:sz w:val="36"/>
          <w:szCs w:val="36"/>
        </w:rPr>
        <w:lastRenderedPageBreak/>
        <w:t>Base de Preparação das Demonstrações e das Práticas Contábeis</w:t>
      </w:r>
    </w:p>
    <w:p w14:paraId="4EDF516B" w14:textId="3E32B1DE" w:rsidR="00006B51" w:rsidRPr="00533035" w:rsidRDefault="00006B51" w:rsidP="00006B51">
      <w:pPr>
        <w:spacing w:after="40"/>
        <w:rPr>
          <w:rFonts w:ascii="Arial" w:eastAsia="Arial Unicode MS" w:hAnsi="Arial" w:cs="Arial"/>
          <w:sz w:val="20"/>
          <w:szCs w:val="20"/>
        </w:rPr>
      </w:pPr>
      <w:r w:rsidRPr="00533035">
        <w:rPr>
          <w:rFonts w:ascii="Arial" w:eastAsia="Arial Unicode MS" w:hAnsi="Arial" w:cs="Arial"/>
          <w:sz w:val="20"/>
          <w:szCs w:val="20"/>
        </w:rPr>
        <w:t>As Demonstrações Contábeis (DCON) do Instituto Federal de Educação, Ciência e Tecnologia do Rio Grande do Sul foram elaboradas em consonância com os dispositivos da Lei nº 4.320/1964, do Decreto-Lei nº 200/1967, do Decreto nº 93.872/1986, da Lei nº 10.180/2001 e da Lei Complementar nº 101/2000. Abrangem, também, as Normas Brasileiras de Contabilidade Técnicas do Setor Público (NBCT SP) do Conselho Federal de Contabilidade (CFC), o Manual de Contabilidade Aplicada ao Setor Público (MCASP) e o Manual SIAFI, ambos da secretaria do Tesouro Nacional, exceto no tocante a:</w:t>
      </w:r>
    </w:p>
    <w:p w14:paraId="6843654A" w14:textId="77777777" w:rsidR="007D6891" w:rsidRPr="00533035" w:rsidRDefault="007D6891" w:rsidP="007D6891">
      <w:pPr>
        <w:pStyle w:val="PargrafodaLista"/>
        <w:numPr>
          <w:ilvl w:val="0"/>
          <w:numId w:val="3"/>
        </w:numPr>
        <w:spacing w:after="40"/>
        <w:rPr>
          <w:rFonts w:ascii="Arial" w:eastAsia="Arial Unicode MS" w:hAnsi="Arial" w:cs="Arial"/>
          <w:sz w:val="20"/>
          <w:szCs w:val="20"/>
        </w:rPr>
      </w:pPr>
      <w:r w:rsidRPr="00533035">
        <w:rPr>
          <w:rFonts w:ascii="Arial" w:eastAsia="Arial Unicode MS" w:hAnsi="Arial" w:cs="Arial"/>
          <w:sz w:val="20"/>
          <w:szCs w:val="20"/>
        </w:rPr>
        <w:t>Caixa e equivalentes de caixa</w:t>
      </w:r>
    </w:p>
    <w:p w14:paraId="7C91A58A" w14:textId="6153C9F8" w:rsidR="007D6891" w:rsidRDefault="007D6891" w:rsidP="007D6891">
      <w:pPr>
        <w:spacing w:after="40"/>
        <w:rPr>
          <w:rFonts w:ascii="Arial" w:eastAsia="Arial Unicode MS" w:hAnsi="Arial" w:cs="Arial"/>
          <w:sz w:val="20"/>
          <w:szCs w:val="20"/>
        </w:rPr>
      </w:pPr>
      <w:r w:rsidRPr="00533035">
        <w:rPr>
          <w:rFonts w:ascii="Arial" w:eastAsia="Arial Unicode MS" w:hAnsi="Arial" w:cs="Arial"/>
          <w:sz w:val="20"/>
          <w:szCs w:val="20"/>
        </w:rPr>
        <w:t xml:space="preserve">Até a data de encerramento do </w:t>
      </w:r>
      <w:r w:rsidR="00957044">
        <w:rPr>
          <w:rFonts w:ascii="Arial" w:eastAsia="Arial Unicode MS" w:hAnsi="Arial" w:cs="Arial"/>
          <w:sz w:val="20"/>
          <w:szCs w:val="20"/>
        </w:rPr>
        <w:t>trimestre</w:t>
      </w:r>
      <w:r w:rsidRPr="00533035">
        <w:rPr>
          <w:rFonts w:ascii="Arial" w:eastAsia="Arial Unicode MS" w:hAnsi="Arial" w:cs="Arial"/>
          <w:sz w:val="20"/>
          <w:szCs w:val="20"/>
        </w:rPr>
        <w:t>, os saldos</w:t>
      </w:r>
      <w:r w:rsidR="00E52177">
        <w:rPr>
          <w:rFonts w:ascii="Arial" w:eastAsia="Arial Unicode MS" w:hAnsi="Arial" w:cs="Arial"/>
          <w:sz w:val="20"/>
          <w:szCs w:val="20"/>
        </w:rPr>
        <w:t xml:space="preserve"> em caixa e equivalentes de caixa, exceto recursos liberados pelo Tesouro,</w:t>
      </w:r>
      <w:r w:rsidRPr="00533035">
        <w:rPr>
          <w:rFonts w:ascii="Arial" w:eastAsia="Arial Unicode MS" w:hAnsi="Arial" w:cs="Arial"/>
          <w:sz w:val="20"/>
          <w:szCs w:val="20"/>
        </w:rPr>
        <w:t xml:space="preserve"> não foram conciliados com extrato ou documento de controle</w:t>
      </w:r>
      <w:r w:rsidR="00797FED">
        <w:rPr>
          <w:rFonts w:ascii="Arial" w:eastAsia="Arial Unicode MS" w:hAnsi="Arial" w:cs="Arial"/>
          <w:sz w:val="20"/>
          <w:szCs w:val="20"/>
        </w:rPr>
        <w:t xml:space="preserve"> que </w:t>
      </w:r>
      <w:r w:rsidR="00924B29">
        <w:rPr>
          <w:rFonts w:ascii="Arial" w:eastAsia="Arial Unicode MS" w:hAnsi="Arial" w:cs="Arial"/>
          <w:sz w:val="20"/>
          <w:szCs w:val="20"/>
        </w:rPr>
        <w:t>viabilizasse a conformidade das contas</w:t>
      </w:r>
      <w:r w:rsidRPr="00533035">
        <w:rPr>
          <w:rFonts w:ascii="Arial" w:eastAsia="Arial Unicode MS" w:hAnsi="Arial" w:cs="Arial"/>
          <w:sz w:val="20"/>
          <w:szCs w:val="20"/>
        </w:rPr>
        <w:t>.</w:t>
      </w:r>
      <w:r w:rsidR="00924B29">
        <w:rPr>
          <w:rFonts w:ascii="Arial" w:eastAsia="Arial Unicode MS" w:hAnsi="Arial" w:cs="Arial"/>
          <w:sz w:val="20"/>
          <w:szCs w:val="20"/>
        </w:rPr>
        <w:t xml:space="preserve"> Documentos não foram apresentados.</w:t>
      </w:r>
    </w:p>
    <w:p w14:paraId="7A96E029" w14:textId="13E752D4" w:rsidR="00924B29" w:rsidRPr="00533035" w:rsidRDefault="00924B29" w:rsidP="007D6891">
      <w:pPr>
        <w:spacing w:after="40"/>
        <w:rPr>
          <w:rFonts w:ascii="Arial" w:eastAsia="Arial Unicode MS" w:hAnsi="Arial" w:cs="Arial"/>
          <w:sz w:val="20"/>
          <w:szCs w:val="20"/>
        </w:rPr>
      </w:pPr>
      <w:r>
        <w:rPr>
          <w:rFonts w:ascii="Arial" w:eastAsia="Arial Unicode MS" w:hAnsi="Arial" w:cs="Arial"/>
          <w:sz w:val="20"/>
          <w:szCs w:val="20"/>
        </w:rPr>
        <w:t xml:space="preserve">O </w:t>
      </w:r>
      <w:r w:rsidR="00D30662">
        <w:rPr>
          <w:rFonts w:ascii="Arial" w:eastAsia="Arial Unicode MS" w:hAnsi="Arial" w:cs="Arial"/>
          <w:sz w:val="20"/>
          <w:szCs w:val="20"/>
        </w:rPr>
        <w:t xml:space="preserve">respectivo </w:t>
      </w:r>
      <w:r>
        <w:rPr>
          <w:rFonts w:ascii="Arial" w:eastAsia="Arial Unicode MS" w:hAnsi="Arial" w:cs="Arial"/>
          <w:sz w:val="20"/>
          <w:szCs w:val="20"/>
        </w:rPr>
        <w:t>saldo</w:t>
      </w:r>
      <w:r w:rsidR="00D30662">
        <w:rPr>
          <w:rFonts w:ascii="Arial" w:eastAsia="Arial Unicode MS" w:hAnsi="Arial" w:cs="Arial"/>
          <w:sz w:val="20"/>
          <w:szCs w:val="20"/>
        </w:rPr>
        <w:t xml:space="preserve"> escriturado</w:t>
      </w:r>
      <w:r>
        <w:rPr>
          <w:rFonts w:ascii="Arial" w:eastAsia="Arial Unicode MS" w:hAnsi="Arial" w:cs="Arial"/>
          <w:sz w:val="20"/>
          <w:szCs w:val="20"/>
        </w:rPr>
        <w:t xml:space="preserve"> </w:t>
      </w:r>
      <w:r w:rsidR="00D30662">
        <w:rPr>
          <w:rFonts w:ascii="Arial" w:eastAsia="Arial Unicode MS" w:hAnsi="Arial" w:cs="Arial"/>
          <w:sz w:val="20"/>
          <w:szCs w:val="20"/>
        </w:rPr>
        <w:t xml:space="preserve">em </w:t>
      </w:r>
      <w:r w:rsidR="00AC5B88">
        <w:rPr>
          <w:rFonts w:ascii="Arial" w:eastAsia="Arial Unicode MS" w:hAnsi="Arial" w:cs="Arial"/>
          <w:sz w:val="20"/>
          <w:szCs w:val="20"/>
        </w:rPr>
        <w:t>30</w:t>
      </w:r>
      <w:r w:rsidR="00D30662">
        <w:rPr>
          <w:rFonts w:ascii="Arial" w:eastAsia="Arial Unicode MS" w:hAnsi="Arial" w:cs="Arial"/>
          <w:sz w:val="20"/>
          <w:szCs w:val="20"/>
        </w:rPr>
        <w:t>/</w:t>
      </w:r>
      <w:r w:rsidR="00BC1C3F">
        <w:rPr>
          <w:rFonts w:ascii="Arial" w:eastAsia="Arial Unicode MS" w:hAnsi="Arial" w:cs="Arial"/>
          <w:sz w:val="20"/>
          <w:szCs w:val="20"/>
        </w:rPr>
        <w:t>0</w:t>
      </w:r>
      <w:r w:rsidR="004F5480">
        <w:rPr>
          <w:rFonts w:ascii="Arial" w:eastAsia="Arial Unicode MS" w:hAnsi="Arial" w:cs="Arial"/>
          <w:sz w:val="20"/>
          <w:szCs w:val="20"/>
        </w:rPr>
        <w:t>9</w:t>
      </w:r>
      <w:r w:rsidR="00D30662">
        <w:rPr>
          <w:rFonts w:ascii="Arial" w:eastAsia="Arial Unicode MS" w:hAnsi="Arial" w:cs="Arial"/>
          <w:sz w:val="20"/>
          <w:szCs w:val="20"/>
        </w:rPr>
        <w:t>/20</w:t>
      </w:r>
      <w:r w:rsidR="00BC1C3F">
        <w:rPr>
          <w:rFonts w:ascii="Arial" w:eastAsia="Arial Unicode MS" w:hAnsi="Arial" w:cs="Arial"/>
          <w:sz w:val="20"/>
          <w:szCs w:val="20"/>
        </w:rPr>
        <w:t>20</w:t>
      </w:r>
      <w:r w:rsidR="00D30662">
        <w:rPr>
          <w:rFonts w:ascii="Arial" w:eastAsia="Arial Unicode MS" w:hAnsi="Arial" w:cs="Arial"/>
          <w:sz w:val="20"/>
          <w:szCs w:val="20"/>
        </w:rPr>
        <w:t xml:space="preserve"> é de R$ </w:t>
      </w:r>
      <w:r w:rsidR="004F5480">
        <w:rPr>
          <w:rFonts w:ascii="Arial" w:eastAsia="Arial Unicode MS" w:hAnsi="Arial" w:cs="Arial"/>
          <w:sz w:val="20"/>
          <w:szCs w:val="20"/>
        </w:rPr>
        <w:t>121,115,85.</w:t>
      </w:r>
    </w:p>
    <w:p w14:paraId="7A88A148" w14:textId="77777777" w:rsidR="007D6891" w:rsidRPr="00533035" w:rsidRDefault="007D6891" w:rsidP="007D6891">
      <w:pPr>
        <w:pStyle w:val="PargrafodaLista"/>
        <w:numPr>
          <w:ilvl w:val="0"/>
          <w:numId w:val="3"/>
        </w:numPr>
        <w:spacing w:after="40"/>
        <w:rPr>
          <w:rFonts w:ascii="Arial" w:eastAsia="Arial Unicode MS" w:hAnsi="Arial" w:cs="Arial"/>
          <w:sz w:val="20"/>
          <w:szCs w:val="20"/>
        </w:rPr>
      </w:pPr>
      <w:r w:rsidRPr="00533035">
        <w:rPr>
          <w:rFonts w:ascii="Arial" w:eastAsia="Arial Unicode MS" w:hAnsi="Arial" w:cs="Arial"/>
          <w:sz w:val="20"/>
          <w:szCs w:val="20"/>
        </w:rPr>
        <w:t>Créditos a curto prazo</w:t>
      </w:r>
    </w:p>
    <w:p w14:paraId="597A8F9C" w14:textId="61CD168F" w:rsidR="00D30662" w:rsidRDefault="007D6891" w:rsidP="00006B51">
      <w:pPr>
        <w:spacing w:after="40"/>
        <w:rPr>
          <w:rFonts w:ascii="Arial" w:eastAsia="Arial Unicode MS" w:hAnsi="Arial" w:cs="Arial"/>
          <w:sz w:val="20"/>
          <w:szCs w:val="20"/>
        </w:rPr>
      </w:pPr>
      <w:r w:rsidRPr="00533035">
        <w:rPr>
          <w:rFonts w:ascii="Arial" w:eastAsia="Arial Unicode MS" w:hAnsi="Arial" w:cs="Arial"/>
          <w:sz w:val="20"/>
          <w:szCs w:val="20"/>
        </w:rPr>
        <w:t>Até a data de encerramento do</w:t>
      </w:r>
      <w:r w:rsidR="00006B51" w:rsidRPr="00533035">
        <w:rPr>
          <w:rFonts w:ascii="Arial" w:eastAsia="Arial Unicode MS" w:hAnsi="Arial" w:cs="Arial"/>
          <w:sz w:val="20"/>
          <w:szCs w:val="20"/>
        </w:rPr>
        <w:t xml:space="preserve"> exercício, os saldos de </w:t>
      </w:r>
      <w:r w:rsidR="00797FED">
        <w:rPr>
          <w:rFonts w:ascii="Arial" w:eastAsia="Arial Unicode MS" w:hAnsi="Arial" w:cs="Arial"/>
          <w:sz w:val="20"/>
          <w:szCs w:val="20"/>
        </w:rPr>
        <w:t>adiantamentos concedidos a pessoal</w:t>
      </w:r>
      <w:r w:rsidR="00006B51" w:rsidRPr="00533035">
        <w:rPr>
          <w:rFonts w:ascii="Arial" w:eastAsia="Arial Unicode MS" w:hAnsi="Arial" w:cs="Arial"/>
          <w:sz w:val="20"/>
          <w:szCs w:val="20"/>
        </w:rPr>
        <w:t xml:space="preserve"> não foram conciliados com o sistema da folha de pagamento de forma que no final do exercício </w:t>
      </w:r>
      <w:r w:rsidR="00D30662">
        <w:rPr>
          <w:rFonts w:ascii="Arial" w:eastAsia="Arial Unicode MS" w:hAnsi="Arial" w:cs="Arial"/>
          <w:sz w:val="20"/>
          <w:szCs w:val="20"/>
        </w:rPr>
        <w:t>pudesse refletir</w:t>
      </w:r>
      <w:r w:rsidR="00006B51" w:rsidRPr="00533035">
        <w:rPr>
          <w:rFonts w:ascii="Arial" w:eastAsia="Arial Unicode MS" w:hAnsi="Arial" w:cs="Arial"/>
          <w:sz w:val="20"/>
          <w:szCs w:val="20"/>
        </w:rPr>
        <w:t xml:space="preserve"> apenas os adiantamentos concedidos e ainda não descontados, referentes ao exercício s</w:t>
      </w:r>
      <w:r w:rsidR="00797FED">
        <w:rPr>
          <w:rFonts w:ascii="Arial" w:eastAsia="Arial Unicode MS" w:hAnsi="Arial" w:cs="Arial"/>
          <w:sz w:val="20"/>
          <w:szCs w:val="20"/>
        </w:rPr>
        <w:t>eguinte. O referido documento</w:t>
      </w:r>
      <w:r w:rsidR="00D30662">
        <w:rPr>
          <w:rFonts w:ascii="Arial" w:eastAsia="Arial Unicode MS" w:hAnsi="Arial" w:cs="Arial"/>
          <w:sz w:val="20"/>
          <w:szCs w:val="20"/>
        </w:rPr>
        <w:t xml:space="preserve"> do sistema gerencial da folha de pagamentos não foi apresentado e o saldo escriturado de adiantamentos concedidos em </w:t>
      </w:r>
      <w:r w:rsidR="00832297">
        <w:rPr>
          <w:rFonts w:ascii="Arial" w:eastAsia="Arial Unicode MS" w:hAnsi="Arial" w:cs="Arial"/>
          <w:sz w:val="20"/>
          <w:szCs w:val="20"/>
        </w:rPr>
        <w:t>30/0</w:t>
      </w:r>
      <w:r w:rsidR="004F5480">
        <w:rPr>
          <w:rFonts w:ascii="Arial" w:eastAsia="Arial Unicode MS" w:hAnsi="Arial" w:cs="Arial"/>
          <w:sz w:val="20"/>
          <w:szCs w:val="20"/>
        </w:rPr>
        <w:t>9</w:t>
      </w:r>
      <w:r w:rsidR="00E4280D">
        <w:rPr>
          <w:rFonts w:ascii="Arial" w:eastAsia="Arial Unicode MS" w:hAnsi="Arial" w:cs="Arial"/>
          <w:sz w:val="20"/>
          <w:szCs w:val="20"/>
        </w:rPr>
        <w:t xml:space="preserve">/2020 </w:t>
      </w:r>
      <w:r w:rsidR="00D30662">
        <w:rPr>
          <w:rFonts w:ascii="Arial" w:eastAsia="Arial Unicode MS" w:hAnsi="Arial" w:cs="Arial"/>
          <w:sz w:val="20"/>
          <w:szCs w:val="20"/>
        </w:rPr>
        <w:t xml:space="preserve">é de R$ </w:t>
      </w:r>
      <w:r w:rsidR="004F5480">
        <w:rPr>
          <w:rFonts w:ascii="Arial" w:eastAsia="Arial Unicode MS" w:hAnsi="Arial" w:cs="Arial"/>
          <w:sz w:val="20"/>
          <w:szCs w:val="20"/>
        </w:rPr>
        <w:t>1.874.892,45</w:t>
      </w:r>
      <w:r w:rsidR="00D30662">
        <w:rPr>
          <w:rFonts w:ascii="Arial" w:eastAsia="Arial Unicode MS" w:hAnsi="Arial" w:cs="Arial"/>
          <w:sz w:val="20"/>
          <w:szCs w:val="20"/>
        </w:rPr>
        <w:t>.</w:t>
      </w:r>
    </w:p>
    <w:p w14:paraId="437115EF" w14:textId="4A00B578" w:rsidR="000E7D97" w:rsidRDefault="00006B51" w:rsidP="00006B51">
      <w:pPr>
        <w:spacing w:after="40"/>
        <w:rPr>
          <w:rFonts w:ascii="Arial" w:eastAsia="Arial Unicode MS" w:hAnsi="Arial" w:cs="Arial"/>
          <w:sz w:val="20"/>
          <w:szCs w:val="20"/>
        </w:rPr>
      </w:pPr>
      <w:r w:rsidRPr="00533035">
        <w:rPr>
          <w:rFonts w:ascii="Arial" w:eastAsia="Arial Unicode MS" w:hAnsi="Arial" w:cs="Arial"/>
          <w:sz w:val="20"/>
          <w:szCs w:val="20"/>
        </w:rPr>
        <w:t xml:space="preserve">Até a data de encerramento de exercício, não foram apresentados à esta setorial os documentos de escrituração </w:t>
      </w:r>
      <w:r w:rsidR="00797FED">
        <w:rPr>
          <w:rFonts w:ascii="Arial" w:eastAsia="Arial Unicode MS" w:hAnsi="Arial" w:cs="Arial"/>
          <w:sz w:val="20"/>
          <w:szCs w:val="20"/>
        </w:rPr>
        <w:t>do saldo alongado</w:t>
      </w:r>
      <w:r w:rsidRPr="00533035">
        <w:rPr>
          <w:rFonts w:ascii="Arial" w:eastAsia="Arial Unicode MS" w:hAnsi="Arial" w:cs="Arial"/>
          <w:sz w:val="20"/>
          <w:szCs w:val="20"/>
        </w:rPr>
        <w:t xml:space="preserve"> a receber em conta “</w:t>
      </w:r>
      <w:r w:rsidR="00D30662">
        <w:rPr>
          <w:rFonts w:ascii="Arial" w:eastAsia="Arial Unicode MS" w:hAnsi="Arial" w:cs="Arial"/>
          <w:sz w:val="20"/>
          <w:szCs w:val="20"/>
        </w:rPr>
        <w:t>clientes” do campus Bento Gonçalves, de modo que ateste com confiabilidade o</w:t>
      </w:r>
      <w:r w:rsidR="00797FED">
        <w:rPr>
          <w:rFonts w:ascii="Arial" w:eastAsia="Arial Unicode MS" w:hAnsi="Arial" w:cs="Arial"/>
          <w:sz w:val="20"/>
          <w:szCs w:val="20"/>
        </w:rPr>
        <w:t xml:space="preserve"> saldo escriturado</w:t>
      </w:r>
      <w:r w:rsidRPr="00533035">
        <w:rPr>
          <w:rFonts w:ascii="Arial" w:eastAsia="Arial Unicode MS" w:hAnsi="Arial" w:cs="Arial"/>
          <w:sz w:val="20"/>
          <w:szCs w:val="20"/>
        </w:rPr>
        <w:t>.</w:t>
      </w:r>
      <w:r w:rsidR="00D30662">
        <w:rPr>
          <w:rFonts w:ascii="Arial" w:eastAsia="Arial Unicode MS" w:hAnsi="Arial" w:cs="Arial"/>
          <w:sz w:val="20"/>
          <w:szCs w:val="20"/>
        </w:rPr>
        <w:t xml:space="preserve"> Em </w:t>
      </w:r>
      <w:r w:rsidR="00832297">
        <w:rPr>
          <w:rFonts w:ascii="Arial" w:eastAsia="Arial Unicode MS" w:hAnsi="Arial" w:cs="Arial"/>
          <w:sz w:val="20"/>
          <w:szCs w:val="20"/>
        </w:rPr>
        <w:t>30/06</w:t>
      </w:r>
      <w:r w:rsidR="00E4280D">
        <w:rPr>
          <w:rFonts w:ascii="Arial" w:eastAsia="Arial Unicode MS" w:hAnsi="Arial" w:cs="Arial"/>
          <w:sz w:val="20"/>
          <w:szCs w:val="20"/>
        </w:rPr>
        <w:t>/2020</w:t>
      </w:r>
      <w:r w:rsidR="00D30662">
        <w:rPr>
          <w:rFonts w:ascii="Arial" w:eastAsia="Arial Unicode MS" w:hAnsi="Arial" w:cs="Arial"/>
          <w:sz w:val="20"/>
          <w:szCs w:val="20"/>
        </w:rPr>
        <w:t>, o saldo alongado é de R$ 5.878,00.</w:t>
      </w:r>
    </w:p>
    <w:p w14:paraId="32B6F52E" w14:textId="0BFFA611" w:rsidR="00B66194" w:rsidRPr="009649FC" w:rsidRDefault="00B66194"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Dívida ativa não tributária</w:t>
      </w:r>
    </w:p>
    <w:p w14:paraId="7DAE0270" w14:textId="06CB6FCF" w:rsidR="00B66194" w:rsidRDefault="00B66194" w:rsidP="00006B51">
      <w:pPr>
        <w:spacing w:after="40"/>
        <w:rPr>
          <w:rFonts w:ascii="Arial" w:eastAsia="Arial Unicode MS" w:hAnsi="Arial" w:cs="Arial"/>
          <w:sz w:val="20"/>
          <w:szCs w:val="20"/>
        </w:rPr>
      </w:pPr>
      <w:r>
        <w:rPr>
          <w:rFonts w:ascii="Arial" w:eastAsia="Arial Unicode MS" w:hAnsi="Arial" w:cs="Arial"/>
          <w:sz w:val="20"/>
          <w:szCs w:val="20"/>
        </w:rPr>
        <w:t>Até a data de encerramento de exercício, não foi apresentado documento gerencial de controle da dívida ativa não tributária que viabilize a conciliação de saldos e ateste, com segurança e fidedignidade, os valores escriturados nesse título.</w:t>
      </w:r>
    </w:p>
    <w:p w14:paraId="458CFC04" w14:textId="61DE2D73" w:rsidR="00D30662" w:rsidRDefault="00D30662" w:rsidP="00006B51">
      <w:pPr>
        <w:spacing w:after="40"/>
        <w:rPr>
          <w:rFonts w:ascii="Arial" w:eastAsia="Arial Unicode MS" w:hAnsi="Arial" w:cs="Arial"/>
          <w:sz w:val="20"/>
          <w:szCs w:val="20"/>
        </w:rPr>
      </w:pPr>
      <w:r>
        <w:rPr>
          <w:rFonts w:ascii="Arial" w:eastAsia="Arial Unicode MS" w:hAnsi="Arial" w:cs="Arial"/>
          <w:sz w:val="20"/>
          <w:szCs w:val="20"/>
        </w:rPr>
        <w:t xml:space="preserve">Em </w:t>
      </w:r>
      <w:r w:rsidR="00832297">
        <w:rPr>
          <w:rFonts w:ascii="Arial" w:eastAsia="Arial Unicode MS" w:hAnsi="Arial" w:cs="Arial"/>
          <w:sz w:val="20"/>
          <w:szCs w:val="20"/>
        </w:rPr>
        <w:t>30/06/2020</w:t>
      </w:r>
      <w:r>
        <w:rPr>
          <w:rFonts w:ascii="Arial" w:eastAsia="Arial Unicode MS" w:hAnsi="Arial" w:cs="Arial"/>
          <w:sz w:val="20"/>
          <w:szCs w:val="20"/>
        </w:rPr>
        <w:t xml:space="preserve">, o saldo em dívida ativa não tributária é </w:t>
      </w:r>
      <w:r w:rsidR="00255673">
        <w:rPr>
          <w:rFonts w:ascii="Arial" w:eastAsia="Arial Unicode MS" w:hAnsi="Arial" w:cs="Arial"/>
          <w:sz w:val="20"/>
          <w:szCs w:val="20"/>
        </w:rPr>
        <w:t xml:space="preserve">de R$ </w:t>
      </w:r>
      <w:r w:rsidR="007723FC">
        <w:rPr>
          <w:rFonts w:ascii="Arial" w:eastAsia="Arial Unicode MS" w:hAnsi="Arial" w:cs="Arial"/>
          <w:sz w:val="20"/>
          <w:szCs w:val="20"/>
        </w:rPr>
        <w:t>103.004,88</w:t>
      </w:r>
      <w:r>
        <w:rPr>
          <w:rFonts w:ascii="Arial" w:eastAsia="Arial Unicode MS" w:hAnsi="Arial" w:cs="Arial"/>
          <w:sz w:val="20"/>
          <w:szCs w:val="20"/>
        </w:rPr>
        <w:t>.</w:t>
      </w:r>
    </w:p>
    <w:p w14:paraId="2674E5C1" w14:textId="6636658C" w:rsidR="00AA0E39" w:rsidRPr="009649FC" w:rsidRDefault="00AA0E39"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Bens móveis</w:t>
      </w:r>
    </w:p>
    <w:p w14:paraId="5533024E" w14:textId="5B3D058A" w:rsidR="00B66194" w:rsidRDefault="00800967" w:rsidP="00006B51">
      <w:pPr>
        <w:spacing w:after="40"/>
        <w:rPr>
          <w:rFonts w:ascii="Arial" w:eastAsia="Arial Unicode MS" w:hAnsi="Arial" w:cs="Arial"/>
          <w:sz w:val="20"/>
          <w:szCs w:val="20"/>
        </w:rPr>
      </w:pPr>
      <w:r>
        <w:rPr>
          <w:rFonts w:ascii="Arial" w:eastAsia="Arial Unicode MS" w:hAnsi="Arial" w:cs="Arial"/>
          <w:sz w:val="20"/>
          <w:szCs w:val="20"/>
        </w:rPr>
        <w:t>Durante todo o exercício, manteve-se divergente o saldo SIAFI de bens móveis em relação ao correspondente documento de controle</w:t>
      </w:r>
      <w:r w:rsidR="009649FC">
        <w:rPr>
          <w:rFonts w:ascii="Arial" w:eastAsia="Arial Unicode MS" w:hAnsi="Arial" w:cs="Arial"/>
          <w:sz w:val="20"/>
          <w:szCs w:val="20"/>
        </w:rPr>
        <w:t xml:space="preserve"> gerencial</w:t>
      </w:r>
      <w:r>
        <w:rPr>
          <w:rFonts w:ascii="Arial" w:eastAsia="Arial Unicode MS" w:hAnsi="Arial" w:cs="Arial"/>
          <w:sz w:val="20"/>
          <w:szCs w:val="20"/>
        </w:rPr>
        <w:t>, Relatório de Movimentação de Bens Móveis – RMB,</w:t>
      </w:r>
      <w:r w:rsidR="00C658AF">
        <w:rPr>
          <w:rFonts w:ascii="Arial" w:eastAsia="Arial Unicode MS" w:hAnsi="Arial" w:cs="Arial"/>
          <w:sz w:val="20"/>
          <w:szCs w:val="20"/>
        </w:rPr>
        <w:t xml:space="preserve"> e não há registro de </w:t>
      </w:r>
      <w:r w:rsidR="009649FC">
        <w:rPr>
          <w:rFonts w:ascii="Arial" w:eastAsia="Arial Unicode MS" w:hAnsi="Arial" w:cs="Arial"/>
          <w:sz w:val="20"/>
          <w:szCs w:val="20"/>
        </w:rPr>
        <w:t>laudos de</w:t>
      </w:r>
      <w:r w:rsidR="00C658AF">
        <w:rPr>
          <w:rFonts w:ascii="Arial" w:eastAsia="Arial Unicode MS" w:hAnsi="Arial" w:cs="Arial"/>
          <w:sz w:val="20"/>
          <w:szCs w:val="20"/>
        </w:rPr>
        <w:t xml:space="preserve"> reavaliação dos ativos</w:t>
      </w:r>
      <w:r w:rsidR="009649FC">
        <w:rPr>
          <w:rFonts w:ascii="Arial" w:eastAsia="Arial Unicode MS" w:hAnsi="Arial" w:cs="Arial"/>
          <w:sz w:val="20"/>
          <w:szCs w:val="20"/>
        </w:rPr>
        <w:t xml:space="preserve"> (</w:t>
      </w:r>
      <w:r w:rsidR="00C658AF">
        <w:rPr>
          <w:rFonts w:ascii="Arial" w:eastAsia="Arial Unicode MS" w:hAnsi="Arial" w:cs="Arial"/>
          <w:sz w:val="20"/>
          <w:szCs w:val="20"/>
        </w:rPr>
        <w:t>bens móveis, imóveis, intangíveis e outros</w:t>
      </w:r>
      <w:r w:rsidR="009649FC">
        <w:rPr>
          <w:rFonts w:ascii="Arial" w:eastAsia="Arial Unicode MS" w:hAnsi="Arial" w:cs="Arial"/>
          <w:sz w:val="20"/>
          <w:szCs w:val="20"/>
        </w:rPr>
        <w:t>)</w:t>
      </w:r>
      <w:r w:rsidR="00C658AF">
        <w:rPr>
          <w:rFonts w:ascii="Arial" w:eastAsia="Arial Unicode MS" w:hAnsi="Arial" w:cs="Arial"/>
          <w:sz w:val="20"/>
          <w:szCs w:val="20"/>
        </w:rPr>
        <w:t>,</w:t>
      </w:r>
      <w:r>
        <w:rPr>
          <w:rFonts w:ascii="Arial" w:eastAsia="Arial Unicode MS" w:hAnsi="Arial" w:cs="Arial"/>
          <w:sz w:val="20"/>
          <w:szCs w:val="20"/>
        </w:rPr>
        <w:t xml:space="preserve"> de modo que as contas correspondentes não refletem com </w:t>
      </w:r>
      <w:r w:rsidR="009649FC">
        <w:rPr>
          <w:rFonts w:ascii="Arial" w:eastAsia="Arial Unicode MS" w:hAnsi="Arial" w:cs="Arial"/>
          <w:sz w:val="20"/>
          <w:szCs w:val="20"/>
        </w:rPr>
        <w:t>confiabilidade</w:t>
      </w:r>
      <w:r>
        <w:rPr>
          <w:rFonts w:ascii="Arial" w:eastAsia="Arial Unicode MS" w:hAnsi="Arial" w:cs="Arial"/>
          <w:sz w:val="20"/>
          <w:szCs w:val="20"/>
        </w:rPr>
        <w:t xml:space="preserve"> o ativo escriturado.</w:t>
      </w:r>
    </w:p>
    <w:p w14:paraId="0890F617" w14:textId="2EFFBA8D" w:rsidR="00B66194" w:rsidRDefault="00B66194" w:rsidP="00006B51">
      <w:pPr>
        <w:spacing w:after="40"/>
        <w:rPr>
          <w:rFonts w:ascii="Arial" w:eastAsia="Arial Unicode MS" w:hAnsi="Arial" w:cs="Arial"/>
          <w:sz w:val="20"/>
          <w:szCs w:val="20"/>
        </w:rPr>
      </w:pPr>
      <w:r>
        <w:rPr>
          <w:rFonts w:ascii="Arial" w:eastAsia="Arial Unicode MS" w:hAnsi="Arial" w:cs="Arial"/>
          <w:sz w:val="20"/>
          <w:szCs w:val="20"/>
        </w:rPr>
        <w:t xml:space="preserve">Não há registro de laudo de inventário consolidado que viabilize conciliação das contas desse título e que, paralelamente, ateste com </w:t>
      </w:r>
      <w:r w:rsidR="009649FC">
        <w:rPr>
          <w:rFonts w:ascii="Arial" w:eastAsia="Arial Unicode MS" w:hAnsi="Arial" w:cs="Arial"/>
          <w:sz w:val="20"/>
          <w:szCs w:val="20"/>
        </w:rPr>
        <w:t>confiabilidade</w:t>
      </w:r>
      <w:r>
        <w:rPr>
          <w:rFonts w:ascii="Arial" w:eastAsia="Arial Unicode MS" w:hAnsi="Arial" w:cs="Arial"/>
          <w:sz w:val="20"/>
          <w:szCs w:val="20"/>
        </w:rPr>
        <w:t xml:space="preserve"> o saldo em bens não localizados</w:t>
      </w:r>
      <w:r w:rsidR="00255673">
        <w:rPr>
          <w:rFonts w:ascii="Arial" w:eastAsia="Arial Unicode MS" w:hAnsi="Arial" w:cs="Arial"/>
          <w:sz w:val="20"/>
          <w:szCs w:val="20"/>
        </w:rPr>
        <w:t xml:space="preserve"> e que permita</w:t>
      </w:r>
      <w:r>
        <w:rPr>
          <w:rFonts w:ascii="Arial" w:eastAsia="Arial Unicode MS" w:hAnsi="Arial" w:cs="Arial"/>
          <w:sz w:val="20"/>
          <w:szCs w:val="20"/>
        </w:rPr>
        <w:t xml:space="preserve"> a promoção de descontinuidade dos bens.</w:t>
      </w:r>
    </w:p>
    <w:p w14:paraId="314A743F" w14:textId="5F2AC5F0" w:rsidR="00B66194" w:rsidRDefault="00B66194" w:rsidP="00006B51">
      <w:pPr>
        <w:spacing w:after="40"/>
        <w:rPr>
          <w:rFonts w:ascii="Arial" w:eastAsia="Arial Unicode MS" w:hAnsi="Arial" w:cs="Arial"/>
          <w:sz w:val="20"/>
          <w:szCs w:val="20"/>
        </w:rPr>
      </w:pPr>
      <w:r>
        <w:rPr>
          <w:rFonts w:ascii="Arial" w:eastAsia="Arial Unicode MS" w:hAnsi="Arial" w:cs="Arial"/>
          <w:sz w:val="20"/>
          <w:szCs w:val="20"/>
        </w:rPr>
        <w:t xml:space="preserve">O saldo, em </w:t>
      </w:r>
      <w:r w:rsidR="00832297">
        <w:rPr>
          <w:rFonts w:ascii="Arial" w:eastAsia="Arial Unicode MS" w:hAnsi="Arial" w:cs="Arial"/>
          <w:sz w:val="20"/>
          <w:szCs w:val="20"/>
        </w:rPr>
        <w:t>30/0</w:t>
      </w:r>
      <w:r w:rsidR="007723FC">
        <w:rPr>
          <w:rFonts w:ascii="Arial" w:eastAsia="Arial Unicode MS" w:hAnsi="Arial" w:cs="Arial"/>
          <w:sz w:val="20"/>
          <w:szCs w:val="20"/>
        </w:rPr>
        <w:t>9</w:t>
      </w:r>
      <w:r w:rsidR="00E4280D">
        <w:rPr>
          <w:rFonts w:ascii="Arial" w:eastAsia="Arial Unicode MS" w:hAnsi="Arial" w:cs="Arial"/>
          <w:sz w:val="20"/>
          <w:szCs w:val="20"/>
        </w:rPr>
        <w:t>/2020</w:t>
      </w:r>
      <w:r>
        <w:rPr>
          <w:rFonts w:ascii="Arial" w:eastAsia="Arial Unicode MS" w:hAnsi="Arial" w:cs="Arial"/>
          <w:sz w:val="20"/>
          <w:szCs w:val="20"/>
        </w:rPr>
        <w:t xml:space="preserve">, de bens não localizados, é de R$ </w:t>
      </w:r>
      <w:r w:rsidR="00E4280D">
        <w:rPr>
          <w:rFonts w:ascii="Arial" w:eastAsia="Arial Unicode MS" w:hAnsi="Arial" w:cs="Arial"/>
          <w:sz w:val="20"/>
          <w:szCs w:val="20"/>
        </w:rPr>
        <w:t>2.</w:t>
      </w:r>
      <w:r w:rsidR="00835C24">
        <w:rPr>
          <w:rFonts w:ascii="Arial" w:eastAsia="Arial Unicode MS" w:hAnsi="Arial" w:cs="Arial"/>
          <w:sz w:val="20"/>
          <w:szCs w:val="20"/>
        </w:rPr>
        <w:t>147.769,79</w:t>
      </w:r>
      <w:r>
        <w:rPr>
          <w:rFonts w:ascii="Arial" w:eastAsia="Arial Unicode MS" w:hAnsi="Arial" w:cs="Arial"/>
          <w:sz w:val="20"/>
          <w:szCs w:val="20"/>
        </w:rPr>
        <w:t>.</w:t>
      </w:r>
    </w:p>
    <w:p w14:paraId="102E7C64" w14:textId="6EF00A5E" w:rsidR="00AA0E39" w:rsidRDefault="00800967" w:rsidP="00006B51">
      <w:pPr>
        <w:spacing w:after="40"/>
        <w:rPr>
          <w:rFonts w:ascii="Arial" w:eastAsia="Arial Unicode MS" w:hAnsi="Arial" w:cs="Arial"/>
          <w:sz w:val="20"/>
          <w:szCs w:val="20"/>
        </w:rPr>
      </w:pPr>
      <w:r w:rsidRPr="0067151A">
        <w:rPr>
          <w:rFonts w:ascii="Arial" w:eastAsia="Arial Unicode MS" w:hAnsi="Arial" w:cs="Arial"/>
          <w:sz w:val="20"/>
          <w:szCs w:val="20"/>
        </w:rPr>
        <w:t>A divergência total</w:t>
      </w:r>
      <w:r w:rsidR="00B66194" w:rsidRPr="0067151A">
        <w:rPr>
          <w:rFonts w:ascii="Arial" w:eastAsia="Arial Unicode MS" w:hAnsi="Arial" w:cs="Arial"/>
          <w:sz w:val="20"/>
          <w:szCs w:val="20"/>
        </w:rPr>
        <w:t xml:space="preserve"> do saldo de bens móveis </w:t>
      </w:r>
      <w:r w:rsidR="0067151A" w:rsidRPr="0067151A">
        <w:rPr>
          <w:rFonts w:ascii="Arial" w:eastAsia="Arial Unicode MS" w:hAnsi="Arial" w:cs="Arial"/>
          <w:sz w:val="20"/>
          <w:szCs w:val="20"/>
        </w:rPr>
        <w:t xml:space="preserve">e intangíveis </w:t>
      </w:r>
      <w:r w:rsidR="00B66194" w:rsidRPr="0067151A">
        <w:rPr>
          <w:rFonts w:ascii="Arial" w:eastAsia="Arial Unicode MS" w:hAnsi="Arial" w:cs="Arial"/>
          <w:sz w:val="20"/>
          <w:szCs w:val="20"/>
        </w:rPr>
        <w:t xml:space="preserve">no SIAFI e </w:t>
      </w:r>
      <w:r w:rsidR="00BF5A16" w:rsidRPr="0067151A">
        <w:rPr>
          <w:rFonts w:ascii="Arial" w:eastAsia="Arial Unicode MS" w:hAnsi="Arial" w:cs="Arial"/>
          <w:sz w:val="20"/>
          <w:szCs w:val="20"/>
        </w:rPr>
        <w:t>o saldo de bens móveis</w:t>
      </w:r>
      <w:r w:rsidR="0067151A" w:rsidRPr="0067151A">
        <w:rPr>
          <w:rFonts w:ascii="Arial" w:eastAsia="Arial Unicode MS" w:hAnsi="Arial" w:cs="Arial"/>
          <w:sz w:val="20"/>
          <w:szCs w:val="20"/>
        </w:rPr>
        <w:t xml:space="preserve"> e intangíveis</w:t>
      </w:r>
      <w:r w:rsidR="00BF5A16" w:rsidRPr="0067151A">
        <w:rPr>
          <w:rFonts w:ascii="Arial" w:eastAsia="Arial Unicode MS" w:hAnsi="Arial" w:cs="Arial"/>
          <w:sz w:val="20"/>
          <w:szCs w:val="20"/>
        </w:rPr>
        <w:t xml:space="preserve"> no controle patrimonial</w:t>
      </w:r>
      <w:r w:rsidRPr="0067151A">
        <w:rPr>
          <w:rFonts w:ascii="Arial" w:eastAsia="Arial Unicode MS" w:hAnsi="Arial" w:cs="Arial"/>
          <w:sz w:val="20"/>
          <w:szCs w:val="20"/>
        </w:rPr>
        <w:t xml:space="preserve">, em </w:t>
      </w:r>
      <w:r w:rsidR="00832297">
        <w:rPr>
          <w:rFonts w:ascii="Arial" w:eastAsia="Arial Unicode MS" w:hAnsi="Arial" w:cs="Arial"/>
          <w:sz w:val="20"/>
          <w:szCs w:val="20"/>
        </w:rPr>
        <w:t>30/0</w:t>
      </w:r>
      <w:r w:rsidR="007723FC">
        <w:rPr>
          <w:rFonts w:ascii="Arial" w:eastAsia="Arial Unicode MS" w:hAnsi="Arial" w:cs="Arial"/>
          <w:sz w:val="20"/>
          <w:szCs w:val="20"/>
        </w:rPr>
        <w:t>9</w:t>
      </w:r>
      <w:r w:rsidR="00835C24">
        <w:rPr>
          <w:rFonts w:ascii="Arial" w:eastAsia="Arial Unicode MS" w:hAnsi="Arial" w:cs="Arial"/>
          <w:sz w:val="20"/>
          <w:szCs w:val="20"/>
        </w:rPr>
        <w:t>/2020</w:t>
      </w:r>
      <w:r w:rsidRPr="0067151A">
        <w:rPr>
          <w:rFonts w:ascii="Arial" w:eastAsia="Arial Unicode MS" w:hAnsi="Arial" w:cs="Arial"/>
          <w:sz w:val="20"/>
          <w:szCs w:val="20"/>
        </w:rPr>
        <w:t xml:space="preserve">, é de </w:t>
      </w:r>
      <w:r w:rsidR="00656750">
        <w:rPr>
          <w:rFonts w:ascii="Arial" w:eastAsia="Arial Unicode MS" w:hAnsi="Arial" w:cs="Arial"/>
          <w:sz w:val="20"/>
          <w:szCs w:val="20"/>
        </w:rPr>
        <w:t xml:space="preserve">R$ </w:t>
      </w:r>
      <w:r w:rsidR="007723FC">
        <w:rPr>
          <w:rFonts w:ascii="Times New Roman" w:hAnsi="Times New Roman"/>
          <w:szCs w:val="24"/>
        </w:rPr>
        <w:t>4.748.621,82</w:t>
      </w:r>
      <w:r w:rsidR="00916702">
        <w:rPr>
          <w:rFonts w:ascii="Arial" w:eastAsia="Arial Unicode MS" w:hAnsi="Arial" w:cs="Arial"/>
          <w:sz w:val="20"/>
          <w:szCs w:val="20"/>
        </w:rPr>
        <w:t>.</w:t>
      </w:r>
    </w:p>
    <w:p w14:paraId="52255223" w14:textId="4FA3EB77" w:rsidR="00C658AF" w:rsidRDefault="00C658AF" w:rsidP="00006B51">
      <w:pPr>
        <w:spacing w:after="40"/>
        <w:rPr>
          <w:rFonts w:ascii="Arial" w:eastAsia="Arial Unicode MS" w:hAnsi="Arial" w:cs="Arial"/>
          <w:sz w:val="20"/>
          <w:szCs w:val="20"/>
        </w:rPr>
      </w:pPr>
      <w:r>
        <w:rPr>
          <w:rFonts w:ascii="Arial" w:eastAsia="Arial Unicode MS" w:hAnsi="Arial" w:cs="Arial"/>
          <w:sz w:val="20"/>
          <w:szCs w:val="20"/>
        </w:rPr>
        <w:t xml:space="preserve">Até a data de encerramento de exercício, não foram corrigidos problemas de cálculo do relatório de depreciação </w:t>
      </w:r>
      <w:r w:rsidR="0067151A">
        <w:rPr>
          <w:rFonts w:ascii="Arial" w:eastAsia="Arial Unicode MS" w:hAnsi="Arial" w:cs="Arial"/>
          <w:sz w:val="20"/>
          <w:szCs w:val="20"/>
        </w:rPr>
        <w:t xml:space="preserve">e amortização </w:t>
      </w:r>
      <w:r>
        <w:rPr>
          <w:rFonts w:ascii="Arial" w:eastAsia="Arial Unicode MS" w:hAnsi="Arial" w:cs="Arial"/>
          <w:sz w:val="20"/>
          <w:szCs w:val="20"/>
        </w:rPr>
        <w:t>acumulada, de modo que os registros desse</w:t>
      </w:r>
      <w:r w:rsidR="0067151A">
        <w:rPr>
          <w:rFonts w:ascii="Arial" w:eastAsia="Arial Unicode MS" w:hAnsi="Arial" w:cs="Arial"/>
          <w:sz w:val="20"/>
          <w:szCs w:val="20"/>
        </w:rPr>
        <w:t>s</w:t>
      </w:r>
      <w:r>
        <w:rPr>
          <w:rFonts w:ascii="Arial" w:eastAsia="Arial Unicode MS" w:hAnsi="Arial" w:cs="Arial"/>
          <w:sz w:val="20"/>
          <w:szCs w:val="20"/>
        </w:rPr>
        <w:t xml:space="preserve"> título</w:t>
      </w:r>
      <w:r w:rsidR="0067151A">
        <w:rPr>
          <w:rFonts w:ascii="Arial" w:eastAsia="Arial Unicode MS" w:hAnsi="Arial" w:cs="Arial"/>
          <w:sz w:val="20"/>
          <w:szCs w:val="20"/>
        </w:rPr>
        <w:t>s</w:t>
      </w:r>
      <w:r>
        <w:rPr>
          <w:rFonts w:ascii="Arial" w:eastAsia="Arial Unicode MS" w:hAnsi="Arial" w:cs="Arial"/>
          <w:sz w:val="20"/>
          <w:szCs w:val="20"/>
        </w:rPr>
        <w:t xml:space="preserve"> não refletem com </w:t>
      </w:r>
      <w:r w:rsidR="009649FC">
        <w:rPr>
          <w:rFonts w:ascii="Arial" w:eastAsia="Arial Unicode MS" w:hAnsi="Arial" w:cs="Arial"/>
          <w:sz w:val="20"/>
          <w:szCs w:val="20"/>
        </w:rPr>
        <w:t>confiabilidade</w:t>
      </w:r>
      <w:r>
        <w:rPr>
          <w:rFonts w:ascii="Arial" w:eastAsia="Arial Unicode MS" w:hAnsi="Arial" w:cs="Arial"/>
          <w:sz w:val="20"/>
          <w:szCs w:val="20"/>
        </w:rPr>
        <w:t xml:space="preserve"> a depreciação acumulada de bens móveis</w:t>
      </w:r>
      <w:r w:rsidR="0067151A">
        <w:rPr>
          <w:rFonts w:ascii="Arial" w:eastAsia="Arial Unicode MS" w:hAnsi="Arial" w:cs="Arial"/>
          <w:sz w:val="20"/>
          <w:szCs w:val="20"/>
        </w:rPr>
        <w:t xml:space="preserve"> e amortização acumulada de bens intangíveis</w:t>
      </w:r>
      <w:r>
        <w:rPr>
          <w:rFonts w:ascii="Arial" w:eastAsia="Arial Unicode MS" w:hAnsi="Arial" w:cs="Arial"/>
          <w:sz w:val="20"/>
          <w:szCs w:val="20"/>
        </w:rPr>
        <w:t>.</w:t>
      </w:r>
    </w:p>
    <w:p w14:paraId="7EBB8E32" w14:textId="138251A9" w:rsidR="00C658AF" w:rsidRPr="009649FC" w:rsidRDefault="00C658AF"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Ativo intangível</w:t>
      </w:r>
    </w:p>
    <w:p w14:paraId="42BCEBF6" w14:textId="342284F2" w:rsidR="00C658AF" w:rsidRDefault="00C658AF" w:rsidP="00006B51">
      <w:pPr>
        <w:spacing w:after="40"/>
        <w:rPr>
          <w:rFonts w:ascii="Arial" w:eastAsia="Arial Unicode MS" w:hAnsi="Arial" w:cs="Arial"/>
          <w:sz w:val="20"/>
          <w:szCs w:val="20"/>
        </w:rPr>
      </w:pPr>
      <w:r>
        <w:rPr>
          <w:rFonts w:ascii="Arial" w:eastAsia="Arial Unicode MS" w:hAnsi="Arial" w:cs="Arial"/>
          <w:sz w:val="20"/>
          <w:szCs w:val="20"/>
        </w:rPr>
        <w:t>Até a data de encerramento de exercício, não foram apresentados documento de controle dos ativos intangíveis e amortização acumulada, de modo que os registros desse título não refletem com fidedignidade o ativo escriturado.</w:t>
      </w:r>
    </w:p>
    <w:p w14:paraId="2B52FB47" w14:textId="71B07EE1" w:rsidR="009649FC" w:rsidRDefault="009649FC" w:rsidP="00006B51">
      <w:pPr>
        <w:spacing w:after="40"/>
        <w:rPr>
          <w:rFonts w:ascii="Arial" w:eastAsia="Arial Unicode MS" w:hAnsi="Arial" w:cs="Arial"/>
          <w:sz w:val="20"/>
          <w:szCs w:val="20"/>
        </w:rPr>
      </w:pPr>
      <w:r>
        <w:rPr>
          <w:rFonts w:ascii="Arial" w:eastAsia="Arial Unicode MS" w:hAnsi="Arial" w:cs="Arial"/>
          <w:sz w:val="20"/>
          <w:szCs w:val="20"/>
        </w:rPr>
        <w:t xml:space="preserve">Em </w:t>
      </w:r>
      <w:r w:rsidR="00E31DF9">
        <w:rPr>
          <w:rFonts w:ascii="Arial" w:eastAsia="Arial Unicode MS" w:hAnsi="Arial" w:cs="Arial"/>
          <w:sz w:val="20"/>
          <w:szCs w:val="20"/>
        </w:rPr>
        <w:t>30/0</w:t>
      </w:r>
      <w:r w:rsidR="007723FC">
        <w:rPr>
          <w:rFonts w:ascii="Arial" w:eastAsia="Arial Unicode MS" w:hAnsi="Arial" w:cs="Arial"/>
          <w:sz w:val="20"/>
          <w:szCs w:val="20"/>
        </w:rPr>
        <w:t>9</w:t>
      </w:r>
      <w:r w:rsidR="00656750">
        <w:rPr>
          <w:rFonts w:ascii="Arial" w:eastAsia="Arial Unicode MS" w:hAnsi="Arial" w:cs="Arial"/>
          <w:sz w:val="20"/>
          <w:szCs w:val="20"/>
        </w:rPr>
        <w:t>/2020</w:t>
      </w:r>
      <w:r>
        <w:rPr>
          <w:rFonts w:ascii="Arial" w:eastAsia="Arial Unicode MS" w:hAnsi="Arial" w:cs="Arial"/>
          <w:sz w:val="20"/>
          <w:szCs w:val="20"/>
        </w:rPr>
        <w:t xml:space="preserve">, o saldo em ativos intangíveis é de R$ </w:t>
      </w:r>
      <w:r w:rsidR="007723FC">
        <w:rPr>
          <w:rFonts w:ascii="Arial" w:eastAsia="Arial Unicode MS" w:hAnsi="Arial" w:cs="Arial"/>
          <w:sz w:val="20"/>
          <w:szCs w:val="20"/>
        </w:rPr>
        <w:t>799.393,47</w:t>
      </w:r>
      <w:r>
        <w:rPr>
          <w:rFonts w:ascii="Arial" w:eastAsia="Arial Unicode MS" w:hAnsi="Arial" w:cs="Arial"/>
          <w:sz w:val="20"/>
          <w:szCs w:val="20"/>
        </w:rPr>
        <w:t>.</w:t>
      </w:r>
    </w:p>
    <w:p w14:paraId="00B5A99D" w14:textId="68327E2F" w:rsidR="00924B29" w:rsidRPr="009649FC" w:rsidRDefault="00924B29"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Obrigações trabalhistas, previdenciárias e assistenciais a pagar</w:t>
      </w:r>
    </w:p>
    <w:p w14:paraId="231B3F9E" w14:textId="5F9C6988" w:rsidR="00924B29" w:rsidRDefault="00924B29" w:rsidP="00006B51">
      <w:pPr>
        <w:spacing w:after="40"/>
        <w:rPr>
          <w:rFonts w:ascii="Arial" w:eastAsia="Arial Unicode MS" w:hAnsi="Arial" w:cs="Arial"/>
          <w:sz w:val="20"/>
          <w:szCs w:val="20"/>
        </w:rPr>
      </w:pPr>
      <w:r>
        <w:rPr>
          <w:rFonts w:ascii="Arial" w:eastAsia="Arial Unicode MS" w:hAnsi="Arial" w:cs="Arial"/>
          <w:sz w:val="20"/>
          <w:szCs w:val="20"/>
        </w:rPr>
        <w:t>Até a data de encerramento de exercício, o sistema de folha de pagamento não apresentou relatório que permita conciliação das contas de obrigações trabalhistas, previdenciárias e assistenciais, de modo que os saldos escriturados possam refletir a realidade, com segurança e fidedignidade.</w:t>
      </w:r>
    </w:p>
    <w:p w14:paraId="7D0B7C6B" w14:textId="740603BB" w:rsidR="00313283" w:rsidRDefault="009649FC" w:rsidP="00006B51">
      <w:pPr>
        <w:spacing w:after="40"/>
        <w:rPr>
          <w:rFonts w:ascii="Arial" w:eastAsia="Arial Unicode MS" w:hAnsi="Arial" w:cs="Arial"/>
          <w:sz w:val="20"/>
          <w:szCs w:val="20"/>
        </w:rPr>
      </w:pPr>
      <w:r>
        <w:rPr>
          <w:rFonts w:ascii="Arial" w:eastAsia="Arial Unicode MS" w:hAnsi="Arial" w:cs="Arial"/>
          <w:sz w:val="20"/>
          <w:szCs w:val="20"/>
        </w:rPr>
        <w:t xml:space="preserve">Em </w:t>
      </w:r>
      <w:r w:rsidR="00E31DF9">
        <w:rPr>
          <w:rFonts w:ascii="Arial" w:eastAsia="Arial Unicode MS" w:hAnsi="Arial" w:cs="Arial"/>
          <w:sz w:val="20"/>
          <w:szCs w:val="20"/>
        </w:rPr>
        <w:t>30/0</w:t>
      </w:r>
      <w:r w:rsidR="007723FC">
        <w:rPr>
          <w:rFonts w:ascii="Arial" w:eastAsia="Arial Unicode MS" w:hAnsi="Arial" w:cs="Arial"/>
          <w:sz w:val="20"/>
          <w:szCs w:val="20"/>
        </w:rPr>
        <w:t>9</w:t>
      </w:r>
      <w:r w:rsidR="00E31DF9">
        <w:rPr>
          <w:rFonts w:ascii="Arial" w:eastAsia="Arial Unicode MS" w:hAnsi="Arial" w:cs="Arial"/>
          <w:sz w:val="20"/>
          <w:szCs w:val="20"/>
        </w:rPr>
        <w:t>/2020</w:t>
      </w:r>
      <w:r>
        <w:rPr>
          <w:rFonts w:ascii="Arial" w:eastAsia="Arial Unicode MS" w:hAnsi="Arial" w:cs="Arial"/>
          <w:sz w:val="20"/>
          <w:szCs w:val="20"/>
        </w:rPr>
        <w:t xml:space="preserve">, as obrigações trabalhistas, previdenciárias e assistenciais a pagar escrituradas somam R$ </w:t>
      </w:r>
      <w:r w:rsidR="007723FC">
        <w:rPr>
          <w:rFonts w:ascii="Arial" w:eastAsia="Arial Unicode MS" w:hAnsi="Arial" w:cs="Arial"/>
          <w:sz w:val="20"/>
          <w:szCs w:val="20"/>
        </w:rPr>
        <w:t>44.446.037,32</w:t>
      </w:r>
      <w:r w:rsidR="00E31DF9">
        <w:rPr>
          <w:rFonts w:ascii="Arial" w:eastAsia="Arial Unicode MS" w:hAnsi="Arial" w:cs="Arial"/>
          <w:sz w:val="20"/>
          <w:szCs w:val="20"/>
        </w:rPr>
        <w:t>.</w:t>
      </w:r>
    </w:p>
    <w:p w14:paraId="2ED511E7" w14:textId="251A4189" w:rsidR="0092356D" w:rsidRPr="008077D5" w:rsidRDefault="0092356D" w:rsidP="0092356D">
      <w:pPr>
        <w:spacing w:after="0" w:line="240" w:lineRule="auto"/>
        <w:rPr>
          <w:rFonts w:ascii="Arial" w:eastAsia="Times New Roman" w:hAnsi="Arial" w:cs="Arial"/>
          <w:color w:val="000000" w:themeColor="text1"/>
          <w:sz w:val="20"/>
          <w:szCs w:val="20"/>
          <w:lang w:eastAsia="pt-BR"/>
        </w:rPr>
      </w:pPr>
      <w:r w:rsidRPr="008077D5">
        <w:rPr>
          <w:rFonts w:ascii="Arial" w:eastAsia="Times New Roman" w:hAnsi="Arial" w:cs="Arial"/>
          <w:color w:val="000000" w:themeColor="text1"/>
          <w:sz w:val="20"/>
          <w:szCs w:val="20"/>
          <w:lang w:eastAsia="pt-BR"/>
        </w:rPr>
        <w:t xml:space="preserve">Faltam informações administrativas que justifique parte dos encargos recolhidos de contribuição previdenciárias ao INSS relativa aos contratos temporários. Até o </w:t>
      </w:r>
      <w:r w:rsidR="007723FC" w:rsidRPr="008077D5">
        <w:rPr>
          <w:rFonts w:ascii="Arial" w:eastAsia="Times New Roman" w:hAnsi="Arial" w:cs="Arial"/>
          <w:color w:val="000000" w:themeColor="text1"/>
          <w:sz w:val="20"/>
          <w:szCs w:val="20"/>
          <w:lang w:eastAsia="pt-BR"/>
        </w:rPr>
        <w:t>terceiro</w:t>
      </w:r>
      <w:r w:rsidRPr="008077D5">
        <w:rPr>
          <w:rFonts w:ascii="Arial" w:eastAsia="Times New Roman" w:hAnsi="Arial" w:cs="Arial"/>
          <w:color w:val="000000" w:themeColor="text1"/>
          <w:sz w:val="20"/>
          <w:szCs w:val="20"/>
          <w:lang w:eastAsia="pt-BR"/>
        </w:rPr>
        <w:t xml:space="preserve"> </w:t>
      </w:r>
      <w:r w:rsidR="007D1028" w:rsidRPr="008077D5">
        <w:rPr>
          <w:rFonts w:ascii="Arial" w:eastAsia="Times New Roman" w:hAnsi="Arial" w:cs="Arial"/>
          <w:color w:val="000000" w:themeColor="text1"/>
          <w:sz w:val="20"/>
          <w:szCs w:val="20"/>
          <w:lang w:eastAsia="pt-BR"/>
        </w:rPr>
        <w:t>trimestre</w:t>
      </w:r>
      <w:r w:rsidRPr="008077D5">
        <w:rPr>
          <w:rFonts w:ascii="Arial" w:eastAsia="Times New Roman" w:hAnsi="Arial" w:cs="Arial"/>
          <w:color w:val="000000" w:themeColor="text1"/>
          <w:sz w:val="20"/>
          <w:szCs w:val="20"/>
          <w:lang w:eastAsia="pt-BR"/>
        </w:rPr>
        <w:t xml:space="preserve"> do exercício, foi identificado o recolhimento de </w:t>
      </w:r>
      <w:r w:rsidRPr="008077D5">
        <w:rPr>
          <w:rFonts w:ascii="Arial" w:eastAsia="Times New Roman" w:hAnsi="Arial" w:cs="Arial"/>
          <w:color w:val="000000" w:themeColor="text1"/>
          <w:sz w:val="20"/>
          <w:szCs w:val="20"/>
          <w:lang w:eastAsia="pt-BR"/>
        </w:rPr>
        <w:lastRenderedPageBreak/>
        <w:t>R$ 95 mil a maior a conta de contribuições previdenciárias - INSS, equivalente a 8,2% do total de encargos recolhidos nessa rubrica.</w:t>
      </w:r>
    </w:p>
    <w:p w14:paraId="0E895D8D" w14:textId="34AB6882" w:rsidR="009649FC" w:rsidRDefault="009649FC" w:rsidP="00006B51">
      <w:pPr>
        <w:spacing w:after="40"/>
        <w:rPr>
          <w:rFonts w:ascii="Arial" w:eastAsia="Arial Unicode MS" w:hAnsi="Arial" w:cs="Arial"/>
          <w:sz w:val="20"/>
          <w:szCs w:val="20"/>
        </w:rPr>
      </w:pPr>
    </w:p>
    <w:p w14:paraId="029301C4" w14:textId="7121F868" w:rsidR="00AA0E39" w:rsidRPr="009649FC" w:rsidRDefault="00A619F9"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Conformidade de gestão</w:t>
      </w:r>
    </w:p>
    <w:p w14:paraId="5EC0B675" w14:textId="44223232" w:rsidR="00A619F9" w:rsidRDefault="00A619F9" w:rsidP="00006B51">
      <w:pPr>
        <w:spacing w:after="40"/>
        <w:rPr>
          <w:rFonts w:ascii="Arial" w:eastAsia="Arial Unicode MS" w:hAnsi="Arial" w:cs="Arial"/>
          <w:sz w:val="20"/>
          <w:szCs w:val="20"/>
        </w:rPr>
      </w:pPr>
      <w:r>
        <w:rPr>
          <w:rFonts w:ascii="Arial" w:eastAsia="Arial Unicode MS" w:hAnsi="Arial" w:cs="Arial"/>
          <w:sz w:val="20"/>
          <w:szCs w:val="20"/>
        </w:rPr>
        <w:t xml:space="preserve">Durante todo o exercício, foram </w:t>
      </w:r>
      <w:r w:rsidR="00797FED">
        <w:rPr>
          <w:rFonts w:ascii="Arial" w:eastAsia="Arial Unicode MS" w:hAnsi="Arial" w:cs="Arial"/>
          <w:sz w:val="20"/>
          <w:szCs w:val="20"/>
        </w:rPr>
        <w:t>apontadas</w:t>
      </w:r>
      <w:r>
        <w:rPr>
          <w:rFonts w:ascii="Arial" w:eastAsia="Arial Unicode MS" w:hAnsi="Arial" w:cs="Arial"/>
          <w:sz w:val="20"/>
          <w:szCs w:val="20"/>
        </w:rPr>
        <w:t xml:space="preserve"> ausências </w:t>
      </w:r>
      <w:r w:rsidR="00C0595E">
        <w:rPr>
          <w:rFonts w:ascii="Arial" w:eastAsia="Arial Unicode MS" w:hAnsi="Arial" w:cs="Arial"/>
          <w:sz w:val="20"/>
          <w:szCs w:val="20"/>
        </w:rPr>
        <w:t>ou restrições n</w:t>
      </w:r>
      <w:r>
        <w:rPr>
          <w:rFonts w:ascii="Arial" w:eastAsia="Arial Unicode MS" w:hAnsi="Arial" w:cs="Arial"/>
          <w:sz w:val="20"/>
          <w:szCs w:val="20"/>
        </w:rPr>
        <w:t xml:space="preserve">o registro de conformidade de gestão em diversas unidades gestoras, de modo que </w:t>
      </w:r>
      <w:r w:rsidR="00797FED">
        <w:rPr>
          <w:rFonts w:ascii="Arial" w:eastAsia="Arial Unicode MS" w:hAnsi="Arial" w:cs="Arial"/>
          <w:sz w:val="20"/>
          <w:szCs w:val="20"/>
        </w:rPr>
        <w:t>a execução orçamentária, financeira e patrimonial não reflete, na sua totalidade</w:t>
      </w:r>
      <w:r w:rsidR="009649FC">
        <w:rPr>
          <w:rFonts w:ascii="Arial" w:eastAsia="Arial Unicode MS" w:hAnsi="Arial" w:cs="Arial"/>
          <w:sz w:val="20"/>
          <w:szCs w:val="20"/>
        </w:rPr>
        <w:t xml:space="preserve"> e com confiabilidade</w:t>
      </w:r>
      <w:r w:rsidR="00797FED">
        <w:rPr>
          <w:rFonts w:ascii="Arial" w:eastAsia="Arial Unicode MS" w:hAnsi="Arial" w:cs="Arial"/>
          <w:sz w:val="20"/>
          <w:szCs w:val="20"/>
        </w:rPr>
        <w:t>, os atos e fatos de gestão.</w:t>
      </w:r>
    </w:p>
    <w:p w14:paraId="7E33326E" w14:textId="0C1ED4BB" w:rsidR="009602C6" w:rsidRPr="009649FC" w:rsidRDefault="009602C6" w:rsidP="009649FC">
      <w:pPr>
        <w:pStyle w:val="PargrafodaLista"/>
        <w:numPr>
          <w:ilvl w:val="0"/>
          <w:numId w:val="3"/>
        </w:numPr>
        <w:spacing w:after="40"/>
        <w:rPr>
          <w:rFonts w:ascii="Arial" w:eastAsia="Arial Unicode MS" w:hAnsi="Arial" w:cs="Arial"/>
          <w:sz w:val="20"/>
          <w:szCs w:val="20"/>
        </w:rPr>
      </w:pPr>
      <w:r w:rsidRPr="009649FC">
        <w:rPr>
          <w:rFonts w:ascii="Arial" w:eastAsia="Arial Unicode MS" w:hAnsi="Arial" w:cs="Arial"/>
          <w:sz w:val="20"/>
          <w:szCs w:val="20"/>
        </w:rPr>
        <w:t>Atos potenciais</w:t>
      </w:r>
    </w:p>
    <w:p w14:paraId="740F2863" w14:textId="1057EE86" w:rsidR="009602C6" w:rsidRDefault="009602C6" w:rsidP="00006B51">
      <w:pPr>
        <w:spacing w:after="40"/>
        <w:rPr>
          <w:rFonts w:ascii="Arial" w:eastAsia="Arial Unicode MS" w:hAnsi="Arial" w:cs="Arial"/>
          <w:sz w:val="20"/>
          <w:szCs w:val="20"/>
        </w:rPr>
      </w:pPr>
      <w:r>
        <w:rPr>
          <w:rFonts w:ascii="Arial" w:eastAsia="Arial Unicode MS" w:hAnsi="Arial" w:cs="Arial"/>
          <w:sz w:val="20"/>
          <w:szCs w:val="20"/>
        </w:rPr>
        <w:t xml:space="preserve">Até a data de encerramento do </w:t>
      </w:r>
      <w:r w:rsidR="00C0595E">
        <w:rPr>
          <w:rFonts w:ascii="Arial" w:eastAsia="Arial Unicode MS" w:hAnsi="Arial" w:cs="Arial"/>
          <w:sz w:val="20"/>
          <w:szCs w:val="20"/>
        </w:rPr>
        <w:t>terceiro</w:t>
      </w:r>
      <w:r w:rsidR="00E31DF9">
        <w:rPr>
          <w:rFonts w:ascii="Arial" w:eastAsia="Arial Unicode MS" w:hAnsi="Arial" w:cs="Arial"/>
          <w:sz w:val="20"/>
          <w:szCs w:val="20"/>
        </w:rPr>
        <w:t xml:space="preserve"> trimestre</w:t>
      </w:r>
      <w:r w:rsidR="007B34DC">
        <w:rPr>
          <w:rFonts w:ascii="Arial" w:eastAsia="Arial Unicode MS" w:hAnsi="Arial" w:cs="Arial"/>
          <w:sz w:val="20"/>
          <w:szCs w:val="20"/>
        </w:rPr>
        <w:t>,</w:t>
      </w:r>
      <w:r>
        <w:rPr>
          <w:rFonts w:ascii="Arial" w:eastAsia="Arial Unicode MS" w:hAnsi="Arial" w:cs="Arial"/>
          <w:sz w:val="20"/>
          <w:szCs w:val="20"/>
        </w:rPr>
        <w:t xml:space="preserve"> os saldos de contratos celebrados</w:t>
      </w:r>
      <w:r w:rsidR="007B34DC">
        <w:rPr>
          <w:rFonts w:ascii="Arial" w:eastAsia="Arial Unicode MS" w:hAnsi="Arial" w:cs="Arial"/>
          <w:sz w:val="20"/>
          <w:szCs w:val="20"/>
        </w:rPr>
        <w:t xml:space="preserve"> não foram conciliados com documento de controle</w:t>
      </w:r>
      <w:r w:rsidR="00924B29">
        <w:rPr>
          <w:rFonts w:ascii="Arial" w:eastAsia="Arial Unicode MS" w:hAnsi="Arial" w:cs="Arial"/>
          <w:sz w:val="20"/>
          <w:szCs w:val="20"/>
        </w:rPr>
        <w:t xml:space="preserve"> do sistema gerencial</w:t>
      </w:r>
      <w:r w:rsidR="007B34DC">
        <w:rPr>
          <w:rFonts w:ascii="Arial" w:eastAsia="Arial Unicode MS" w:hAnsi="Arial" w:cs="Arial"/>
          <w:sz w:val="20"/>
          <w:szCs w:val="20"/>
        </w:rPr>
        <w:t xml:space="preserve"> que viabilize, de forma </w:t>
      </w:r>
      <w:r w:rsidR="009649FC">
        <w:rPr>
          <w:rFonts w:ascii="Arial" w:eastAsia="Arial Unicode MS" w:hAnsi="Arial" w:cs="Arial"/>
          <w:sz w:val="20"/>
          <w:szCs w:val="20"/>
        </w:rPr>
        <w:t>confiável</w:t>
      </w:r>
      <w:r w:rsidR="007B34DC">
        <w:rPr>
          <w:rFonts w:ascii="Arial" w:eastAsia="Arial Unicode MS" w:hAnsi="Arial" w:cs="Arial"/>
          <w:sz w:val="20"/>
          <w:szCs w:val="20"/>
        </w:rPr>
        <w:t>, a conformidade contábil das contas do grupo de controle devedores/credores</w:t>
      </w:r>
      <w:r w:rsidR="00924B29">
        <w:rPr>
          <w:rFonts w:ascii="Arial" w:eastAsia="Arial Unicode MS" w:hAnsi="Arial" w:cs="Arial"/>
          <w:sz w:val="20"/>
          <w:szCs w:val="20"/>
        </w:rPr>
        <w:t>. De tal forma</w:t>
      </w:r>
      <w:r w:rsidR="007B34DC">
        <w:rPr>
          <w:rFonts w:ascii="Arial" w:eastAsia="Arial Unicode MS" w:hAnsi="Arial" w:cs="Arial"/>
          <w:sz w:val="20"/>
          <w:szCs w:val="20"/>
        </w:rPr>
        <w:t>, os saldos desse grupo não refletem com fidedignidade os atos potenciais</w:t>
      </w:r>
      <w:r w:rsidR="00924B29">
        <w:rPr>
          <w:rFonts w:ascii="Arial" w:eastAsia="Arial Unicode MS" w:hAnsi="Arial" w:cs="Arial"/>
          <w:sz w:val="20"/>
          <w:szCs w:val="20"/>
        </w:rPr>
        <w:t xml:space="preserve"> dos direitos contratuais</w:t>
      </w:r>
      <w:r w:rsidR="00AA0E39">
        <w:rPr>
          <w:rFonts w:ascii="Arial" w:eastAsia="Arial Unicode MS" w:hAnsi="Arial" w:cs="Arial"/>
          <w:sz w:val="20"/>
          <w:szCs w:val="20"/>
        </w:rPr>
        <w:t xml:space="preserve"> em execução</w:t>
      </w:r>
      <w:r w:rsidR="007B34DC">
        <w:rPr>
          <w:rFonts w:ascii="Arial" w:eastAsia="Arial Unicode MS" w:hAnsi="Arial" w:cs="Arial"/>
          <w:sz w:val="20"/>
          <w:szCs w:val="20"/>
        </w:rPr>
        <w:t>.</w:t>
      </w:r>
    </w:p>
    <w:p w14:paraId="7FD2B180" w14:textId="772C9ED2" w:rsidR="00433D43" w:rsidRDefault="00433D43" w:rsidP="00006B51">
      <w:pPr>
        <w:spacing w:after="40"/>
        <w:rPr>
          <w:rFonts w:ascii="Arial" w:eastAsia="Arial Unicode MS" w:hAnsi="Arial" w:cs="Arial"/>
          <w:sz w:val="20"/>
          <w:szCs w:val="20"/>
        </w:rPr>
      </w:pPr>
      <w:r>
        <w:rPr>
          <w:rFonts w:ascii="Arial" w:eastAsia="Arial Unicode MS" w:hAnsi="Arial" w:cs="Arial"/>
          <w:sz w:val="20"/>
          <w:szCs w:val="20"/>
        </w:rPr>
        <w:t xml:space="preserve">Em </w:t>
      </w:r>
      <w:r w:rsidR="00822AE3">
        <w:rPr>
          <w:rFonts w:ascii="Arial" w:eastAsia="Arial Unicode MS" w:hAnsi="Arial" w:cs="Arial"/>
          <w:sz w:val="20"/>
          <w:szCs w:val="20"/>
        </w:rPr>
        <w:t>30/0</w:t>
      </w:r>
      <w:r w:rsidR="00C0595E">
        <w:rPr>
          <w:rFonts w:ascii="Arial" w:eastAsia="Arial Unicode MS" w:hAnsi="Arial" w:cs="Arial"/>
          <w:sz w:val="20"/>
          <w:szCs w:val="20"/>
        </w:rPr>
        <w:t>9</w:t>
      </w:r>
      <w:r w:rsidR="00822AE3">
        <w:rPr>
          <w:rFonts w:ascii="Arial" w:eastAsia="Arial Unicode MS" w:hAnsi="Arial" w:cs="Arial"/>
          <w:sz w:val="20"/>
          <w:szCs w:val="20"/>
        </w:rPr>
        <w:t>/2020</w:t>
      </w:r>
      <w:r w:rsidR="00951B2C">
        <w:rPr>
          <w:rFonts w:ascii="Arial" w:eastAsia="Arial Unicode MS" w:hAnsi="Arial" w:cs="Arial"/>
          <w:sz w:val="20"/>
          <w:szCs w:val="20"/>
        </w:rPr>
        <w:t>0</w:t>
      </w:r>
      <w:r>
        <w:rPr>
          <w:rFonts w:ascii="Arial" w:eastAsia="Arial Unicode MS" w:hAnsi="Arial" w:cs="Arial"/>
          <w:sz w:val="20"/>
          <w:szCs w:val="20"/>
        </w:rPr>
        <w:t xml:space="preserve">, </w:t>
      </w:r>
      <w:proofErr w:type="gramStart"/>
      <w:r>
        <w:rPr>
          <w:rFonts w:ascii="Arial" w:eastAsia="Arial Unicode MS" w:hAnsi="Arial" w:cs="Arial"/>
          <w:sz w:val="20"/>
          <w:szCs w:val="20"/>
        </w:rPr>
        <w:t>a execução de obrigações contratuais escrituradas em contas de controle somam</w:t>
      </w:r>
      <w:proofErr w:type="gramEnd"/>
      <w:r>
        <w:rPr>
          <w:rFonts w:ascii="Arial" w:eastAsia="Arial Unicode MS" w:hAnsi="Arial" w:cs="Arial"/>
          <w:sz w:val="20"/>
          <w:szCs w:val="20"/>
        </w:rPr>
        <w:t xml:space="preserve"> R$ </w:t>
      </w:r>
      <w:r w:rsidR="00C0595E">
        <w:rPr>
          <w:rFonts w:ascii="Arial" w:eastAsia="Arial Unicode MS" w:hAnsi="Arial" w:cs="Arial"/>
          <w:sz w:val="20"/>
          <w:szCs w:val="20"/>
        </w:rPr>
        <w:t>47.153.363,19</w:t>
      </w:r>
      <w:r>
        <w:rPr>
          <w:rFonts w:ascii="Arial" w:eastAsia="Arial Unicode MS" w:hAnsi="Arial" w:cs="Arial"/>
          <w:sz w:val="20"/>
          <w:szCs w:val="20"/>
        </w:rPr>
        <w:t>.</w:t>
      </w:r>
    </w:p>
    <w:p w14:paraId="580C41CA" w14:textId="6944C7D5" w:rsidR="0092356D" w:rsidRDefault="0092356D" w:rsidP="00006B51">
      <w:pPr>
        <w:spacing w:after="40"/>
        <w:rPr>
          <w:rFonts w:ascii="Arial" w:eastAsia="Arial Unicode MS" w:hAnsi="Arial" w:cs="Arial"/>
          <w:sz w:val="20"/>
          <w:szCs w:val="20"/>
        </w:rPr>
      </w:pPr>
    </w:p>
    <w:p w14:paraId="64635C85" w14:textId="77777777" w:rsidR="00006B51" w:rsidRPr="00533035" w:rsidRDefault="00006B51" w:rsidP="004F53A5">
      <w:pPr>
        <w:spacing w:after="40"/>
        <w:rPr>
          <w:rFonts w:ascii="Arial" w:eastAsia="Arial Unicode MS" w:hAnsi="Arial" w:cs="Arial"/>
          <w:sz w:val="20"/>
          <w:szCs w:val="20"/>
        </w:rPr>
      </w:pPr>
      <w:r w:rsidRPr="00533035">
        <w:rPr>
          <w:rFonts w:ascii="Arial" w:eastAsia="Arial Unicode MS" w:hAnsi="Arial" w:cs="Arial"/>
          <w:sz w:val="20"/>
          <w:szCs w:val="20"/>
        </w:rPr>
        <w:t xml:space="preserve">As DCON foram elaboradas a partir das informações constantes no Sistema Integrado de </w:t>
      </w:r>
      <w:r w:rsidR="00137CCD" w:rsidRPr="00533035">
        <w:rPr>
          <w:rFonts w:ascii="Arial" w:eastAsia="Arial Unicode MS" w:hAnsi="Arial" w:cs="Arial"/>
          <w:sz w:val="20"/>
          <w:szCs w:val="20"/>
        </w:rPr>
        <w:t>A</w:t>
      </w:r>
      <w:r w:rsidRPr="00533035">
        <w:rPr>
          <w:rFonts w:ascii="Arial" w:eastAsia="Arial Unicode MS" w:hAnsi="Arial" w:cs="Arial"/>
          <w:sz w:val="20"/>
          <w:szCs w:val="20"/>
        </w:rPr>
        <w:t xml:space="preserve">dministração Financeira do Governo Federal (SIAFI), e tiveram como escopo as informações consolidadas das contas contábeis das unidades do órgão 26419 – Instituto Federal de Educação, Ciência e Tecnologia do Rio Grande do Sul </w:t>
      </w:r>
      <w:r w:rsidR="00137CCD" w:rsidRPr="00533035">
        <w:rPr>
          <w:rFonts w:ascii="Arial" w:eastAsia="Arial Unicode MS" w:hAnsi="Arial" w:cs="Arial"/>
          <w:sz w:val="20"/>
          <w:szCs w:val="20"/>
        </w:rPr>
        <w:t xml:space="preserve">autarquia da </w:t>
      </w:r>
      <w:r w:rsidRPr="00533035">
        <w:rPr>
          <w:rFonts w:ascii="Arial" w:eastAsia="Arial Unicode MS" w:hAnsi="Arial" w:cs="Arial"/>
          <w:sz w:val="20"/>
          <w:szCs w:val="20"/>
        </w:rPr>
        <w:t>administraç</w:t>
      </w:r>
      <w:r w:rsidR="00137CCD" w:rsidRPr="00533035">
        <w:rPr>
          <w:rFonts w:ascii="Arial" w:eastAsia="Arial Unicode MS" w:hAnsi="Arial" w:cs="Arial"/>
          <w:sz w:val="20"/>
          <w:szCs w:val="20"/>
        </w:rPr>
        <w:t>ão direta que é integrante do Orçamento Fiscal e da Seguridade Social (OFSS).</w:t>
      </w:r>
    </w:p>
    <w:p w14:paraId="52E14D55" w14:textId="77777777" w:rsidR="00137CCD" w:rsidRPr="00533035" w:rsidRDefault="00137CCD" w:rsidP="00137CCD">
      <w:pPr>
        <w:spacing w:after="40"/>
        <w:rPr>
          <w:rFonts w:ascii="Arial" w:eastAsia="Arial Unicode MS" w:hAnsi="Arial" w:cs="Arial"/>
          <w:sz w:val="20"/>
          <w:szCs w:val="20"/>
        </w:rPr>
      </w:pPr>
      <w:r w:rsidRPr="00533035">
        <w:rPr>
          <w:rFonts w:ascii="Arial" w:eastAsia="Arial Unicode MS" w:hAnsi="Arial" w:cs="Arial"/>
          <w:sz w:val="20"/>
          <w:szCs w:val="20"/>
        </w:rPr>
        <w:t>As estruturas e a composição das Demonstrações Contábeis estão de acordo com o padrão da contabilidade aplicada ao setor público brasileira e são compostas por:</w:t>
      </w:r>
    </w:p>
    <w:p w14:paraId="286088C0"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Balanço Patrimonial (BP);</w:t>
      </w:r>
    </w:p>
    <w:p w14:paraId="1A6B038C"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Demonstração das Variações Patrimoniais (DVP);</w:t>
      </w:r>
    </w:p>
    <w:p w14:paraId="1673C484"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Balanço Orçamentário (BO);</w:t>
      </w:r>
    </w:p>
    <w:p w14:paraId="7246A755"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Balanço Financeiro (BF);</w:t>
      </w:r>
    </w:p>
    <w:p w14:paraId="1B8E6E9A"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Demonstração dos Fluxos de Caixa (DFC);</w:t>
      </w:r>
    </w:p>
    <w:p w14:paraId="4235D433"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Demonstração das Mutações do Patrimônio Líquido (DMPL) e;</w:t>
      </w:r>
    </w:p>
    <w:p w14:paraId="261A8298" w14:textId="77777777" w:rsidR="00137CCD" w:rsidRPr="00533035" w:rsidRDefault="00137CCD" w:rsidP="00137CCD">
      <w:pPr>
        <w:pStyle w:val="PargrafodaLista"/>
        <w:numPr>
          <w:ilvl w:val="0"/>
          <w:numId w:val="2"/>
        </w:numPr>
        <w:spacing w:after="40"/>
        <w:rPr>
          <w:rFonts w:ascii="Arial" w:eastAsia="Arial Unicode MS" w:hAnsi="Arial" w:cs="Arial"/>
          <w:b/>
          <w:sz w:val="20"/>
          <w:szCs w:val="20"/>
        </w:rPr>
      </w:pPr>
      <w:r w:rsidRPr="00533035">
        <w:rPr>
          <w:rFonts w:ascii="Arial" w:eastAsia="Arial Unicode MS" w:hAnsi="Arial" w:cs="Arial"/>
          <w:b/>
          <w:sz w:val="20"/>
          <w:szCs w:val="20"/>
        </w:rPr>
        <w:t>Notas Explicativas.</w:t>
      </w:r>
    </w:p>
    <w:p w14:paraId="6210C16E" w14:textId="7EDDB0D0" w:rsidR="00137CCD" w:rsidRDefault="00137CCD" w:rsidP="004F53A5">
      <w:pPr>
        <w:spacing w:after="40"/>
        <w:rPr>
          <w:rFonts w:ascii="Arial" w:eastAsia="Arial Unicode MS" w:hAnsi="Arial" w:cs="Arial"/>
          <w:sz w:val="20"/>
          <w:szCs w:val="20"/>
        </w:rPr>
      </w:pPr>
    </w:p>
    <w:p w14:paraId="19D510FB" w14:textId="1DF91E1D" w:rsidR="009D4D1D" w:rsidRDefault="009D4D1D" w:rsidP="004F53A5">
      <w:pPr>
        <w:spacing w:after="40"/>
        <w:rPr>
          <w:rFonts w:ascii="Arial" w:eastAsia="Arial Unicode MS" w:hAnsi="Arial" w:cs="Arial"/>
          <w:sz w:val="20"/>
          <w:szCs w:val="20"/>
        </w:rPr>
      </w:pPr>
    </w:p>
    <w:p w14:paraId="37D98C5A" w14:textId="77777777" w:rsidR="007D6891" w:rsidRPr="00533035" w:rsidRDefault="007D6891" w:rsidP="00E40488">
      <w:pPr>
        <w:spacing w:after="240"/>
        <w:rPr>
          <w:rFonts w:ascii="Arial" w:eastAsia="Arial Unicode MS" w:hAnsi="Arial" w:cs="Arial"/>
          <w:b/>
          <w:color w:val="009999"/>
          <w:sz w:val="36"/>
          <w:szCs w:val="36"/>
        </w:rPr>
      </w:pPr>
      <w:r w:rsidRPr="00533035">
        <w:rPr>
          <w:rFonts w:ascii="Arial" w:eastAsia="Arial Unicode MS" w:hAnsi="Arial" w:cs="Arial"/>
          <w:b/>
          <w:color w:val="009999"/>
          <w:sz w:val="36"/>
          <w:szCs w:val="36"/>
        </w:rPr>
        <w:t>Resumo dos Principais Critérios e Políticas Contábeis</w:t>
      </w:r>
    </w:p>
    <w:p w14:paraId="2FEA280C"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A seguir, são apresentados os principais critérios e políticas contábeis adotados no âmbito deste Instituto Federal de Educação, Ciência e Tecnologia, tendo em consideração as opções e premissas do modelo de contabilidade aplicada ao setor público.</w:t>
      </w:r>
    </w:p>
    <w:p w14:paraId="450F158C"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Moeda funcional</w:t>
      </w:r>
    </w:p>
    <w:p w14:paraId="6EBA76BF"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A moeda funcional é o Real.</w:t>
      </w:r>
    </w:p>
    <w:p w14:paraId="026A63E5"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Caixa e equivalentes de caixa</w:t>
      </w:r>
    </w:p>
    <w:p w14:paraId="4686E7E3"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Incluem dinheiro em caixa, conta única, demais depósitos bancários e aplicações de liquidez imediata. Os valores são mensurados e avaliados pelo valor de custo e, quando aplicável, são acrescidos dos rendimentos auferidos até a data das demonstrações contábeis.</w:t>
      </w:r>
    </w:p>
    <w:p w14:paraId="407AC2F0"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A conta única, derivada do princípio de unidade de tesouraria (conforme art. 1º e 2º do Decreto nº 93.872/1986), é mantida no BACEN e acolhe todas as disponibilidades financeiras da União, inclusive dos fundos, das fundações, das autarquias e das empresas estatais dependentes. Ela é subdividida em Conta Única recursos Tesouro Nacional, Conta Única recursos Previdenciários e Conta Única recursos Dívida Pública.</w:t>
      </w:r>
    </w:p>
    <w:p w14:paraId="40954901"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Créditos a curto prazo</w:t>
      </w:r>
    </w:p>
    <w:p w14:paraId="3A1E80B5" w14:textId="4FFA60EE" w:rsidR="00FF2AB6"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Compreendem os direitos a receber a curto prazo relacionados, principalmente, com: (i) créditos tributários; (</w:t>
      </w:r>
      <w:proofErr w:type="spellStart"/>
      <w:r w:rsidRPr="00533035">
        <w:rPr>
          <w:rFonts w:ascii="Arial" w:eastAsia="Arial Unicode MS" w:hAnsi="Arial" w:cs="Arial"/>
          <w:sz w:val="20"/>
          <w:szCs w:val="20"/>
        </w:rPr>
        <w:t>ii</w:t>
      </w:r>
      <w:proofErr w:type="spellEnd"/>
      <w:r w:rsidRPr="00533035">
        <w:rPr>
          <w:rFonts w:ascii="Arial" w:eastAsia="Arial Unicode MS" w:hAnsi="Arial" w:cs="Arial"/>
          <w:sz w:val="20"/>
          <w:szCs w:val="20"/>
        </w:rPr>
        <w:t>) créditos não tributários; (</w:t>
      </w:r>
      <w:proofErr w:type="spellStart"/>
      <w:r w:rsidRPr="00533035">
        <w:rPr>
          <w:rFonts w:ascii="Arial" w:eastAsia="Arial Unicode MS" w:hAnsi="Arial" w:cs="Arial"/>
          <w:sz w:val="20"/>
          <w:szCs w:val="20"/>
        </w:rPr>
        <w:t>iii</w:t>
      </w:r>
      <w:proofErr w:type="spellEnd"/>
      <w:r w:rsidRPr="00533035">
        <w:rPr>
          <w:rFonts w:ascii="Arial" w:eastAsia="Arial Unicode MS" w:hAnsi="Arial" w:cs="Arial"/>
          <w:sz w:val="20"/>
          <w:szCs w:val="20"/>
        </w:rPr>
        <w:t>) dívida ativa; (</w:t>
      </w:r>
      <w:proofErr w:type="spellStart"/>
      <w:r w:rsidRPr="00533035">
        <w:rPr>
          <w:rFonts w:ascii="Arial" w:eastAsia="Arial Unicode MS" w:hAnsi="Arial" w:cs="Arial"/>
          <w:sz w:val="20"/>
          <w:szCs w:val="20"/>
        </w:rPr>
        <w:t>iv</w:t>
      </w:r>
      <w:proofErr w:type="spellEnd"/>
      <w:r w:rsidRPr="00533035">
        <w:rPr>
          <w:rFonts w:ascii="Arial" w:eastAsia="Arial Unicode MS" w:hAnsi="Arial" w:cs="Arial"/>
          <w:sz w:val="20"/>
          <w:szCs w:val="20"/>
        </w:rPr>
        <w:t>) transferências concedidas; (v) empréstimos e financiamentos concedidos; (vi) adiantamentos e; (vi) valores a compensar. Os valores são mensurados e avaliados pelo valor original, acrescido das atualizações monetárias e juros, quando aplicável.</w:t>
      </w:r>
    </w:p>
    <w:p w14:paraId="536572AF" w14:textId="75ED96D0" w:rsidR="008077D5" w:rsidRDefault="008077D5" w:rsidP="00FF2AB6">
      <w:pPr>
        <w:spacing w:after="40"/>
        <w:rPr>
          <w:rFonts w:ascii="Arial" w:eastAsia="Arial Unicode MS" w:hAnsi="Arial" w:cs="Arial"/>
          <w:sz w:val="20"/>
          <w:szCs w:val="20"/>
        </w:rPr>
      </w:pPr>
    </w:p>
    <w:p w14:paraId="36BF9157" w14:textId="6E37801C" w:rsidR="008077D5" w:rsidRDefault="008077D5" w:rsidP="00FF2AB6">
      <w:pPr>
        <w:spacing w:after="40"/>
        <w:rPr>
          <w:rFonts w:ascii="Arial" w:eastAsia="Arial Unicode MS" w:hAnsi="Arial" w:cs="Arial"/>
          <w:sz w:val="20"/>
          <w:szCs w:val="20"/>
        </w:rPr>
      </w:pPr>
    </w:p>
    <w:p w14:paraId="623A9347" w14:textId="77777777" w:rsidR="008077D5" w:rsidRPr="00533035" w:rsidRDefault="008077D5" w:rsidP="00FF2AB6">
      <w:pPr>
        <w:spacing w:after="40"/>
        <w:rPr>
          <w:rFonts w:ascii="Arial" w:eastAsia="Arial Unicode MS" w:hAnsi="Arial" w:cs="Arial"/>
          <w:sz w:val="20"/>
          <w:szCs w:val="20"/>
        </w:rPr>
      </w:pPr>
    </w:p>
    <w:p w14:paraId="3F3C7553"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lastRenderedPageBreak/>
        <w:t>Estoques</w:t>
      </w:r>
    </w:p>
    <w:p w14:paraId="0D6DB544"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Compreendem os produtos em almoxarifado e adiantamento a fornecedores. Nas entradas, os estoques são avaliados e mensurados pelo valor de aquisição ou produção/construção e, nas saídas, pelo custo médio ponderado.</w:t>
      </w:r>
    </w:p>
    <w:p w14:paraId="44CFA973"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Ativo realizável a longo prazo</w:t>
      </w:r>
    </w:p>
    <w:p w14:paraId="6DA48002"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Compreendem os direitos a receber a longo prazo principalmente com: (i) créditos tributários; (</w:t>
      </w:r>
      <w:proofErr w:type="spellStart"/>
      <w:r w:rsidRPr="00533035">
        <w:rPr>
          <w:rFonts w:ascii="Arial" w:eastAsia="Arial Unicode MS" w:hAnsi="Arial" w:cs="Arial"/>
          <w:sz w:val="20"/>
          <w:szCs w:val="20"/>
        </w:rPr>
        <w:t>ii</w:t>
      </w:r>
      <w:proofErr w:type="spellEnd"/>
      <w:r w:rsidRPr="00533035">
        <w:rPr>
          <w:rFonts w:ascii="Arial" w:eastAsia="Arial Unicode MS" w:hAnsi="Arial" w:cs="Arial"/>
          <w:sz w:val="20"/>
          <w:szCs w:val="20"/>
        </w:rPr>
        <w:t>) créditos não tributários; (</w:t>
      </w:r>
      <w:proofErr w:type="spellStart"/>
      <w:r w:rsidRPr="00533035">
        <w:rPr>
          <w:rFonts w:ascii="Arial" w:eastAsia="Arial Unicode MS" w:hAnsi="Arial" w:cs="Arial"/>
          <w:sz w:val="20"/>
          <w:szCs w:val="20"/>
        </w:rPr>
        <w:t>iii</w:t>
      </w:r>
      <w:proofErr w:type="spellEnd"/>
      <w:r w:rsidRPr="00533035">
        <w:rPr>
          <w:rFonts w:ascii="Arial" w:eastAsia="Arial Unicode MS" w:hAnsi="Arial" w:cs="Arial"/>
          <w:sz w:val="20"/>
          <w:szCs w:val="20"/>
        </w:rPr>
        <w:t>) dívida ativa; (</w:t>
      </w:r>
      <w:proofErr w:type="spellStart"/>
      <w:r w:rsidRPr="00533035">
        <w:rPr>
          <w:rFonts w:ascii="Arial" w:eastAsia="Arial Unicode MS" w:hAnsi="Arial" w:cs="Arial"/>
          <w:sz w:val="20"/>
          <w:szCs w:val="20"/>
        </w:rPr>
        <w:t>iv</w:t>
      </w:r>
      <w:proofErr w:type="spellEnd"/>
      <w:r w:rsidRPr="00533035">
        <w:rPr>
          <w:rFonts w:ascii="Arial" w:eastAsia="Arial Unicode MS" w:hAnsi="Arial" w:cs="Arial"/>
          <w:sz w:val="20"/>
          <w:szCs w:val="20"/>
        </w:rPr>
        <w:t>) empréstimos e financiamentos concedidos; (v) investimentos temporários e; (vi) estoques. Os valores são avaliados e mensurados pelo valor original e, quando aplicável, são acrescidos das atualizações e correções monetárias, de acordo com as taxas especificadas nas respectivas operações.</w:t>
      </w:r>
    </w:p>
    <w:p w14:paraId="5ACFC7C2"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Imobilizado</w:t>
      </w:r>
    </w:p>
    <w:p w14:paraId="702F4134"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O imobilizado é composto pelos bens móveis e imóveis. É reconhecido inicialmente com base no valor de aquisição, construção ou produção. Após o reconhecimento inicial, ficam sujeitos à depreciação, amortização ou exaustão (quando tiverem vida útil definida), bem como à redução ao valor recuperável e à reavaliação.</w:t>
      </w:r>
    </w:p>
    <w:p w14:paraId="5FE55F06"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 xml:space="preserve">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7D7B622F"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Intangível</w:t>
      </w:r>
    </w:p>
    <w:p w14:paraId="0172B2B1"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Os direitos que tenham por objeto bens incorpóreos, no IFRS, são os softwares, destinados à manutenção da atividade pública ou exercidos com essa finalidade, são mensurados ou avaliados com base no valor de aquisição ou de produção, deduzido o saldo da respectiva conta de amortização acumulada (quando tiverem vida útil definida).</w:t>
      </w:r>
    </w:p>
    <w:p w14:paraId="283DEF78"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Depreciação, amortização ou exaustão de bens móveis</w:t>
      </w:r>
    </w:p>
    <w:p w14:paraId="6B1886CA"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A base de cálculo para a depreciação, a amortização e a exaustão é o custo do ativo imobilizado, compreendendo tanto os custos diretos como os indiretos. O método de cálculo dos encargos de depreciação é o das quotas constantes.</w:t>
      </w:r>
    </w:p>
    <w:p w14:paraId="26F7E191" w14:textId="3904904E"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Como regra geral, a depreciação</w:t>
      </w:r>
      <w:r w:rsidR="00B907C7">
        <w:rPr>
          <w:rFonts w:ascii="Arial" w:eastAsia="Arial Unicode MS" w:hAnsi="Arial" w:cs="Arial"/>
          <w:sz w:val="20"/>
          <w:szCs w:val="20"/>
        </w:rPr>
        <w:t xml:space="preserve"> de</w:t>
      </w:r>
      <w:r w:rsidRPr="00533035">
        <w:rPr>
          <w:rFonts w:ascii="Arial" w:eastAsia="Arial Unicode MS" w:hAnsi="Arial" w:cs="Arial"/>
          <w:sz w:val="20"/>
          <w:szCs w:val="20"/>
        </w:rPr>
        <w:t xml:space="preserve"> bens móveis deve ser iniciada a partir do primeiro dia do mês seguinte à data da colocação do bem em utilização. Porém, quando o valor do bem adquirido e o valor da depreciação no primeiro mês sejam relevantes, admite-se, em caráter de exceção, o cômputo da depreciação em fração menor do que um mês.</w:t>
      </w:r>
    </w:p>
    <w:p w14:paraId="0E954262"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As informações da depreciação dos bens móveis do IFRS são apuradas pelo Sistema Integrado de Gestão (SIG), que utiliza como regra de cálculo os seguintes parâmetros:</w:t>
      </w:r>
    </w:p>
    <w:p w14:paraId="0F2060C1" w14:textId="77777777" w:rsidR="00FF2AB6" w:rsidRPr="00533035" w:rsidRDefault="00FF2AB6" w:rsidP="00D84268">
      <w:pPr>
        <w:pStyle w:val="PargrafodaLista"/>
        <w:numPr>
          <w:ilvl w:val="0"/>
          <w:numId w:val="5"/>
        </w:numPr>
        <w:spacing w:after="40"/>
        <w:rPr>
          <w:rFonts w:ascii="Arial" w:eastAsia="Arial Unicode MS" w:hAnsi="Arial" w:cs="Arial"/>
          <w:sz w:val="20"/>
          <w:szCs w:val="20"/>
        </w:rPr>
      </w:pPr>
      <w:r w:rsidRPr="00533035">
        <w:rPr>
          <w:rFonts w:ascii="Arial" w:eastAsia="Arial Unicode MS" w:hAnsi="Arial" w:cs="Arial"/>
          <w:sz w:val="20"/>
          <w:szCs w:val="20"/>
        </w:rPr>
        <w:t>Método das cotas constantes;</w:t>
      </w:r>
    </w:p>
    <w:p w14:paraId="682C7399" w14:textId="77777777" w:rsidR="00FF2AB6" w:rsidRPr="00533035" w:rsidRDefault="00FF2AB6" w:rsidP="00D84268">
      <w:pPr>
        <w:pStyle w:val="PargrafodaLista"/>
        <w:numPr>
          <w:ilvl w:val="0"/>
          <w:numId w:val="5"/>
        </w:numPr>
        <w:spacing w:after="40"/>
        <w:rPr>
          <w:rFonts w:ascii="Arial" w:eastAsia="Arial Unicode MS" w:hAnsi="Arial" w:cs="Arial"/>
          <w:sz w:val="20"/>
          <w:szCs w:val="20"/>
        </w:rPr>
      </w:pPr>
      <w:r w:rsidRPr="00533035">
        <w:rPr>
          <w:rFonts w:ascii="Arial" w:eastAsia="Arial Unicode MS" w:hAnsi="Arial" w:cs="Arial"/>
          <w:sz w:val="20"/>
          <w:szCs w:val="20"/>
        </w:rPr>
        <w:t>Utilização da tabela definida pela Coordenação-Geral de Contabilidade – CCONT/SUCON/STN/MF, constante no Manual SIAFI, assunto 020330 Depreciação, Amortização e Exaustão na Administração Direta da União, Autarquias e Fundações.</w:t>
      </w:r>
    </w:p>
    <w:p w14:paraId="0C5BAA39" w14:textId="77777777" w:rsidR="00FF2AB6" w:rsidRPr="00533035" w:rsidRDefault="00FF2AB6" w:rsidP="00FF2AB6">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Depreciação de bens imóveis</w:t>
      </w:r>
    </w:p>
    <w:p w14:paraId="339E06ED"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 xml:space="preserve">As informações da depreciação dos bens imóveis são apuradas pelo Sistema de Gerenciamento do Patrimônio Imobiliário da União – </w:t>
      </w:r>
      <w:proofErr w:type="spellStart"/>
      <w:r w:rsidRPr="00533035">
        <w:rPr>
          <w:rFonts w:ascii="Arial" w:eastAsia="Arial Unicode MS" w:hAnsi="Arial" w:cs="Arial"/>
          <w:sz w:val="20"/>
          <w:szCs w:val="20"/>
        </w:rPr>
        <w:t>SPIUnet</w:t>
      </w:r>
      <w:proofErr w:type="spellEnd"/>
      <w:r w:rsidRPr="00533035">
        <w:rPr>
          <w:rFonts w:ascii="Arial" w:eastAsia="Arial Unicode MS" w:hAnsi="Arial" w:cs="Arial"/>
          <w:sz w:val="20"/>
          <w:szCs w:val="20"/>
        </w:rPr>
        <w:t>, que é gerido pela Secretaria de Patrimônio da União – SPU, nos termos da Portaria Conjunta MF/MPOG nº 703, de 10 de dezembro de 2014.</w:t>
      </w:r>
    </w:p>
    <w:p w14:paraId="507C911B"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Para fins contábeis, após mensuração e lançamento nos sistemas corporativos da SPU, os valores dos bens imóveis de uso especial da União, autarquias e fundações públicas federais são:</w:t>
      </w:r>
    </w:p>
    <w:p w14:paraId="55D79EEF"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 xml:space="preserve">I – </w:t>
      </w:r>
      <w:r w:rsidR="00D84268" w:rsidRPr="00533035">
        <w:rPr>
          <w:rFonts w:ascii="Arial" w:eastAsia="Arial Unicode MS" w:hAnsi="Arial" w:cs="Arial"/>
          <w:sz w:val="20"/>
          <w:szCs w:val="20"/>
        </w:rPr>
        <w:t>A</w:t>
      </w:r>
      <w:r w:rsidRPr="00533035">
        <w:rPr>
          <w:rFonts w:ascii="Arial" w:eastAsia="Arial Unicode MS" w:hAnsi="Arial" w:cs="Arial"/>
          <w:sz w:val="20"/>
          <w:szCs w:val="20"/>
        </w:rPr>
        <w:t>tualizados sistematicamente, a cada ano, na data base de 31 de dezembro, independentemente da classificação;</w:t>
      </w:r>
    </w:p>
    <w:p w14:paraId="4BF926C4"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 xml:space="preserve">II – </w:t>
      </w:r>
      <w:r w:rsidR="00D84268" w:rsidRPr="00533035">
        <w:rPr>
          <w:rFonts w:ascii="Arial" w:eastAsia="Arial Unicode MS" w:hAnsi="Arial" w:cs="Arial"/>
          <w:sz w:val="20"/>
          <w:szCs w:val="20"/>
        </w:rPr>
        <w:t>R</w:t>
      </w:r>
      <w:r w:rsidRPr="00533035">
        <w:rPr>
          <w:rFonts w:ascii="Arial" w:eastAsia="Arial Unicode MS" w:hAnsi="Arial" w:cs="Arial"/>
          <w:sz w:val="20"/>
          <w:szCs w:val="20"/>
        </w:rPr>
        <w:t>eavaliados, aqueles nos quais:</w:t>
      </w:r>
    </w:p>
    <w:p w14:paraId="30511548" w14:textId="77777777" w:rsidR="00FF2AB6" w:rsidRPr="00533035" w:rsidRDefault="00D84268" w:rsidP="00D84268">
      <w:pPr>
        <w:pStyle w:val="PargrafodaLista"/>
        <w:numPr>
          <w:ilvl w:val="0"/>
          <w:numId w:val="4"/>
        </w:numPr>
        <w:spacing w:after="40"/>
        <w:rPr>
          <w:rFonts w:ascii="Arial" w:eastAsia="Arial Unicode MS" w:hAnsi="Arial" w:cs="Arial"/>
          <w:sz w:val="20"/>
          <w:szCs w:val="20"/>
        </w:rPr>
      </w:pPr>
      <w:r w:rsidRPr="00533035">
        <w:rPr>
          <w:rFonts w:ascii="Arial" w:eastAsia="Arial Unicode MS" w:hAnsi="Arial" w:cs="Arial"/>
          <w:sz w:val="20"/>
          <w:szCs w:val="20"/>
        </w:rPr>
        <w:t>S</w:t>
      </w:r>
      <w:r w:rsidR="00FF2AB6" w:rsidRPr="00533035">
        <w:rPr>
          <w:rFonts w:ascii="Arial" w:eastAsia="Arial Unicode MS" w:hAnsi="Arial" w:cs="Arial"/>
          <w:sz w:val="20"/>
          <w:szCs w:val="20"/>
        </w:rPr>
        <w:t>eja aplicado, a título de benfeitoria, valor percentual igual ou superior ao estipulado pela SPU;</w:t>
      </w:r>
    </w:p>
    <w:p w14:paraId="31AA2A19" w14:textId="77777777" w:rsidR="00FF2AB6" w:rsidRPr="00533035" w:rsidRDefault="00D84268" w:rsidP="00D84268">
      <w:pPr>
        <w:pStyle w:val="PargrafodaLista"/>
        <w:numPr>
          <w:ilvl w:val="0"/>
          <w:numId w:val="4"/>
        </w:numPr>
        <w:spacing w:after="40"/>
        <w:rPr>
          <w:rFonts w:ascii="Arial" w:eastAsia="Arial Unicode MS" w:hAnsi="Arial" w:cs="Arial"/>
          <w:sz w:val="20"/>
          <w:szCs w:val="20"/>
        </w:rPr>
      </w:pPr>
      <w:r w:rsidRPr="00533035">
        <w:rPr>
          <w:rFonts w:ascii="Arial" w:eastAsia="Arial Unicode MS" w:hAnsi="Arial" w:cs="Arial"/>
          <w:sz w:val="20"/>
          <w:szCs w:val="20"/>
        </w:rPr>
        <w:t>H</w:t>
      </w:r>
      <w:r w:rsidR="00FF2AB6" w:rsidRPr="00533035">
        <w:rPr>
          <w:rFonts w:ascii="Arial" w:eastAsia="Arial Unicode MS" w:hAnsi="Arial" w:cs="Arial"/>
          <w:sz w:val="20"/>
          <w:szCs w:val="20"/>
        </w:rPr>
        <w:t>ouver alteração de área construída, independentemente do valor investido;</w:t>
      </w:r>
    </w:p>
    <w:p w14:paraId="681DCABC" w14:textId="77777777" w:rsidR="00FF2AB6" w:rsidRPr="00533035" w:rsidRDefault="00D84268" w:rsidP="00D84268">
      <w:pPr>
        <w:pStyle w:val="PargrafodaLista"/>
        <w:numPr>
          <w:ilvl w:val="0"/>
          <w:numId w:val="4"/>
        </w:numPr>
        <w:spacing w:after="40"/>
        <w:rPr>
          <w:rFonts w:ascii="Arial" w:eastAsia="Arial Unicode MS" w:hAnsi="Arial" w:cs="Arial"/>
          <w:sz w:val="20"/>
          <w:szCs w:val="20"/>
        </w:rPr>
      </w:pPr>
      <w:r w:rsidRPr="00533035">
        <w:rPr>
          <w:rFonts w:ascii="Arial" w:eastAsia="Arial Unicode MS" w:hAnsi="Arial" w:cs="Arial"/>
          <w:sz w:val="20"/>
          <w:szCs w:val="20"/>
        </w:rPr>
        <w:t>S</w:t>
      </w:r>
      <w:r w:rsidR="00FF2AB6" w:rsidRPr="00533035">
        <w:rPr>
          <w:rFonts w:ascii="Arial" w:eastAsia="Arial Unicode MS" w:hAnsi="Arial" w:cs="Arial"/>
          <w:sz w:val="20"/>
          <w:szCs w:val="20"/>
        </w:rPr>
        <w:t>eja comprovada a ocorrência de quaisquer sinistros, tais como incêndio, desmoronamento, desabamento, arruinamento, dentre outros.</w:t>
      </w:r>
    </w:p>
    <w:p w14:paraId="59F77D57" w14:textId="77777777" w:rsidR="00FF2AB6"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t xml:space="preserve">O valor depreciado dos bens imóveis da União, autarquias e fundações públicas federais é apurado mensal e automaticamente pelo sistema </w:t>
      </w:r>
      <w:proofErr w:type="spellStart"/>
      <w:r w:rsidRPr="00533035">
        <w:rPr>
          <w:rFonts w:ascii="Arial" w:eastAsia="Arial Unicode MS" w:hAnsi="Arial" w:cs="Arial"/>
          <w:sz w:val="20"/>
          <w:szCs w:val="20"/>
        </w:rPr>
        <w:t>SPIUnet</w:t>
      </w:r>
      <w:proofErr w:type="spellEnd"/>
      <w:r w:rsidRPr="00533035">
        <w:rPr>
          <w:rFonts w:ascii="Arial" w:eastAsia="Arial Unicode MS" w:hAnsi="Arial" w:cs="Arial"/>
          <w:sz w:val="20"/>
          <w:szCs w:val="20"/>
        </w:rPr>
        <w:t xml:space="preserve"> sobre o valor depreciável da acessão, utilizando-se, para tanto, o Método da Parábola de </w:t>
      </w:r>
      <w:proofErr w:type="spellStart"/>
      <w:r w:rsidRPr="00533035">
        <w:rPr>
          <w:rFonts w:ascii="Arial" w:eastAsia="Arial Unicode MS" w:hAnsi="Arial" w:cs="Arial"/>
          <w:sz w:val="20"/>
          <w:szCs w:val="20"/>
        </w:rPr>
        <w:t>Kuentzle</w:t>
      </w:r>
      <w:proofErr w:type="spellEnd"/>
      <w:r w:rsidRPr="00533035">
        <w:rPr>
          <w:rFonts w:ascii="Arial" w:eastAsia="Arial Unicode MS" w:hAnsi="Arial" w:cs="Arial"/>
          <w:sz w:val="20"/>
          <w:szCs w:val="20"/>
        </w:rPr>
        <w:t>, expressa na seguinte equação:</w:t>
      </w:r>
    </w:p>
    <w:p w14:paraId="069053CB" w14:textId="77777777" w:rsidR="00FF2AB6" w:rsidRPr="00533035" w:rsidRDefault="00FF2AB6" w:rsidP="00D84268">
      <w:pPr>
        <w:spacing w:after="40"/>
        <w:jc w:val="center"/>
        <w:rPr>
          <w:rFonts w:ascii="Arial" w:eastAsia="Arial Unicode MS" w:hAnsi="Arial" w:cs="Arial"/>
          <w:sz w:val="20"/>
          <w:szCs w:val="20"/>
        </w:rPr>
      </w:pPr>
      <w:proofErr w:type="spellStart"/>
      <w:r w:rsidRPr="00533035">
        <w:rPr>
          <w:rFonts w:ascii="Arial" w:eastAsia="Arial Unicode MS" w:hAnsi="Arial" w:cs="Arial"/>
          <w:b/>
          <w:color w:val="538135" w:themeColor="accent6" w:themeShade="BF"/>
          <w:sz w:val="20"/>
          <w:szCs w:val="20"/>
        </w:rPr>
        <w:t>Kd</w:t>
      </w:r>
      <w:proofErr w:type="spellEnd"/>
      <w:r w:rsidRPr="00533035">
        <w:rPr>
          <w:rFonts w:ascii="Arial" w:eastAsia="Arial Unicode MS" w:hAnsi="Arial" w:cs="Arial"/>
          <w:b/>
          <w:color w:val="538135" w:themeColor="accent6" w:themeShade="BF"/>
          <w:sz w:val="20"/>
          <w:szCs w:val="20"/>
        </w:rPr>
        <w:t xml:space="preserve"> = (n2 – x2) / n2</w:t>
      </w:r>
      <w:r w:rsidRPr="00533035">
        <w:rPr>
          <w:rFonts w:ascii="Arial" w:eastAsia="Arial Unicode MS" w:hAnsi="Arial" w:cs="Arial"/>
          <w:sz w:val="20"/>
          <w:szCs w:val="20"/>
        </w:rPr>
        <w:t>, onde:</w:t>
      </w:r>
    </w:p>
    <w:p w14:paraId="69EB3669" w14:textId="77777777" w:rsidR="00FF2AB6" w:rsidRPr="00533035" w:rsidRDefault="00FF2AB6" w:rsidP="00D84268">
      <w:pPr>
        <w:spacing w:after="40"/>
        <w:jc w:val="center"/>
        <w:rPr>
          <w:rFonts w:ascii="Arial" w:eastAsia="Arial Unicode MS" w:hAnsi="Arial" w:cs="Arial"/>
          <w:b/>
          <w:color w:val="C45911" w:themeColor="accent2" w:themeShade="BF"/>
          <w:sz w:val="20"/>
          <w:szCs w:val="20"/>
        </w:rPr>
      </w:pPr>
      <w:proofErr w:type="spellStart"/>
      <w:r w:rsidRPr="00533035">
        <w:rPr>
          <w:rFonts w:ascii="Arial" w:eastAsia="Arial Unicode MS" w:hAnsi="Arial" w:cs="Arial"/>
          <w:b/>
          <w:color w:val="ED7D31" w:themeColor="accent2"/>
          <w:sz w:val="20"/>
          <w:szCs w:val="20"/>
        </w:rPr>
        <w:t>Kd</w:t>
      </w:r>
      <w:proofErr w:type="spellEnd"/>
      <w:r w:rsidRPr="00533035">
        <w:rPr>
          <w:rFonts w:ascii="Arial" w:eastAsia="Arial Unicode MS" w:hAnsi="Arial" w:cs="Arial"/>
          <w:b/>
          <w:color w:val="ED7D31" w:themeColor="accent2"/>
          <w:sz w:val="20"/>
          <w:szCs w:val="20"/>
        </w:rPr>
        <w:t xml:space="preserve"> =</w:t>
      </w:r>
      <w:r w:rsidRPr="00533035">
        <w:rPr>
          <w:rFonts w:ascii="Arial" w:eastAsia="Arial Unicode MS" w:hAnsi="Arial" w:cs="Arial"/>
          <w:b/>
          <w:color w:val="C45911" w:themeColor="accent2" w:themeShade="BF"/>
          <w:sz w:val="20"/>
          <w:szCs w:val="20"/>
        </w:rPr>
        <w:t xml:space="preserve"> coeficiente de depreciação</w:t>
      </w:r>
    </w:p>
    <w:p w14:paraId="7F9345AA" w14:textId="77777777" w:rsidR="00FF2AB6" w:rsidRPr="00533035" w:rsidRDefault="00FF2AB6" w:rsidP="00D84268">
      <w:pPr>
        <w:spacing w:after="40"/>
        <w:jc w:val="center"/>
        <w:rPr>
          <w:rFonts w:ascii="Arial" w:eastAsia="Arial Unicode MS" w:hAnsi="Arial" w:cs="Arial"/>
          <w:b/>
          <w:color w:val="C45911" w:themeColor="accent2" w:themeShade="BF"/>
          <w:sz w:val="20"/>
          <w:szCs w:val="20"/>
        </w:rPr>
      </w:pPr>
      <w:r w:rsidRPr="00533035">
        <w:rPr>
          <w:rFonts w:ascii="Arial" w:eastAsia="Arial Unicode MS" w:hAnsi="Arial" w:cs="Arial"/>
          <w:b/>
          <w:color w:val="ED7D31" w:themeColor="accent2"/>
          <w:sz w:val="20"/>
          <w:szCs w:val="20"/>
        </w:rPr>
        <w:t>N =</w:t>
      </w:r>
      <w:r w:rsidRPr="00533035">
        <w:rPr>
          <w:rFonts w:ascii="Arial" w:eastAsia="Arial Unicode MS" w:hAnsi="Arial" w:cs="Arial"/>
          <w:b/>
          <w:color w:val="C45911" w:themeColor="accent2" w:themeShade="BF"/>
          <w:sz w:val="20"/>
          <w:szCs w:val="20"/>
        </w:rPr>
        <w:t xml:space="preserve"> vida útil da acessão</w:t>
      </w:r>
    </w:p>
    <w:p w14:paraId="4FE47DB2" w14:textId="77777777" w:rsidR="00FF2AB6" w:rsidRPr="00533035" w:rsidRDefault="00FF2AB6" w:rsidP="00D84268">
      <w:pPr>
        <w:spacing w:after="40"/>
        <w:jc w:val="center"/>
        <w:rPr>
          <w:rFonts w:ascii="Arial" w:eastAsia="Arial Unicode MS" w:hAnsi="Arial" w:cs="Arial"/>
          <w:sz w:val="20"/>
          <w:szCs w:val="20"/>
        </w:rPr>
      </w:pPr>
      <w:r w:rsidRPr="00533035">
        <w:rPr>
          <w:rFonts w:ascii="Arial" w:eastAsia="Arial Unicode MS" w:hAnsi="Arial" w:cs="Arial"/>
          <w:b/>
          <w:color w:val="ED7D31" w:themeColor="accent2"/>
          <w:sz w:val="20"/>
          <w:szCs w:val="20"/>
        </w:rPr>
        <w:t>X =</w:t>
      </w:r>
      <w:r w:rsidRPr="00533035">
        <w:rPr>
          <w:rFonts w:ascii="Arial" w:eastAsia="Arial Unicode MS" w:hAnsi="Arial" w:cs="Arial"/>
          <w:b/>
          <w:color w:val="C45911" w:themeColor="accent2" w:themeShade="BF"/>
          <w:sz w:val="20"/>
          <w:szCs w:val="20"/>
        </w:rPr>
        <w:t xml:space="preserve"> vida útil transcorrida da acessão</w:t>
      </w:r>
    </w:p>
    <w:p w14:paraId="0BB70815" w14:textId="77777777" w:rsidR="007D6891" w:rsidRPr="00533035" w:rsidRDefault="00FF2AB6" w:rsidP="00FF2AB6">
      <w:pPr>
        <w:spacing w:after="40"/>
        <w:rPr>
          <w:rFonts w:ascii="Arial" w:eastAsia="Arial Unicode MS" w:hAnsi="Arial" w:cs="Arial"/>
          <w:sz w:val="20"/>
          <w:szCs w:val="20"/>
        </w:rPr>
      </w:pPr>
      <w:r w:rsidRPr="00533035">
        <w:rPr>
          <w:rFonts w:ascii="Arial" w:eastAsia="Arial Unicode MS" w:hAnsi="Arial" w:cs="Arial"/>
          <w:sz w:val="20"/>
          <w:szCs w:val="20"/>
        </w:rPr>
        <w:lastRenderedPageBreak/>
        <w:t>Para fins da depreciação, a vida útil é definida com base no laudo de avaliação específico ou, na sua ausência, por parâmetros predefinidos pela SPU segundo a natureza e as características dos bens imóveis. Nos casos de bens reavaliados, independentemente do fundamento, a depreciação acumulada é zerada e reiniciada a partir do novo valor. O valor residual é estabelecido pela STN e comunicado à SPU.</w:t>
      </w:r>
    </w:p>
    <w:p w14:paraId="07BDCF1F" w14:textId="77777777" w:rsidR="0064731A" w:rsidRPr="00533035" w:rsidRDefault="0064731A" w:rsidP="0064731A">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Passivos</w:t>
      </w:r>
    </w:p>
    <w:p w14:paraId="17BF824D"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As obrigações são evidenciadas por valores conhecidos ou calculáveis, acrescidos, quando aplicável, dos correspondentes encargos das variações monetárias e cambiais ocorridas até a data das demonstrações contábeis.</w:t>
      </w:r>
    </w:p>
    <w:p w14:paraId="28F673A1"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Os passivos circulante e não circulante apresentam a seguinte divisão: (i) obrigações trabalhistas, previdenciárias e assistenciais; (</w:t>
      </w:r>
      <w:proofErr w:type="spellStart"/>
      <w:r w:rsidRPr="00533035">
        <w:rPr>
          <w:rFonts w:ascii="Arial" w:eastAsia="Arial Unicode MS" w:hAnsi="Arial" w:cs="Arial"/>
          <w:sz w:val="20"/>
          <w:szCs w:val="20"/>
        </w:rPr>
        <w:t>ii</w:t>
      </w:r>
      <w:proofErr w:type="spellEnd"/>
      <w:r w:rsidRPr="00533035">
        <w:rPr>
          <w:rFonts w:ascii="Arial" w:eastAsia="Arial Unicode MS" w:hAnsi="Arial" w:cs="Arial"/>
          <w:sz w:val="20"/>
          <w:szCs w:val="20"/>
        </w:rPr>
        <w:t>) empréstimos e financiamentos; (</w:t>
      </w:r>
      <w:proofErr w:type="spellStart"/>
      <w:r w:rsidRPr="00533035">
        <w:rPr>
          <w:rFonts w:ascii="Arial" w:eastAsia="Arial Unicode MS" w:hAnsi="Arial" w:cs="Arial"/>
          <w:sz w:val="20"/>
          <w:szCs w:val="20"/>
        </w:rPr>
        <w:t>iii</w:t>
      </w:r>
      <w:proofErr w:type="spellEnd"/>
      <w:r w:rsidRPr="00533035">
        <w:rPr>
          <w:rFonts w:ascii="Arial" w:eastAsia="Arial Unicode MS" w:hAnsi="Arial" w:cs="Arial"/>
          <w:sz w:val="20"/>
          <w:szCs w:val="20"/>
        </w:rPr>
        <w:t>) fornecedores e contas a pagar; (</w:t>
      </w:r>
      <w:proofErr w:type="spellStart"/>
      <w:r w:rsidRPr="00533035">
        <w:rPr>
          <w:rFonts w:ascii="Arial" w:eastAsia="Arial Unicode MS" w:hAnsi="Arial" w:cs="Arial"/>
          <w:sz w:val="20"/>
          <w:szCs w:val="20"/>
        </w:rPr>
        <w:t>iv</w:t>
      </w:r>
      <w:proofErr w:type="spellEnd"/>
      <w:r w:rsidRPr="00533035">
        <w:rPr>
          <w:rFonts w:ascii="Arial" w:eastAsia="Arial Unicode MS" w:hAnsi="Arial" w:cs="Arial"/>
          <w:sz w:val="20"/>
          <w:szCs w:val="20"/>
        </w:rPr>
        <w:t>) obrigações fiscais; (v) obrigações de repartições a outros entes; (vi) provisões; e (</w:t>
      </w:r>
      <w:proofErr w:type="spellStart"/>
      <w:r w:rsidRPr="00533035">
        <w:rPr>
          <w:rFonts w:ascii="Arial" w:eastAsia="Arial Unicode MS" w:hAnsi="Arial" w:cs="Arial"/>
          <w:sz w:val="20"/>
          <w:szCs w:val="20"/>
        </w:rPr>
        <w:t>vii</w:t>
      </w:r>
      <w:proofErr w:type="spellEnd"/>
      <w:r w:rsidRPr="00533035">
        <w:rPr>
          <w:rFonts w:ascii="Arial" w:eastAsia="Arial Unicode MS" w:hAnsi="Arial" w:cs="Arial"/>
          <w:sz w:val="20"/>
          <w:szCs w:val="20"/>
        </w:rPr>
        <w:t>) demais obrigações.</w:t>
      </w:r>
    </w:p>
    <w:p w14:paraId="11BEAF0C" w14:textId="77777777" w:rsidR="0064731A" w:rsidRPr="00533035" w:rsidRDefault="0064731A" w:rsidP="0064731A">
      <w:pPr>
        <w:spacing w:after="40"/>
        <w:rPr>
          <w:rFonts w:ascii="Arial" w:eastAsia="Arial Unicode MS" w:hAnsi="Arial" w:cs="Arial"/>
          <w:b/>
          <w:sz w:val="20"/>
          <w:szCs w:val="20"/>
          <w:u w:val="thick" w:color="F4B083" w:themeColor="accent2" w:themeTint="99"/>
        </w:rPr>
      </w:pPr>
      <w:r w:rsidRPr="00533035">
        <w:rPr>
          <w:rFonts w:ascii="Arial" w:eastAsia="Arial Unicode MS" w:hAnsi="Arial" w:cs="Arial"/>
          <w:b/>
          <w:sz w:val="20"/>
          <w:szCs w:val="20"/>
          <w:u w:val="thick" w:color="F4B083" w:themeColor="accent2" w:themeTint="99"/>
        </w:rPr>
        <w:t>Apuração do Resultado</w:t>
      </w:r>
    </w:p>
    <w:p w14:paraId="5B4E24BE"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No modelo de contabilidade aplicada ao setor público, é possível a apuração dos seguintes resultados:</w:t>
      </w:r>
    </w:p>
    <w:p w14:paraId="5FE46E81"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noProof/>
          <w:sz w:val="20"/>
          <w:szCs w:val="20"/>
          <w:lang w:eastAsia="pt-BR"/>
        </w:rPr>
        <w:drawing>
          <wp:inline distT="0" distB="0" distL="0" distR="0" wp14:anchorId="7E08FE5A" wp14:editId="3A12AED1">
            <wp:extent cx="3086100" cy="276225"/>
            <wp:effectExtent l="19050" t="0" r="19050" b="476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97030C4" w14:textId="77777777" w:rsidR="0064731A" w:rsidRPr="00533035" w:rsidRDefault="0064731A" w:rsidP="0064731A">
      <w:pPr>
        <w:spacing w:after="40"/>
        <w:rPr>
          <w:rFonts w:ascii="Arial" w:eastAsia="Arial Unicode MS" w:hAnsi="Arial" w:cs="Arial"/>
          <w:b/>
          <w:sz w:val="20"/>
          <w:szCs w:val="20"/>
        </w:rPr>
      </w:pPr>
      <w:r w:rsidRPr="00533035">
        <w:rPr>
          <w:rFonts w:ascii="Arial" w:eastAsia="Arial Unicode MS" w:hAnsi="Arial" w:cs="Arial"/>
          <w:b/>
          <w:sz w:val="20"/>
          <w:szCs w:val="20"/>
        </w:rPr>
        <w:t>Resultado patrimonial</w:t>
      </w:r>
    </w:p>
    <w:p w14:paraId="400BAA3E"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A apuração do resultado patrimonial implica a confrontação das variações patrimoniais aumentativas (VPA) e das variações patrimoniais diminutivas (VPD).</w:t>
      </w:r>
    </w:p>
    <w:p w14:paraId="1A8EDA9A"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As VPA são reconhecidas quando for provável que benefícios econômicos fluirão e quando puderem ser mensuradas confiavelmente, utilizando-se a lógica do regime de competência. A exceção se refere às receitas tributárias e às transferências recebidas, que seguem a lógica do regime de caixa, o que é permitido de acordo com a contabilidade aplicada ao setor público.</w:t>
      </w:r>
    </w:p>
    <w:p w14:paraId="756503C2"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As VPD são reconhecidas quando for provável que ocorrerá decréscimos nos benefícios econômicos para a União, implicando em saída de recursos ou em redução de ativos ou na assunção de passivos, seguindo a lógica do regime de competência. A exceção se refere às despesas oriundas da restituição de receitas tributárias e às transferências concedidas, que seguem a lógica do regime de caixa, o que é permitido de acordo com o modelo PCASP.</w:t>
      </w:r>
    </w:p>
    <w:p w14:paraId="3F4E240F"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 xml:space="preserve">A apuração do resultado se dá pelo encerramento das contas de VPA e VPD, em contrapartida a uma conta de apuração. Após a apuração, o resultado é transferido para conta de </w:t>
      </w:r>
      <w:proofErr w:type="spellStart"/>
      <w:r w:rsidRPr="00533035">
        <w:rPr>
          <w:rFonts w:ascii="Arial" w:eastAsia="Arial Unicode MS" w:hAnsi="Arial" w:cs="Arial"/>
          <w:sz w:val="20"/>
          <w:szCs w:val="20"/>
        </w:rPr>
        <w:t>Superavit</w:t>
      </w:r>
      <w:proofErr w:type="spellEnd"/>
      <w:r w:rsidRPr="00533035">
        <w:rPr>
          <w:rFonts w:ascii="Arial" w:eastAsia="Arial Unicode MS" w:hAnsi="Arial" w:cs="Arial"/>
          <w:sz w:val="20"/>
          <w:szCs w:val="20"/>
        </w:rPr>
        <w:t>/</w:t>
      </w:r>
      <w:proofErr w:type="spellStart"/>
      <w:r w:rsidRPr="00533035">
        <w:rPr>
          <w:rFonts w:ascii="Arial" w:eastAsia="Arial Unicode MS" w:hAnsi="Arial" w:cs="Arial"/>
          <w:sz w:val="20"/>
          <w:szCs w:val="20"/>
        </w:rPr>
        <w:t>Deficit</w:t>
      </w:r>
      <w:proofErr w:type="spellEnd"/>
      <w:r w:rsidRPr="00533035">
        <w:rPr>
          <w:rFonts w:ascii="Arial" w:eastAsia="Arial Unicode MS" w:hAnsi="Arial" w:cs="Arial"/>
          <w:sz w:val="20"/>
          <w:szCs w:val="20"/>
        </w:rPr>
        <w:t xml:space="preserve"> do Exercício. O detalhamento do confronto entre VPA e VPD é apresentado na Demonstração das Variações Patrimoniais.</w:t>
      </w:r>
    </w:p>
    <w:p w14:paraId="33CA3395" w14:textId="77777777" w:rsidR="0064731A" w:rsidRPr="00533035" w:rsidRDefault="0064731A" w:rsidP="0064731A">
      <w:pPr>
        <w:spacing w:after="40"/>
        <w:rPr>
          <w:rFonts w:ascii="Arial" w:eastAsia="Arial Unicode MS" w:hAnsi="Arial" w:cs="Arial"/>
          <w:b/>
          <w:sz w:val="20"/>
          <w:szCs w:val="20"/>
        </w:rPr>
      </w:pPr>
      <w:r w:rsidRPr="00533035">
        <w:rPr>
          <w:rFonts w:ascii="Arial" w:eastAsia="Arial Unicode MS" w:hAnsi="Arial" w:cs="Arial"/>
          <w:b/>
          <w:sz w:val="20"/>
          <w:szCs w:val="20"/>
        </w:rPr>
        <w:t>Resultado orçamentário</w:t>
      </w:r>
    </w:p>
    <w:p w14:paraId="6F29B6B0"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O regime orçamentário da União segue o descrito no art. 35 da Lei nº 4.320/1964. Desse modo, pertencem ao exercício financeiro as receitas nele arrecadadas e as despesas nele legalmente empenhadas.</w:t>
      </w:r>
    </w:p>
    <w:p w14:paraId="2E527CCB"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 xml:space="preserve">O resultado orçamentário representa o confronto entre as receitas orçamentárias realizadas e as despesas orçamentárias empenhadas. O </w:t>
      </w:r>
      <w:proofErr w:type="spellStart"/>
      <w:r w:rsidRPr="00533035">
        <w:rPr>
          <w:rFonts w:ascii="Arial" w:eastAsia="Arial Unicode MS" w:hAnsi="Arial" w:cs="Arial"/>
          <w:sz w:val="20"/>
          <w:szCs w:val="20"/>
        </w:rPr>
        <w:t>superavit</w:t>
      </w:r>
      <w:proofErr w:type="spellEnd"/>
      <w:r w:rsidRPr="00533035">
        <w:rPr>
          <w:rFonts w:ascii="Arial" w:eastAsia="Arial Unicode MS" w:hAnsi="Arial" w:cs="Arial"/>
          <w:sz w:val="20"/>
          <w:szCs w:val="20"/>
        </w:rPr>
        <w:t>/</w:t>
      </w:r>
      <w:proofErr w:type="spellStart"/>
      <w:r w:rsidRPr="00533035">
        <w:rPr>
          <w:rFonts w:ascii="Arial" w:eastAsia="Arial Unicode MS" w:hAnsi="Arial" w:cs="Arial"/>
          <w:sz w:val="20"/>
          <w:szCs w:val="20"/>
        </w:rPr>
        <w:t>deficit</w:t>
      </w:r>
      <w:proofErr w:type="spellEnd"/>
      <w:r w:rsidRPr="00533035">
        <w:rPr>
          <w:rFonts w:ascii="Arial" w:eastAsia="Arial Unicode MS" w:hAnsi="Arial" w:cs="Arial"/>
          <w:sz w:val="20"/>
          <w:szCs w:val="20"/>
        </w:rPr>
        <w:t xml:space="preserve"> é apresentado diretamente no Balanço Orçamentário.</w:t>
      </w:r>
    </w:p>
    <w:p w14:paraId="2D8A3F27" w14:textId="77777777" w:rsidR="0064731A" w:rsidRPr="00533035" w:rsidRDefault="0064731A" w:rsidP="0064731A">
      <w:pPr>
        <w:spacing w:after="40"/>
        <w:rPr>
          <w:rFonts w:ascii="Arial" w:eastAsia="Arial Unicode MS" w:hAnsi="Arial" w:cs="Arial"/>
          <w:b/>
          <w:sz w:val="20"/>
          <w:szCs w:val="20"/>
        </w:rPr>
      </w:pPr>
      <w:r w:rsidRPr="00533035">
        <w:rPr>
          <w:rFonts w:ascii="Arial" w:eastAsia="Arial Unicode MS" w:hAnsi="Arial" w:cs="Arial"/>
          <w:b/>
          <w:sz w:val="20"/>
          <w:szCs w:val="20"/>
        </w:rPr>
        <w:t>Resultado financeiro</w:t>
      </w:r>
    </w:p>
    <w:p w14:paraId="2BA598FB" w14:textId="77777777" w:rsidR="0064731A" w:rsidRPr="00533035" w:rsidRDefault="0064731A" w:rsidP="0064731A">
      <w:pPr>
        <w:spacing w:after="40"/>
        <w:rPr>
          <w:rFonts w:ascii="Arial" w:eastAsia="Arial Unicode MS" w:hAnsi="Arial" w:cs="Arial"/>
          <w:sz w:val="20"/>
          <w:szCs w:val="20"/>
        </w:rPr>
      </w:pPr>
      <w:r w:rsidRPr="00533035">
        <w:rPr>
          <w:rFonts w:ascii="Arial" w:eastAsia="Arial Unicode MS" w:hAnsi="Arial" w:cs="Arial"/>
          <w:sz w:val="20"/>
          <w:szCs w:val="20"/>
        </w:rPr>
        <w:t>O resultado financeiro representa o confronto entre ingressos e dispêndios, orçamentários e extra orçamentários, que ocorreram durante o exercício e alteraram as disponibilidades da União.</w:t>
      </w:r>
    </w:p>
    <w:p w14:paraId="418C2676" w14:textId="3A5D8AA5" w:rsidR="00E40488" w:rsidRDefault="0064731A" w:rsidP="004F53A5">
      <w:pPr>
        <w:spacing w:after="40"/>
        <w:rPr>
          <w:rFonts w:ascii="Arial" w:eastAsia="Arial Unicode MS" w:hAnsi="Arial" w:cs="Arial"/>
          <w:sz w:val="20"/>
          <w:szCs w:val="20"/>
        </w:rPr>
      </w:pPr>
      <w:r w:rsidRPr="00533035">
        <w:rPr>
          <w:rFonts w:ascii="Arial" w:eastAsia="Arial Unicode MS" w:hAnsi="Arial" w:cs="Arial"/>
          <w:sz w:val="20"/>
          <w:szCs w:val="20"/>
        </w:rPr>
        <w:t>No Balanço Financeiro, é possível identificar a apuração do resultado financeiro. Em função das particularidades da União, pela observância do princípio de caixa único, é possível, também, verificar o resultado financeiro na Demonstração dos Fluxos de Caixa.</w:t>
      </w:r>
    </w:p>
    <w:p w14:paraId="319CA36D" w14:textId="031D6B74" w:rsidR="003750CE" w:rsidRDefault="003750CE" w:rsidP="004F53A5">
      <w:pPr>
        <w:spacing w:after="40"/>
        <w:rPr>
          <w:rFonts w:ascii="Arial" w:eastAsia="Arial Unicode MS" w:hAnsi="Arial" w:cs="Arial"/>
          <w:sz w:val="20"/>
          <w:szCs w:val="20"/>
        </w:rPr>
      </w:pPr>
    </w:p>
    <w:p w14:paraId="713C72EA" w14:textId="77777777" w:rsidR="00E40488" w:rsidRDefault="00E40488" w:rsidP="001F7B7F">
      <w:pPr>
        <w:spacing w:after="240"/>
        <w:ind w:firstLine="993"/>
        <w:rPr>
          <w:rFonts w:ascii="Arial" w:eastAsia="Arial Unicode MS" w:hAnsi="Arial" w:cs="Arial"/>
          <w:b/>
          <w:color w:val="009999"/>
          <w:sz w:val="36"/>
          <w:szCs w:val="36"/>
        </w:rPr>
        <w:sectPr w:rsidR="00E40488" w:rsidSect="00E576AD">
          <w:type w:val="continuous"/>
          <w:pgSz w:w="11906" w:h="16838"/>
          <w:pgMar w:top="1021" w:right="851" w:bottom="851" w:left="851" w:header="709" w:footer="0" w:gutter="0"/>
          <w:cols w:space="708"/>
          <w:docGrid w:linePitch="360"/>
        </w:sectPr>
      </w:pPr>
    </w:p>
    <w:p w14:paraId="558B7BB8" w14:textId="78D3D26C" w:rsidR="001F7B7F" w:rsidRPr="00533035" w:rsidRDefault="001F7B7F" w:rsidP="00E40488">
      <w:pPr>
        <w:spacing w:after="240"/>
        <w:rPr>
          <w:rFonts w:ascii="Arial" w:eastAsia="Arial Unicode MS" w:hAnsi="Arial" w:cs="Arial"/>
          <w:b/>
          <w:color w:val="009999"/>
          <w:sz w:val="36"/>
          <w:szCs w:val="36"/>
        </w:rPr>
      </w:pPr>
      <w:r w:rsidRPr="00533035">
        <w:rPr>
          <w:rFonts w:ascii="Arial" w:eastAsia="Arial Unicode MS" w:hAnsi="Arial" w:cs="Arial"/>
          <w:b/>
          <w:color w:val="009999"/>
          <w:sz w:val="36"/>
          <w:szCs w:val="36"/>
        </w:rPr>
        <w:t>Notas explicativas das Demonstrações Contábeis</w:t>
      </w:r>
    </w:p>
    <w:p w14:paraId="631625DF" w14:textId="77777777" w:rsidR="001F7B7F" w:rsidRPr="00533035" w:rsidRDefault="001F7B7F" w:rsidP="001F7B7F">
      <w:pPr>
        <w:spacing w:after="240"/>
        <w:ind w:firstLine="284"/>
        <w:rPr>
          <w:rFonts w:ascii="Arial" w:eastAsia="Arial Unicode MS" w:hAnsi="Arial" w:cs="Arial"/>
          <w:b/>
          <w:sz w:val="24"/>
          <w:szCs w:val="24"/>
        </w:rPr>
      </w:pPr>
      <w:r w:rsidRPr="00533035">
        <w:rPr>
          <w:rFonts w:ascii="Arial" w:eastAsia="Arial Unicode MS" w:hAnsi="Arial" w:cs="Arial"/>
          <w:b/>
          <w:color w:val="C45911" w:themeColor="accent2" w:themeShade="BF"/>
          <w:sz w:val="24"/>
          <w:szCs w:val="24"/>
        </w:rPr>
        <w:t>Nota 1 – Caixa e Equivalente de Caixa</w:t>
      </w:r>
    </w:p>
    <w:p w14:paraId="63B7C8A8" w14:textId="77777777" w:rsidR="00756B26" w:rsidRPr="00533035" w:rsidRDefault="00837429" w:rsidP="004F53A5">
      <w:pPr>
        <w:spacing w:after="40"/>
        <w:rPr>
          <w:rFonts w:ascii="Arial" w:eastAsia="Arial Unicode MS" w:hAnsi="Arial" w:cs="Arial"/>
          <w:sz w:val="20"/>
          <w:szCs w:val="20"/>
        </w:rPr>
      </w:pPr>
      <w:r>
        <w:rPr>
          <w:rFonts w:ascii="Arial" w:eastAsia="Arial Unicode MS" w:hAnsi="Arial" w:cs="Arial"/>
          <w:sz w:val="20"/>
          <w:szCs w:val="20"/>
        </w:rPr>
        <w:t>O item Caixa e E</w:t>
      </w:r>
      <w:r w:rsidR="001F7B7F" w:rsidRPr="00533035">
        <w:rPr>
          <w:rFonts w:ascii="Arial" w:eastAsia="Arial Unicode MS" w:hAnsi="Arial" w:cs="Arial"/>
          <w:sz w:val="20"/>
          <w:szCs w:val="20"/>
        </w:rPr>
        <w:t>quivalentes de Caixa compreende o somatório dos valores disponíveis na Conta Única do Tesouro e em outros bancos, bem como equivalentes, que representam recursos com livre movimentação para aplicação nas operações da entidade e para os quais não haja restrições para uso imediato.</w:t>
      </w:r>
    </w:p>
    <w:p w14:paraId="1C99BD69" w14:textId="23813EB5" w:rsidR="001F7B7F" w:rsidRDefault="00F86480" w:rsidP="004F53A5">
      <w:pPr>
        <w:spacing w:after="40"/>
        <w:rPr>
          <w:rFonts w:ascii="Arial" w:eastAsia="Arial Unicode MS" w:hAnsi="Arial" w:cs="Arial"/>
          <w:sz w:val="20"/>
          <w:szCs w:val="20"/>
        </w:rPr>
      </w:pPr>
      <w:r w:rsidRPr="00533035">
        <w:rPr>
          <w:rFonts w:ascii="Arial" w:eastAsia="Arial Unicode MS" w:hAnsi="Arial" w:cs="Arial"/>
          <w:sz w:val="20"/>
          <w:szCs w:val="20"/>
        </w:rPr>
        <w:t>Esse título se subdivide em Bancos Conta Movimento – Demais Contas, que se referem aos depósitos em garantia de execução dos contratos pactuados com o IFRS, na modalidade caução, e</w:t>
      </w:r>
      <w:r w:rsidR="00856772" w:rsidRPr="00533035">
        <w:rPr>
          <w:rFonts w:ascii="Arial" w:eastAsia="Arial Unicode MS" w:hAnsi="Arial" w:cs="Arial"/>
          <w:sz w:val="20"/>
          <w:szCs w:val="20"/>
        </w:rPr>
        <w:t>,</w:t>
      </w:r>
      <w:r w:rsidRPr="00533035">
        <w:rPr>
          <w:rFonts w:ascii="Arial" w:eastAsia="Arial Unicode MS" w:hAnsi="Arial" w:cs="Arial"/>
          <w:sz w:val="20"/>
          <w:szCs w:val="20"/>
        </w:rPr>
        <w:t xml:space="preserve"> Recursos Liberados pelo Tesouro, que representam o valor disponível para saque da Conta Única do Tesouro Nacional, estabelecido pelo Órgão Central de Programação Financeira ou arrecadação direta, para atender despesas com vinculação espec</w:t>
      </w:r>
      <w:r w:rsidR="001744D2" w:rsidRPr="00533035">
        <w:rPr>
          <w:rFonts w:ascii="Arial" w:eastAsia="Arial Unicode MS" w:hAnsi="Arial" w:cs="Arial"/>
          <w:sz w:val="20"/>
          <w:szCs w:val="20"/>
        </w:rPr>
        <w:t>ífica de pagamento.</w:t>
      </w:r>
      <w:r w:rsidR="00856772" w:rsidRPr="00533035">
        <w:rPr>
          <w:rFonts w:ascii="Arial" w:eastAsia="Arial Unicode MS" w:hAnsi="Arial" w:cs="Arial"/>
          <w:sz w:val="20"/>
          <w:szCs w:val="20"/>
        </w:rPr>
        <w:t xml:space="preserve"> </w:t>
      </w:r>
      <w:r w:rsidR="006310EB">
        <w:rPr>
          <w:rFonts w:ascii="Arial" w:eastAsia="Arial Unicode MS" w:hAnsi="Arial" w:cs="Arial"/>
          <w:sz w:val="20"/>
          <w:szCs w:val="20"/>
        </w:rPr>
        <w:t>O</w:t>
      </w:r>
      <w:r w:rsidR="00856772" w:rsidRPr="00533035">
        <w:rPr>
          <w:rFonts w:ascii="Arial" w:eastAsia="Arial Unicode MS" w:hAnsi="Arial" w:cs="Arial"/>
          <w:sz w:val="20"/>
          <w:szCs w:val="20"/>
        </w:rPr>
        <w:t xml:space="preserve">s valores relativos aos Recursos Liberados pelo Tesouro </w:t>
      </w:r>
      <w:r w:rsidR="006310EB">
        <w:rPr>
          <w:rFonts w:ascii="Arial" w:eastAsia="Arial Unicode MS" w:hAnsi="Arial" w:cs="Arial"/>
          <w:sz w:val="20"/>
          <w:szCs w:val="20"/>
        </w:rPr>
        <w:t>evidenciam</w:t>
      </w:r>
      <w:r w:rsidR="00856772" w:rsidRPr="00533035">
        <w:rPr>
          <w:rFonts w:ascii="Arial" w:eastAsia="Arial Unicode MS" w:hAnsi="Arial" w:cs="Arial"/>
          <w:sz w:val="20"/>
          <w:szCs w:val="20"/>
        </w:rPr>
        <w:t xml:space="preserve"> </w:t>
      </w:r>
      <w:r w:rsidR="006310EB">
        <w:rPr>
          <w:rFonts w:ascii="Arial" w:eastAsia="Arial Unicode MS" w:hAnsi="Arial" w:cs="Arial"/>
          <w:sz w:val="20"/>
          <w:szCs w:val="20"/>
        </w:rPr>
        <w:t>o pagamento</w:t>
      </w:r>
      <w:r w:rsidR="00856772" w:rsidRPr="00533035">
        <w:rPr>
          <w:rFonts w:ascii="Arial" w:eastAsia="Arial Unicode MS" w:hAnsi="Arial" w:cs="Arial"/>
          <w:sz w:val="20"/>
          <w:szCs w:val="20"/>
        </w:rPr>
        <w:t xml:space="preserve"> da folha de </w:t>
      </w:r>
      <w:r w:rsidR="006310EB">
        <w:rPr>
          <w:rFonts w:ascii="Arial" w:eastAsia="Arial Unicode MS" w:hAnsi="Arial" w:cs="Arial"/>
          <w:sz w:val="20"/>
          <w:szCs w:val="20"/>
        </w:rPr>
        <w:t>pessoal</w:t>
      </w:r>
      <w:r w:rsidR="00856772" w:rsidRPr="00533035">
        <w:rPr>
          <w:rFonts w:ascii="Arial" w:eastAsia="Arial Unicode MS" w:hAnsi="Arial" w:cs="Arial"/>
          <w:sz w:val="20"/>
          <w:szCs w:val="20"/>
        </w:rPr>
        <w:t xml:space="preserve"> que</w:t>
      </w:r>
      <w:r w:rsidR="00F03096">
        <w:rPr>
          <w:rFonts w:ascii="Arial" w:eastAsia="Arial Unicode MS" w:hAnsi="Arial" w:cs="Arial"/>
          <w:sz w:val="20"/>
          <w:szCs w:val="20"/>
        </w:rPr>
        <w:t xml:space="preserve"> </w:t>
      </w:r>
      <w:r w:rsidR="00856772" w:rsidRPr="00533035">
        <w:rPr>
          <w:rFonts w:ascii="Arial" w:eastAsia="Arial Unicode MS" w:hAnsi="Arial" w:cs="Arial"/>
          <w:sz w:val="20"/>
          <w:szCs w:val="20"/>
        </w:rPr>
        <w:t>ocorreu no mês subsequente.</w:t>
      </w:r>
    </w:p>
    <w:p w14:paraId="304F799A" w14:textId="47F0CBF6" w:rsidR="005C2F56" w:rsidRDefault="005C2F56" w:rsidP="004F53A5">
      <w:pPr>
        <w:spacing w:after="40"/>
        <w:rPr>
          <w:rFonts w:ascii="Arial" w:eastAsia="Arial Unicode MS" w:hAnsi="Arial" w:cs="Arial"/>
          <w:sz w:val="20"/>
          <w:szCs w:val="20"/>
        </w:rPr>
      </w:pPr>
      <w:r w:rsidRPr="005C2F56">
        <w:rPr>
          <w:rFonts w:ascii="Arial" w:eastAsia="Arial Unicode MS" w:hAnsi="Arial" w:cs="Arial"/>
          <w:noProof/>
          <w:sz w:val="20"/>
          <w:szCs w:val="20"/>
        </w:rPr>
        <w:lastRenderedPageBreak/>
        <w:drawing>
          <wp:inline distT="0" distB="0" distL="0" distR="0" wp14:anchorId="25D8696D" wp14:editId="412F2024">
            <wp:extent cx="5713095" cy="1609090"/>
            <wp:effectExtent l="0" t="0" r="190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3095" cy="1609090"/>
                    </a:xfrm>
                    <a:prstGeom prst="rect">
                      <a:avLst/>
                    </a:prstGeom>
                    <a:noFill/>
                    <a:ln>
                      <a:noFill/>
                    </a:ln>
                  </pic:spPr>
                </pic:pic>
              </a:graphicData>
            </a:graphic>
          </wp:inline>
        </w:drawing>
      </w:r>
    </w:p>
    <w:p w14:paraId="0EBE911E" w14:textId="77777777" w:rsidR="00AB3CFF" w:rsidRDefault="00AB3CFF" w:rsidP="004F53A5">
      <w:pPr>
        <w:spacing w:after="40"/>
        <w:rPr>
          <w:rFonts w:ascii="Arial" w:eastAsia="Arial Unicode MS" w:hAnsi="Arial" w:cs="Arial"/>
          <w:sz w:val="20"/>
          <w:szCs w:val="20"/>
        </w:rPr>
      </w:pPr>
    </w:p>
    <w:p w14:paraId="0B6DA54C" w14:textId="77777777" w:rsidR="00867F88" w:rsidRPr="00533035" w:rsidRDefault="00867F88" w:rsidP="00AA7EC7">
      <w:pPr>
        <w:spacing w:after="240"/>
        <w:ind w:firstLine="284"/>
        <w:rPr>
          <w:rFonts w:ascii="Arial" w:eastAsia="Arial Unicode MS" w:hAnsi="Arial" w:cs="Arial"/>
          <w:b/>
          <w:color w:val="C45911" w:themeColor="accent2" w:themeShade="BF"/>
          <w:sz w:val="24"/>
          <w:szCs w:val="24"/>
        </w:rPr>
      </w:pPr>
      <w:r w:rsidRPr="00533035">
        <w:rPr>
          <w:rFonts w:ascii="Arial" w:eastAsia="Arial Unicode MS" w:hAnsi="Arial" w:cs="Arial"/>
          <w:b/>
          <w:color w:val="C45911" w:themeColor="accent2" w:themeShade="BF"/>
          <w:sz w:val="24"/>
          <w:szCs w:val="24"/>
        </w:rPr>
        <w:t>Nota 2 – Créditos a Receber</w:t>
      </w:r>
    </w:p>
    <w:p w14:paraId="086B0158" w14:textId="77777777" w:rsidR="00867F88" w:rsidRPr="00533035" w:rsidRDefault="00867F88" w:rsidP="004F53A5">
      <w:pPr>
        <w:spacing w:after="40"/>
        <w:rPr>
          <w:rFonts w:ascii="Arial" w:eastAsia="Arial Unicode MS" w:hAnsi="Arial" w:cs="Arial"/>
          <w:sz w:val="20"/>
          <w:szCs w:val="20"/>
        </w:rPr>
      </w:pPr>
      <w:r w:rsidRPr="00533035">
        <w:rPr>
          <w:rFonts w:ascii="Arial" w:eastAsia="Arial Unicode MS" w:hAnsi="Arial" w:cs="Arial"/>
          <w:sz w:val="20"/>
          <w:szCs w:val="20"/>
        </w:rPr>
        <w:t>Os créditos a receber estão distribuídos:</w:t>
      </w:r>
    </w:p>
    <w:p w14:paraId="0C1F514F" w14:textId="77777777" w:rsidR="00867F88" w:rsidRPr="00533035" w:rsidRDefault="00867F88" w:rsidP="00867F88">
      <w:pPr>
        <w:pStyle w:val="PargrafodaLista"/>
        <w:numPr>
          <w:ilvl w:val="0"/>
          <w:numId w:val="1"/>
        </w:numPr>
        <w:spacing w:after="40"/>
        <w:rPr>
          <w:rFonts w:ascii="Arial" w:eastAsia="Arial Unicode MS" w:hAnsi="Arial" w:cs="Arial"/>
          <w:color w:val="009999"/>
          <w:sz w:val="20"/>
          <w:szCs w:val="20"/>
        </w:rPr>
      </w:pPr>
      <w:r w:rsidRPr="00533035">
        <w:rPr>
          <w:rFonts w:ascii="Arial" w:eastAsia="Arial Unicode MS" w:hAnsi="Arial" w:cs="Arial"/>
          <w:color w:val="009999"/>
          <w:sz w:val="20"/>
          <w:szCs w:val="20"/>
        </w:rPr>
        <w:t>Clientes;</w:t>
      </w:r>
    </w:p>
    <w:p w14:paraId="287EE9FD" w14:textId="77777777" w:rsidR="00867F88" w:rsidRPr="00533035" w:rsidRDefault="00867F88" w:rsidP="00867F88">
      <w:pPr>
        <w:pStyle w:val="PargrafodaLista"/>
        <w:numPr>
          <w:ilvl w:val="0"/>
          <w:numId w:val="1"/>
        </w:numPr>
        <w:spacing w:after="40"/>
        <w:rPr>
          <w:rFonts w:ascii="Arial" w:eastAsia="Arial Unicode MS" w:hAnsi="Arial" w:cs="Arial"/>
          <w:color w:val="009999"/>
          <w:sz w:val="20"/>
          <w:szCs w:val="20"/>
        </w:rPr>
      </w:pPr>
      <w:r w:rsidRPr="00533035">
        <w:rPr>
          <w:rFonts w:ascii="Arial" w:eastAsia="Arial Unicode MS" w:hAnsi="Arial" w:cs="Arial"/>
          <w:color w:val="009999"/>
          <w:sz w:val="20"/>
          <w:szCs w:val="20"/>
        </w:rPr>
        <w:t>Adiantamentos concedidos e;</w:t>
      </w:r>
    </w:p>
    <w:p w14:paraId="27E361C8" w14:textId="77777777" w:rsidR="00867F88" w:rsidRPr="00533035" w:rsidRDefault="00867F88" w:rsidP="00867F88">
      <w:pPr>
        <w:pStyle w:val="PargrafodaLista"/>
        <w:numPr>
          <w:ilvl w:val="0"/>
          <w:numId w:val="1"/>
        </w:numPr>
        <w:spacing w:after="40"/>
        <w:rPr>
          <w:rFonts w:ascii="Arial" w:eastAsia="Arial Unicode MS" w:hAnsi="Arial" w:cs="Arial"/>
          <w:color w:val="009999"/>
          <w:sz w:val="20"/>
          <w:szCs w:val="20"/>
        </w:rPr>
      </w:pPr>
      <w:r w:rsidRPr="00533035">
        <w:rPr>
          <w:rFonts w:ascii="Arial" w:eastAsia="Arial Unicode MS" w:hAnsi="Arial" w:cs="Arial"/>
          <w:color w:val="009999"/>
          <w:sz w:val="20"/>
          <w:szCs w:val="20"/>
        </w:rPr>
        <w:t>Outros créditos a receber</w:t>
      </w:r>
      <w:r w:rsidR="007D09F3" w:rsidRPr="00533035">
        <w:rPr>
          <w:rFonts w:ascii="Arial" w:eastAsia="Arial Unicode MS" w:hAnsi="Arial" w:cs="Arial"/>
          <w:color w:val="009999"/>
          <w:sz w:val="20"/>
          <w:szCs w:val="20"/>
        </w:rPr>
        <w:t xml:space="preserve"> </w:t>
      </w:r>
      <w:r w:rsidRPr="00533035">
        <w:rPr>
          <w:rFonts w:ascii="Arial" w:eastAsia="Arial Unicode MS" w:hAnsi="Arial" w:cs="Arial"/>
          <w:color w:val="009999"/>
          <w:sz w:val="20"/>
          <w:szCs w:val="20"/>
        </w:rPr>
        <w:t>a curto prazo.</w:t>
      </w:r>
    </w:p>
    <w:p w14:paraId="3F75366E" w14:textId="0A200B5C" w:rsidR="00CF4CC9" w:rsidRDefault="007D09F3" w:rsidP="007D09F3">
      <w:pPr>
        <w:spacing w:after="40"/>
        <w:rPr>
          <w:rFonts w:ascii="Arial" w:eastAsia="Arial Unicode MS" w:hAnsi="Arial" w:cs="Arial"/>
          <w:noProof/>
          <w:sz w:val="20"/>
          <w:szCs w:val="20"/>
        </w:rPr>
      </w:pPr>
      <w:r w:rsidRPr="00533035">
        <w:rPr>
          <w:rFonts w:ascii="Arial" w:eastAsia="Arial Unicode MS" w:hAnsi="Arial" w:cs="Arial"/>
          <w:sz w:val="20"/>
          <w:szCs w:val="20"/>
        </w:rPr>
        <w:t>Percebe-se que ocorr</w:t>
      </w:r>
      <w:r w:rsidR="007D0BBE">
        <w:rPr>
          <w:rFonts w:ascii="Arial" w:eastAsia="Arial Unicode MS" w:hAnsi="Arial" w:cs="Arial"/>
          <w:sz w:val="20"/>
          <w:szCs w:val="20"/>
        </w:rPr>
        <w:t>eu um</w:t>
      </w:r>
      <w:r w:rsidR="00DA343E">
        <w:rPr>
          <w:rFonts w:ascii="Arial" w:eastAsia="Arial Unicode MS" w:hAnsi="Arial" w:cs="Arial"/>
          <w:sz w:val="20"/>
          <w:szCs w:val="20"/>
        </w:rPr>
        <w:t xml:space="preserve">a redução </w:t>
      </w:r>
      <w:r w:rsidR="007D0BBE">
        <w:rPr>
          <w:rFonts w:ascii="Arial" w:eastAsia="Arial Unicode MS" w:hAnsi="Arial" w:cs="Arial"/>
          <w:sz w:val="20"/>
          <w:szCs w:val="20"/>
        </w:rPr>
        <w:t xml:space="preserve">de </w:t>
      </w:r>
      <w:r w:rsidR="00DD50B6">
        <w:rPr>
          <w:rFonts w:ascii="Arial" w:eastAsia="Arial Unicode MS" w:hAnsi="Arial" w:cs="Arial"/>
          <w:sz w:val="20"/>
          <w:szCs w:val="20"/>
        </w:rPr>
        <w:t>6</w:t>
      </w:r>
      <w:r w:rsidR="00CF4CC9">
        <w:rPr>
          <w:rFonts w:ascii="Arial" w:eastAsia="Arial Unicode MS" w:hAnsi="Arial" w:cs="Arial"/>
          <w:sz w:val="20"/>
          <w:szCs w:val="20"/>
        </w:rPr>
        <w:t>5</w:t>
      </w:r>
      <w:r w:rsidR="00F03096">
        <w:rPr>
          <w:rFonts w:ascii="Arial" w:eastAsia="Arial Unicode MS" w:hAnsi="Arial" w:cs="Arial"/>
          <w:sz w:val="20"/>
          <w:szCs w:val="20"/>
        </w:rPr>
        <w:t>%</w:t>
      </w:r>
      <w:r w:rsidR="007D0BBE">
        <w:rPr>
          <w:rFonts w:ascii="Arial" w:eastAsia="Arial Unicode MS" w:hAnsi="Arial" w:cs="Arial"/>
          <w:sz w:val="20"/>
          <w:szCs w:val="20"/>
        </w:rPr>
        <w:t xml:space="preserve"> em 20</w:t>
      </w:r>
      <w:r w:rsidR="00DA343E">
        <w:rPr>
          <w:rFonts w:ascii="Arial" w:eastAsia="Arial Unicode MS" w:hAnsi="Arial" w:cs="Arial"/>
          <w:sz w:val="20"/>
          <w:szCs w:val="20"/>
        </w:rPr>
        <w:t>20</w:t>
      </w:r>
      <w:r w:rsidR="007D0BBE">
        <w:rPr>
          <w:rFonts w:ascii="Arial" w:eastAsia="Arial Unicode MS" w:hAnsi="Arial" w:cs="Arial"/>
          <w:sz w:val="20"/>
          <w:szCs w:val="20"/>
        </w:rPr>
        <w:t xml:space="preserve"> dos</w:t>
      </w:r>
      <w:r w:rsidRPr="00533035">
        <w:rPr>
          <w:rFonts w:ascii="Arial" w:eastAsia="Arial Unicode MS" w:hAnsi="Arial" w:cs="Arial"/>
          <w:sz w:val="20"/>
          <w:szCs w:val="20"/>
        </w:rPr>
        <w:t xml:space="preserve"> Adiantamentos Concedidos e</w:t>
      </w:r>
      <w:r w:rsidR="001F3950">
        <w:rPr>
          <w:rFonts w:ascii="Arial" w:eastAsia="Arial Unicode MS" w:hAnsi="Arial" w:cs="Arial"/>
          <w:sz w:val="20"/>
          <w:szCs w:val="20"/>
        </w:rPr>
        <w:t xml:space="preserve"> </w:t>
      </w:r>
      <w:r w:rsidR="00DA343E">
        <w:rPr>
          <w:rFonts w:ascii="Arial" w:eastAsia="Arial Unicode MS" w:hAnsi="Arial" w:cs="Arial"/>
          <w:sz w:val="20"/>
          <w:szCs w:val="20"/>
        </w:rPr>
        <w:t xml:space="preserve">o registro de outros Créditos a Receber </w:t>
      </w:r>
      <w:r w:rsidR="00CF4CC9">
        <w:rPr>
          <w:rFonts w:ascii="Arial" w:eastAsia="Arial Unicode MS" w:hAnsi="Arial" w:cs="Arial"/>
          <w:sz w:val="20"/>
          <w:szCs w:val="20"/>
        </w:rPr>
        <w:t>decorrentes da conciliação de adiantamentos de décimo terceiro salário e férias pela baixa dos respectivos adiantamentos do exercício vigente, conforme orientação da Setorial Contábil do MEC.</w:t>
      </w:r>
      <w:r w:rsidR="00DA343E" w:rsidRPr="00DA343E">
        <w:rPr>
          <w:rFonts w:ascii="Arial" w:eastAsia="Arial Unicode MS" w:hAnsi="Arial" w:cs="Arial"/>
          <w:noProof/>
          <w:sz w:val="20"/>
          <w:szCs w:val="20"/>
        </w:rPr>
        <w:t xml:space="preserve"> </w:t>
      </w:r>
    </w:p>
    <w:p w14:paraId="4E8652A9" w14:textId="40E22A57" w:rsidR="00DD50B6" w:rsidRDefault="00DD50B6" w:rsidP="007D09F3">
      <w:pPr>
        <w:spacing w:after="40"/>
        <w:rPr>
          <w:rFonts w:ascii="Arial" w:eastAsia="Arial Unicode MS" w:hAnsi="Arial" w:cs="Arial"/>
          <w:noProof/>
          <w:sz w:val="20"/>
          <w:szCs w:val="20"/>
        </w:rPr>
      </w:pPr>
      <w:r w:rsidRPr="00DD50B6">
        <w:rPr>
          <w:rFonts w:ascii="Arial" w:eastAsia="Arial Unicode MS" w:hAnsi="Arial" w:cs="Arial"/>
          <w:noProof/>
          <w:sz w:val="20"/>
          <w:szCs w:val="20"/>
        </w:rPr>
        <w:drawing>
          <wp:inline distT="0" distB="0" distL="0" distR="0" wp14:anchorId="6A7B239B" wp14:editId="1D96E529">
            <wp:extent cx="4864735" cy="149225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4735" cy="1492250"/>
                    </a:xfrm>
                    <a:prstGeom prst="rect">
                      <a:avLst/>
                    </a:prstGeom>
                    <a:noFill/>
                    <a:ln>
                      <a:noFill/>
                    </a:ln>
                  </pic:spPr>
                </pic:pic>
              </a:graphicData>
            </a:graphic>
          </wp:inline>
        </w:drawing>
      </w:r>
    </w:p>
    <w:p w14:paraId="3FB3D622" w14:textId="078772F0" w:rsidR="00AA7EC7" w:rsidRPr="00533035" w:rsidRDefault="00AA7EC7" w:rsidP="0034064D">
      <w:pPr>
        <w:spacing w:before="240"/>
        <w:rPr>
          <w:rFonts w:ascii="Arial" w:eastAsia="Arial Unicode MS" w:hAnsi="Arial" w:cs="Arial"/>
          <w:b/>
          <w:sz w:val="20"/>
          <w:szCs w:val="20"/>
        </w:rPr>
      </w:pPr>
      <w:r w:rsidRPr="00533035">
        <w:rPr>
          <w:rFonts w:ascii="Arial" w:eastAsia="Arial Unicode MS" w:hAnsi="Arial" w:cs="Arial"/>
          <w:b/>
          <w:sz w:val="20"/>
          <w:szCs w:val="20"/>
        </w:rPr>
        <w:t>Clientes</w:t>
      </w:r>
    </w:p>
    <w:p w14:paraId="712AA09A" w14:textId="57FE32A6" w:rsidR="00AA7EC7" w:rsidRPr="00533035" w:rsidRDefault="007D0BBE" w:rsidP="007D09F3">
      <w:pPr>
        <w:spacing w:after="40"/>
        <w:rPr>
          <w:rFonts w:ascii="Arial" w:eastAsia="Arial Unicode MS" w:hAnsi="Arial" w:cs="Arial"/>
          <w:sz w:val="20"/>
          <w:szCs w:val="20"/>
        </w:rPr>
      </w:pPr>
      <w:r>
        <w:rPr>
          <w:rFonts w:ascii="Arial" w:eastAsia="Arial Unicode MS" w:hAnsi="Arial" w:cs="Arial"/>
          <w:sz w:val="20"/>
          <w:szCs w:val="20"/>
        </w:rPr>
        <w:t>S</w:t>
      </w:r>
      <w:r w:rsidR="00AA7EC7" w:rsidRPr="00533035">
        <w:rPr>
          <w:rFonts w:ascii="Arial" w:eastAsia="Arial Unicode MS" w:hAnsi="Arial" w:cs="Arial"/>
          <w:sz w:val="20"/>
          <w:szCs w:val="20"/>
        </w:rPr>
        <w:t xml:space="preserve">ão </w:t>
      </w:r>
      <w:r>
        <w:rPr>
          <w:rFonts w:ascii="Arial" w:eastAsia="Arial Unicode MS" w:hAnsi="Arial" w:cs="Arial"/>
          <w:sz w:val="20"/>
          <w:szCs w:val="20"/>
        </w:rPr>
        <w:t>f</w:t>
      </w:r>
      <w:r w:rsidR="00AA7EC7" w:rsidRPr="00533035">
        <w:rPr>
          <w:rFonts w:ascii="Arial" w:eastAsia="Arial Unicode MS" w:hAnsi="Arial" w:cs="Arial"/>
          <w:sz w:val="20"/>
          <w:szCs w:val="20"/>
        </w:rPr>
        <w:t xml:space="preserve">aturas de vendas a prazo realizadas pelo Campus Bento Gonçalves, anteriores a 2011 e 2012, cujo respectivo pagamento não foi realizado até </w:t>
      </w:r>
      <w:r w:rsidR="0026165C">
        <w:rPr>
          <w:rFonts w:ascii="Arial" w:eastAsia="Arial Unicode MS" w:hAnsi="Arial" w:cs="Arial"/>
          <w:sz w:val="20"/>
          <w:szCs w:val="20"/>
        </w:rPr>
        <w:t>3</w:t>
      </w:r>
      <w:r w:rsidR="007961E5">
        <w:rPr>
          <w:rFonts w:ascii="Arial" w:eastAsia="Arial Unicode MS" w:hAnsi="Arial" w:cs="Arial"/>
          <w:sz w:val="20"/>
          <w:szCs w:val="20"/>
        </w:rPr>
        <w:t>0/0</w:t>
      </w:r>
      <w:r w:rsidR="00F10971">
        <w:rPr>
          <w:rFonts w:ascii="Arial" w:eastAsia="Arial Unicode MS" w:hAnsi="Arial" w:cs="Arial"/>
          <w:sz w:val="20"/>
          <w:szCs w:val="20"/>
        </w:rPr>
        <w:t>9</w:t>
      </w:r>
      <w:r w:rsidR="007961E5">
        <w:rPr>
          <w:rFonts w:ascii="Arial" w:eastAsia="Arial Unicode MS" w:hAnsi="Arial" w:cs="Arial"/>
          <w:sz w:val="20"/>
          <w:szCs w:val="20"/>
        </w:rPr>
        <w:t>/</w:t>
      </w:r>
      <w:r w:rsidR="00291467">
        <w:rPr>
          <w:rFonts w:ascii="Arial" w:eastAsia="Arial Unicode MS" w:hAnsi="Arial" w:cs="Arial"/>
          <w:sz w:val="20"/>
          <w:szCs w:val="20"/>
        </w:rPr>
        <w:t>2020</w:t>
      </w:r>
      <w:r w:rsidR="00AA7EC7" w:rsidRPr="00533035">
        <w:rPr>
          <w:rFonts w:ascii="Arial" w:eastAsia="Arial Unicode MS" w:hAnsi="Arial" w:cs="Arial"/>
          <w:sz w:val="20"/>
          <w:szCs w:val="20"/>
        </w:rPr>
        <w:t>. Após 2012, não foi mais permitida a venda a prazo e a entrega das mercadorias acontece mediante apresentação do comprovante de pagamento.</w:t>
      </w:r>
    </w:p>
    <w:p w14:paraId="0B603460" w14:textId="77777777" w:rsidR="00AA7EC7" w:rsidRPr="00533035" w:rsidRDefault="00AA7EC7" w:rsidP="0034064D">
      <w:pPr>
        <w:spacing w:before="240"/>
        <w:rPr>
          <w:rFonts w:ascii="Arial" w:eastAsia="Arial Unicode MS" w:hAnsi="Arial" w:cs="Arial"/>
          <w:b/>
          <w:sz w:val="20"/>
          <w:szCs w:val="20"/>
        </w:rPr>
      </w:pPr>
      <w:r w:rsidRPr="00533035">
        <w:rPr>
          <w:rFonts w:ascii="Arial" w:eastAsia="Arial Unicode MS" w:hAnsi="Arial" w:cs="Arial"/>
          <w:b/>
          <w:sz w:val="20"/>
          <w:szCs w:val="20"/>
        </w:rPr>
        <w:t>Adiantamentos Concedidos</w:t>
      </w:r>
    </w:p>
    <w:p w14:paraId="374BB4A1" w14:textId="629C25BA" w:rsidR="00C90D2B" w:rsidRDefault="0005486A" w:rsidP="007D09F3">
      <w:pPr>
        <w:spacing w:after="40"/>
        <w:rPr>
          <w:rFonts w:ascii="Arial" w:eastAsia="Arial Unicode MS" w:hAnsi="Arial" w:cs="Arial"/>
          <w:sz w:val="20"/>
          <w:szCs w:val="20"/>
        </w:rPr>
      </w:pPr>
      <w:r w:rsidRPr="00533035">
        <w:rPr>
          <w:rFonts w:ascii="Arial" w:eastAsia="Arial Unicode MS" w:hAnsi="Arial" w:cs="Arial"/>
          <w:sz w:val="20"/>
          <w:szCs w:val="20"/>
        </w:rPr>
        <w:t>São adiantamentos concedidos: adiantamento de 13º salário, férias, salários e ordenados e suprimento de fundos, este último, aplicável aos casos de despesas expressamente definidos em lei, que consiste na entrega de numerário a servidor para o fim de realizar despesas que pela excepcionalidade, a critério do Ordenador de Despesas, não possam subordinar-se ao processo normal de aplicação, nos casos e valor</w:t>
      </w:r>
      <w:r w:rsidR="00C90D2B">
        <w:rPr>
          <w:rFonts w:ascii="Arial" w:eastAsia="Arial Unicode MS" w:hAnsi="Arial" w:cs="Arial"/>
          <w:sz w:val="20"/>
          <w:szCs w:val="20"/>
        </w:rPr>
        <w:t>es limites definidos em Lei. Os adiantamentos de 13º salário e férias correspondem ao excedente das provisões acumuladas do duodécimo da folha de pagamento para as</w:t>
      </w:r>
      <w:r w:rsidR="00160E7A">
        <w:rPr>
          <w:rFonts w:ascii="Arial" w:eastAsia="Arial Unicode MS" w:hAnsi="Arial" w:cs="Arial"/>
          <w:sz w:val="20"/>
          <w:szCs w:val="20"/>
        </w:rPr>
        <w:t xml:space="preserve"> respectivas rubricas</w:t>
      </w:r>
      <w:r w:rsidR="00C90D2B">
        <w:rPr>
          <w:rFonts w:ascii="Arial" w:eastAsia="Arial Unicode MS" w:hAnsi="Arial" w:cs="Arial"/>
          <w:sz w:val="20"/>
          <w:szCs w:val="20"/>
        </w:rPr>
        <w:t xml:space="preserve"> a pagar.</w:t>
      </w:r>
      <w:r w:rsidR="00160E7A" w:rsidRPr="00160E7A">
        <w:t xml:space="preserve"> </w:t>
      </w:r>
      <w:r w:rsidR="00160E7A" w:rsidRPr="00160E7A">
        <w:rPr>
          <w:rFonts w:ascii="Arial" w:eastAsia="Arial Unicode MS" w:hAnsi="Arial" w:cs="Arial"/>
          <w:sz w:val="20"/>
          <w:szCs w:val="20"/>
        </w:rPr>
        <w:t>Além disso, o servidor poderá também solicitar um adiantamento de salário, cujo valor dependerá da quantidade de dias de cada parcela, podendo corresponder até a 70% da remuneração. Porém, na folha de pagamento do mês subsequente ao de utilização das férias, esse valor será devolvido integralmente pelo servidor.</w:t>
      </w:r>
    </w:p>
    <w:p w14:paraId="04C6073E" w14:textId="046D28C0" w:rsidR="00AA7EC7" w:rsidRDefault="00E71A1F" w:rsidP="007D09F3">
      <w:pPr>
        <w:spacing w:after="40"/>
        <w:rPr>
          <w:rFonts w:ascii="Arial" w:eastAsia="Arial Unicode MS" w:hAnsi="Arial" w:cs="Arial"/>
          <w:sz w:val="20"/>
          <w:szCs w:val="20"/>
        </w:rPr>
      </w:pPr>
      <w:r w:rsidRPr="00533035">
        <w:rPr>
          <w:rFonts w:ascii="Arial" w:eastAsia="Arial Unicode MS" w:hAnsi="Arial" w:cs="Arial"/>
          <w:sz w:val="20"/>
          <w:szCs w:val="20"/>
        </w:rPr>
        <w:t>A t</w:t>
      </w:r>
      <w:r w:rsidR="0005486A" w:rsidRPr="00533035">
        <w:rPr>
          <w:rFonts w:ascii="Arial" w:eastAsia="Arial Unicode MS" w:hAnsi="Arial" w:cs="Arial"/>
          <w:sz w:val="20"/>
          <w:szCs w:val="20"/>
        </w:rPr>
        <w:t xml:space="preserve">abela a seguir representa a composição dos Adiantamentos Concedidos no </w:t>
      </w:r>
      <w:r w:rsidR="00F10971">
        <w:rPr>
          <w:rFonts w:ascii="Arial" w:eastAsia="Arial Unicode MS" w:hAnsi="Arial" w:cs="Arial"/>
          <w:sz w:val="20"/>
          <w:szCs w:val="20"/>
        </w:rPr>
        <w:t>3</w:t>
      </w:r>
      <w:r w:rsidR="0005486A" w:rsidRPr="00533035">
        <w:rPr>
          <w:rFonts w:ascii="Arial" w:eastAsia="Arial Unicode MS" w:hAnsi="Arial" w:cs="Arial"/>
          <w:sz w:val="20"/>
          <w:szCs w:val="20"/>
        </w:rPr>
        <w:t>º trimestre.</w:t>
      </w:r>
    </w:p>
    <w:p w14:paraId="6AC11049" w14:textId="51B7C779" w:rsidR="00F10971" w:rsidRDefault="00F10971" w:rsidP="007D09F3">
      <w:pPr>
        <w:spacing w:after="40"/>
        <w:rPr>
          <w:rFonts w:ascii="Arial" w:eastAsia="Arial Unicode MS" w:hAnsi="Arial" w:cs="Arial"/>
          <w:sz w:val="20"/>
          <w:szCs w:val="20"/>
        </w:rPr>
      </w:pPr>
      <w:r w:rsidRPr="00F10971">
        <w:rPr>
          <w:rFonts w:ascii="Arial" w:eastAsia="Arial Unicode MS" w:hAnsi="Arial" w:cs="Arial"/>
          <w:noProof/>
          <w:sz w:val="20"/>
          <w:szCs w:val="20"/>
        </w:rPr>
        <w:lastRenderedPageBreak/>
        <w:drawing>
          <wp:inline distT="0" distB="0" distL="0" distR="0" wp14:anchorId="57EDBE37" wp14:editId="71A7E98D">
            <wp:extent cx="5318125" cy="229679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18125" cy="2296795"/>
                    </a:xfrm>
                    <a:prstGeom prst="rect">
                      <a:avLst/>
                    </a:prstGeom>
                    <a:noFill/>
                    <a:ln>
                      <a:noFill/>
                    </a:ln>
                  </pic:spPr>
                </pic:pic>
              </a:graphicData>
            </a:graphic>
          </wp:inline>
        </w:drawing>
      </w:r>
    </w:p>
    <w:p w14:paraId="1CD988D5" w14:textId="018C794D" w:rsidR="0026165C" w:rsidRDefault="0026165C" w:rsidP="007D09F3">
      <w:pPr>
        <w:spacing w:after="40"/>
        <w:rPr>
          <w:rFonts w:ascii="Arial" w:eastAsia="Arial Unicode MS" w:hAnsi="Arial" w:cs="Arial"/>
          <w:sz w:val="20"/>
          <w:szCs w:val="20"/>
        </w:rPr>
      </w:pPr>
    </w:p>
    <w:p w14:paraId="618FB4BB" w14:textId="60CD7BCB" w:rsidR="007C45C4" w:rsidRPr="00533035" w:rsidRDefault="007C45C4" w:rsidP="007D09F3">
      <w:pPr>
        <w:spacing w:after="40"/>
        <w:rPr>
          <w:rFonts w:ascii="Arial" w:eastAsia="Arial Unicode MS" w:hAnsi="Arial" w:cs="Arial"/>
          <w:sz w:val="20"/>
          <w:szCs w:val="20"/>
        </w:rPr>
      </w:pPr>
      <w:r w:rsidRPr="00533035">
        <w:rPr>
          <w:rFonts w:ascii="Arial" w:eastAsia="Arial Unicode MS" w:hAnsi="Arial" w:cs="Arial"/>
          <w:sz w:val="20"/>
          <w:szCs w:val="20"/>
        </w:rPr>
        <w:t xml:space="preserve">Conforme evidenciado na tabela acima, os </w:t>
      </w:r>
      <w:r w:rsidR="0026165C">
        <w:rPr>
          <w:rFonts w:ascii="Arial" w:eastAsia="Arial Unicode MS" w:hAnsi="Arial" w:cs="Arial"/>
          <w:sz w:val="20"/>
          <w:szCs w:val="20"/>
        </w:rPr>
        <w:t xml:space="preserve">Adiantamentos de Férias </w:t>
      </w:r>
      <w:r w:rsidRPr="00533035">
        <w:rPr>
          <w:rFonts w:ascii="Arial" w:eastAsia="Arial Unicode MS" w:hAnsi="Arial" w:cs="Arial"/>
          <w:sz w:val="20"/>
          <w:szCs w:val="20"/>
        </w:rPr>
        <w:t xml:space="preserve">representam </w:t>
      </w:r>
      <w:r w:rsidR="00A81412">
        <w:rPr>
          <w:rFonts w:ascii="Arial" w:eastAsia="Arial Unicode MS" w:hAnsi="Arial" w:cs="Arial"/>
          <w:sz w:val="20"/>
          <w:szCs w:val="20"/>
        </w:rPr>
        <w:t>8</w:t>
      </w:r>
      <w:r w:rsidR="00F10971">
        <w:rPr>
          <w:rFonts w:ascii="Arial" w:eastAsia="Arial Unicode MS" w:hAnsi="Arial" w:cs="Arial"/>
          <w:sz w:val="20"/>
          <w:szCs w:val="20"/>
        </w:rPr>
        <w:t>0</w:t>
      </w:r>
      <w:r w:rsidRPr="00533035">
        <w:rPr>
          <w:rFonts w:ascii="Arial" w:eastAsia="Arial Unicode MS" w:hAnsi="Arial" w:cs="Arial"/>
          <w:sz w:val="20"/>
          <w:szCs w:val="20"/>
        </w:rPr>
        <w:t>% dos adiantamentos concedidos em 20</w:t>
      </w:r>
      <w:r w:rsidR="00E22101">
        <w:rPr>
          <w:rFonts w:ascii="Arial" w:eastAsia="Arial Unicode MS" w:hAnsi="Arial" w:cs="Arial"/>
          <w:sz w:val="20"/>
          <w:szCs w:val="20"/>
        </w:rPr>
        <w:t>20</w:t>
      </w:r>
      <w:r w:rsidRPr="00533035">
        <w:rPr>
          <w:rFonts w:ascii="Arial" w:eastAsia="Arial Unicode MS" w:hAnsi="Arial" w:cs="Arial"/>
          <w:sz w:val="20"/>
          <w:szCs w:val="20"/>
        </w:rPr>
        <w:t>.</w:t>
      </w:r>
    </w:p>
    <w:p w14:paraId="5E655584" w14:textId="77777777" w:rsidR="00FF0595" w:rsidRDefault="00FF0595" w:rsidP="007D09F3">
      <w:pPr>
        <w:spacing w:after="40"/>
        <w:rPr>
          <w:rFonts w:ascii="Arial" w:eastAsia="Arial Unicode MS" w:hAnsi="Arial" w:cs="Arial"/>
          <w:sz w:val="20"/>
          <w:szCs w:val="20"/>
        </w:rPr>
      </w:pPr>
    </w:p>
    <w:p w14:paraId="545FC63B" w14:textId="7E8E8230" w:rsidR="0034064D" w:rsidRPr="0034064D" w:rsidRDefault="004E66F7" w:rsidP="0034064D">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3</w:t>
      </w:r>
      <w:r w:rsidR="0034064D" w:rsidRPr="0034064D">
        <w:rPr>
          <w:rFonts w:ascii="Arial" w:eastAsia="Arial Unicode MS" w:hAnsi="Arial" w:cs="Arial"/>
          <w:b/>
          <w:color w:val="C45911" w:themeColor="accent2" w:themeShade="BF"/>
          <w:sz w:val="24"/>
          <w:szCs w:val="24"/>
        </w:rPr>
        <w:t xml:space="preserve"> – Estoques</w:t>
      </w:r>
    </w:p>
    <w:p w14:paraId="7944B599" w14:textId="668F9387" w:rsidR="0034064D" w:rsidRDefault="00127894" w:rsidP="0034064D">
      <w:pPr>
        <w:spacing w:after="40"/>
        <w:rPr>
          <w:rFonts w:ascii="Arial" w:eastAsia="Arial Unicode MS" w:hAnsi="Arial" w:cs="Arial"/>
          <w:sz w:val="20"/>
          <w:szCs w:val="20"/>
        </w:rPr>
      </w:pPr>
      <w:r>
        <w:rPr>
          <w:rFonts w:ascii="Arial" w:eastAsia="Arial Unicode MS" w:hAnsi="Arial" w:cs="Arial"/>
          <w:sz w:val="20"/>
          <w:szCs w:val="20"/>
        </w:rPr>
        <w:t xml:space="preserve">Os estoques no IFRS tiveram </w:t>
      </w:r>
      <w:r w:rsidR="00874534">
        <w:rPr>
          <w:rFonts w:ascii="Arial" w:eastAsia="Arial Unicode MS" w:hAnsi="Arial" w:cs="Arial"/>
          <w:sz w:val="20"/>
          <w:szCs w:val="20"/>
        </w:rPr>
        <w:t xml:space="preserve">aumento de </w:t>
      </w:r>
      <w:r w:rsidR="00215F93">
        <w:rPr>
          <w:rFonts w:ascii="Arial" w:eastAsia="Arial Unicode MS" w:hAnsi="Arial" w:cs="Arial"/>
          <w:sz w:val="20"/>
          <w:szCs w:val="20"/>
        </w:rPr>
        <w:t>2</w:t>
      </w:r>
      <w:r>
        <w:rPr>
          <w:rFonts w:ascii="Arial" w:eastAsia="Arial Unicode MS" w:hAnsi="Arial" w:cs="Arial"/>
          <w:sz w:val="20"/>
          <w:szCs w:val="20"/>
        </w:rPr>
        <w:t>% em 20</w:t>
      </w:r>
      <w:r w:rsidR="003265F3">
        <w:rPr>
          <w:rFonts w:ascii="Arial" w:eastAsia="Arial Unicode MS" w:hAnsi="Arial" w:cs="Arial"/>
          <w:sz w:val="20"/>
          <w:szCs w:val="20"/>
        </w:rPr>
        <w:t>20</w:t>
      </w:r>
      <w:r>
        <w:rPr>
          <w:rFonts w:ascii="Arial" w:eastAsia="Arial Unicode MS" w:hAnsi="Arial" w:cs="Arial"/>
          <w:sz w:val="20"/>
          <w:szCs w:val="20"/>
        </w:rPr>
        <w:t xml:space="preserve"> e</w:t>
      </w:r>
      <w:r w:rsidR="0034064D" w:rsidRPr="0034064D">
        <w:rPr>
          <w:rFonts w:ascii="Arial" w:eastAsia="Arial Unicode MS" w:hAnsi="Arial" w:cs="Arial"/>
          <w:sz w:val="20"/>
          <w:szCs w:val="20"/>
        </w:rPr>
        <w:t xml:space="preserve"> estã</w:t>
      </w:r>
      <w:r w:rsidR="00A81817">
        <w:rPr>
          <w:rFonts w:ascii="Arial" w:eastAsia="Arial Unicode MS" w:hAnsi="Arial" w:cs="Arial"/>
          <w:sz w:val="20"/>
          <w:szCs w:val="20"/>
        </w:rPr>
        <w:t>o distribuídos conforme seguem:</w:t>
      </w:r>
    </w:p>
    <w:p w14:paraId="70546CBC" w14:textId="41198996" w:rsidR="00EF6E15" w:rsidRDefault="00EF6E15" w:rsidP="00EF6E15">
      <w:pPr>
        <w:pStyle w:val="PargrafodaLista"/>
        <w:numPr>
          <w:ilvl w:val="0"/>
          <w:numId w:val="9"/>
        </w:numPr>
        <w:spacing w:after="40"/>
        <w:rPr>
          <w:rFonts w:ascii="Arial" w:eastAsia="Arial Unicode MS" w:hAnsi="Arial" w:cs="Arial"/>
          <w:sz w:val="20"/>
          <w:szCs w:val="20"/>
        </w:rPr>
      </w:pPr>
      <w:r>
        <w:rPr>
          <w:rFonts w:ascii="Arial" w:eastAsia="Arial Unicode MS" w:hAnsi="Arial" w:cs="Arial"/>
          <w:sz w:val="20"/>
          <w:szCs w:val="20"/>
        </w:rPr>
        <w:t>Almoxarifado</w:t>
      </w:r>
    </w:p>
    <w:p w14:paraId="71DC5397" w14:textId="0F8F4825" w:rsidR="00EF6E15" w:rsidRDefault="00EF6E15" w:rsidP="00EF6E15">
      <w:pPr>
        <w:spacing w:after="40"/>
        <w:rPr>
          <w:rFonts w:ascii="Arial" w:eastAsia="Arial Unicode MS" w:hAnsi="Arial" w:cs="Arial"/>
          <w:sz w:val="20"/>
          <w:szCs w:val="20"/>
        </w:rPr>
      </w:pPr>
      <w:r w:rsidRPr="00E40488">
        <w:rPr>
          <w:rFonts w:ascii="Arial" w:eastAsia="Arial Unicode MS" w:hAnsi="Arial" w:cs="Arial"/>
          <w:sz w:val="20"/>
          <w:szCs w:val="20"/>
        </w:rPr>
        <w:t xml:space="preserve">O IFRS armazena diversos materiais de consumo, gêneros alimentícios, medicamentos e materiais hospitalares, materiais de expediente e materiais em elaboração, em Almoxarifado, no total de </w:t>
      </w:r>
      <w:r w:rsidR="00874534">
        <w:rPr>
          <w:rFonts w:ascii="Arial" w:eastAsia="Arial Unicode MS" w:hAnsi="Arial" w:cs="Arial"/>
          <w:sz w:val="20"/>
          <w:szCs w:val="20"/>
        </w:rPr>
        <w:t>98</w:t>
      </w:r>
      <w:r w:rsidRPr="00E40488">
        <w:rPr>
          <w:rFonts w:ascii="Arial" w:eastAsia="Arial Unicode MS" w:hAnsi="Arial" w:cs="Arial"/>
          <w:sz w:val="20"/>
          <w:szCs w:val="20"/>
        </w:rPr>
        <w:t>% do total dos Estoques.</w:t>
      </w:r>
    </w:p>
    <w:p w14:paraId="5BBACD6A" w14:textId="1A1D7014" w:rsidR="00215F93" w:rsidRPr="00215F93" w:rsidRDefault="00215F93" w:rsidP="00215F93">
      <w:pPr>
        <w:pStyle w:val="PargrafodaLista"/>
        <w:numPr>
          <w:ilvl w:val="0"/>
          <w:numId w:val="9"/>
        </w:numPr>
        <w:spacing w:after="40"/>
        <w:rPr>
          <w:rFonts w:ascii="Arial" w:eastAsia="Arial Unicode MS" w:hAnsi="Arial" w:cs="Arial"/>
          <w:sz w:val="20"/>
          <w:szCs w:val="20"/>
        </w:rPr>
      </w:pPr>
      <w:r w:rsidRPr="00215F93">
        <w:rPr>
          <w:rFonts w:ascii="Arial" w:eastAsia="Arial Unicode MS" w:hAnsi="Arial" w:cs="Arial"/>
          <w:sz w:val="20"/>
          <w:szCs w:val="20"/>
        </w:rPr>
        <w:t>Mercadorias para doação</w:t>
      </w:r>
    </w:p>
    <w:p w14:paraId="28674B4D" w14:textId="77777777" w:rsidR="00215F93" w:rsidRPr="008D4672" w:rsidRDefault="00215F93" w:rsidP="00215F93">
      <w:pPr>
        <w:spacing w:after="40"/>
        <w:rPr>
          <w:rFonts w:ascii="Arial" w:eastAsia="Arial Unicode MS" w:hAnsi="Arial" w:cs="Arial"/>
          <w:sz w:val="20"/>
          <w:szCs w:val="20"/>
        </w:rPr>
      </w:pPr>
      <w:r w:rsidRPr="0034064D">
        <w:rPr>
          <w:rFonts w:ascii="Arial" w:eastAsia="Arial Unicode MS" w:hAnsi="Arial" w:cs="Arial"/>
          <w:sz w:val="20"/>
          <w:szCs w:val="20"/>
        </w:rPr>
        <w:t>Saldo refere-se à estoque nas diversas Unidades do Órgão de gêneros alimentícios para merenda escolar destinada aos alunos.</w:t>
      </w:r>
    </w:p>
    <w:p w14:paraId="06CF59F5" w14:textId="12A45F3D" w:rsidR="00215F93" w:rsidRDefault="00051174" w:rsidP="00EF6E15">
      <w:pPr>
        <w:spacing w:after="40"/>
        <w:rPr>
          <w:rFonts w:ascii="Arial" w:eastAsia="Arial Unicode MS" w:hAnsi="Arial" w:cs="Arial"/>
          <w:sz w:val="20"/>
          <w:szCs w:val="20"/>
        </w:rPr>
      </w:pPr>
      <w:r w:rsidRPr="00051174">
        <w:rPr>
          <w:rFonts w:ascii="Arial" w:eastAsia="Arial Unicode MS" w:hAnsi="Arial" w:cs="Arial"/>
          <w:noProof/>
          <w:sz w:val="20"/>
          <w:szCs w:val="20"/>
        </w:rPr>
        <w:drawing>
          <wp:inline distT="0" distB="0" distL="0" distR="0" wp14:anchorId="7637964B" wp14:editId="4A2543BC">
            <wp:extent cx="5318125" cy="2070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18125" cy="2070100"/>
                    </a:xfrm>
                    <a:prstGeom prst="rect">
                      <a:avLst/>
                    </a:prstGeom>
                    <a:noFill/>
                    <a:ln>
                      <a:noFill/>
                    </a:ln>
                  </pic:spPr>
                </pic:pic>
              </a:graphicData>
            </a:graphic>
          </wp:inline>
        </w:drawing>
      </w:r>
    </w:p>
    <w:p w14:paraId="460965E3" w14:textId="7F6AF776" w:rsidR="0034064D" w:rsidRPr="0034064D" w:rsidRDefault="0034064D" w:rsidP="0034064D">
      <w:pPr>
        <w:spacing w:after="40"/>
        <w:rPr>
          <w:rFonts w:ascii="Arial" w:eastAsia="Arial Unicode MS" w:hAnsi="Arial" w:cs="Arial"/>
          <w:sz w:val="20"/>
          <w:szCs w:val="20"/>
        </w:rPr>
      </w:pPr>
    </w:p>
    <w:p w14:paraId="71968423" w14:textId="72336943" w:rsidR="0034064D" w:rsidRPr="0034064D" w:rsidRDefault="004E66F7" w:rsidP="0034064D">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4</w:t>
      </w:r>
      <w:r w:rsidR="0034064D" w:rsidRPr="0034064D">
        <w:rPr>
          <w:rFonts w:ascii="Arial" w:eastAsia="Arial Unicode MS" w:hAnsi="Arial" w:cs="Arial"/>
          <w:b/>
          <w:color w:val="C45911" w:themeColor="accent2" w:themeShade="BF"/>
          <w:sz w:val="24"/>
          <w:szCs w:val="24"/>
        </w:rPr>
        <w:t xml:space="preserve"> – Variação Patrimonial Diminutiva Paga Antecipadamente</w:t>
      </w:r>
    </w:p>
    <w:p w14:paraId="72E986F7" w14:textId="719CFA55" w:rsidR="00291467" w:rsidRDefault="00AB6E1C" w:rsidP="0034064D">
      <w:pPr>
        <w:spacing w:after="40"/>
        <w:rPr>
          <w:rFonts w:ascii="Arial" w:eastAsia="Arial Unicode MS" w:hAnsi="Arial" w:cs="Arial"/>
          <w:sz w:val="20"/>
          <w:szCs w:val="20"/>
        </w:rPr>
      </w:pPr>
      <w:r>
        <w:rPr>
          <w:rFonts w:ascii="Arial" w:eastAsia="Arial Unicode MS" w:hAnsi="Arial" w:cs="Arial"/>
          <w:sz w:val="20"/>
          <w:szCs w:val="20"/>
        </w:rPr>
        <w:t>Esse grupo constitui</w:t>
      </w:r>
      <w:r w:rsidR="00611B4B">
        <w:rPr>
          <w:rFonts w:ascii="Arial" w:eastAsia="Arial Unicode MS" w:hAnsi="Arial" w:cs="Arial"/>
          <w:sz w:val="20"/>
          <w:szCs w:val="20"/>
        </w:rPr>
        <w:t xml:space="preserve"> despesas antecipadas a apropriar</w:t>
      </w:r>
      <w:r w:rsidR="00B2735E">
        <w:rPr>
          <w:rFonts w:ascii="Arial" w:eastAsia="Arial Unicode MS" w:hAnsi="Arial" w:cs="Arial"/>
          <w:sz w:val="20"/>
          <w:szCs w:val="20"/>
        </w:rPr>
        <w:t>, cujo fato gerador ainda não ocorreu, tais como:</w:t>
      </w:r>
      <w:r w:rsidR="00611B4B">
        <w:rPr>
          <w:rFonts w:ascii="Arial" w:eastAsia="Arial Unicode MS" w:hAnsi="Arial" w:cs="Arial"/>
          <w:sz w:val="20"/>
          <w:szCs w:val="20"/>
        </w:rPr>
        <w:t xml:space="preserve"> prêmios de seguros da frota de veículos, acesso a banco de dados de normas técnicas e bibliotecas virtuais</w:t>
      </w:r>
      <w:r w:rsidR="00B2735E">
        <w:rPr>
          <w:rFonts w:ascii="Arial" w:eastAsia="Arial Unicode MS" w:hAnsi="Arial" w:cs="Arial"/>
          <w:sz w:val="20"/>
          <w:szCs w:val="20"/>
        </w:rPr>
        <w:t>, assinaturas de jornais e anuidades de associações,</w:t>
      </w:r>
      <w:r w:rsidR="00B24948">
        <w:rPr>
          <w:rFonts w:ascii="Arial" w:eastAsia="Arial Unicode MS" w:hAnsi="Arial" w:cs="Arial"/>
          <w:sz w:val="20"/>
          <w:szCs w:val="20"/>
        </w:rPr>
        <w:t xml:space="preserve"> aluguéis pagos,</w:t>
      </w:r>
      <w:r w:rsidR="00B2735E">
        <w:rPr>
          <w:rFonts w:ascii="Arial" w:eastAsia="Arial Unicode MS" w:hAnsi="Arial" w:cs="Arial"/>
          <w:sz w:val="20"/>
          <w:szCs w:val="20"/>
        </w:rPr>
        <w:t xml:space="preserve"> impostos e taxas </w:t>
      </w:r>
      <w:r w:rsidR="00EF6E15">
        <w:rPr>
          <w:rFonts w:ascii="Arial" w:eastAsia="Arial Unicode MS" w:hAnsi="Arial" w:cs="Arial"/>
          <w:sz w:val="20"/>
          <w:szCs w:val="20"/>
        </w:rPr>
        <w:t xml:space="preserve">municipais e direitos autorais. </w:t>
      </w:r>
      <w:r>
        <w:rPr>
          <w:rFonts w:ascii="Arial" w:eastAsia="Arial Unicode MS" w:hAnsi="Arial" w:cs="Arial"/>
          <w:sz w:val="20"/>
          <w:szCs w:val="20"/>
        </w:rPr>
        <w:t>Conforme composiç</w:t>
      </w:r>
      <w:r w:rsidR="004E66F7">
        <w:rPr>
          <w:rFonts w:ascii="Arial" w:eastAsia="Arial Unicode MS" w:hAnsi="Arial" w:cs="Arial"/>
          <w:sz w:val="20"/>
          <w:szCs w:val="20"/>
        </w:rPr>
        <w:t>ão da figura abaixo, a despesa antecipada</w:t>
      </w:r>
      <w:r>
        <w:rPr>
          <w:rFonts w:ascii="Arial" w:eastAsia="Arial Unicode MS" w:hAnsi="Arial" w:cs="Arial"/>
          <w:sz w:val="20"/>
          <w:szCs w:val="20"/>
        </w:rPr>
        <w:t xml:space="preserve"> com </w:t>
      </w:r>
      <w:r w:rsidR="00B24948">
        <w:rPr>
          <w:rFonts w:ascii="Arial" w:eastAsia="Arial Unicode MS" w:hAnsi="Arial" w:cs="Arial"/>
          <w:sz w:val="20"/>
          <w:szCs w:val="20"/>
        </w:rPr>
        <w:t xml:space="preserve">assinaturas e anuidades </w:t>
      </w:r>
      <w:r>
        <w:rPr>
          <w:rFonts w:ascii="Arial" w:eastAsia="Arial Unicode MS" w:hAnsi="Arial" w:cs="Arial"/>
          <w:sz w:val="20"/>
          <w:szCs w:val="20"/>
        </w:rPr>
        <w:t xml:space="preserve">representou </w:t>
      </w:r>
      <w:r w:rsidR="007820A0">
        <w:rPr>
          <w:rFonts w:ascii="Arial" w:eastAsia="Arial Unicode MS" w:hAnsi="Arial" w:cs="Arial"/>
          <w:sz w:val="20"/>
          <w:szCs w:val="20"/>
        </w:rPr>
        <w:t>5</w:t>
      </w:r>
      <w:r w:rsidR="00337D88">
        <w:rPr>
          <w:rFonts w:ascii="Arial" w:eastAsia="Arial Unicode MS" w:hAnsi="Arial" w:cs="Arial"/>
          <w:sz w:val="20"/>
          <w:szCs w:val="20"/>
        </w:rPr>
        <w:t>4</w:t>
      </w:r>
      <w:r>
        <w:rPr>
          <w:rFonts w:ascii="Arial" w:eastAsia="Arial Unicode MS" w:hAnsi="Arial" w:cs="Arial"/>
          <w:sz w:val="20"/>
          <w:szCs w:val="20"/>
        </w:rPr>
        <w:t>% do total das variações patrimoniais diminutivas pagas antecipadamente</w:t>
      </w:r>
      <w:r w:rsidR="004E66F7">
        <w:rPr>
          <w:rFonts w:ascii="Arial" w:eastAsia="Arial Unicode MS" w:hAnsi="Arial" w:cs="Arial"/>
          <w:sz w:val="20"/>
          <w:szCs w:val="20"/>
        </w:rPr>
        <w:t xml:space="preserve">, totalizando R$ </w:t>
      </w:r>
      <w:r w:rsidR="007820A0">
        <w:rPr>
          <w:rFonts w:ascii="Arial" w:eastAsia="Arial Unicode MS" w:hAnsi="Arial" w:cs="Arial"/>
          <w:sz w:val="20"/>
          <w:szCs w:val="20"/>
        </w:rPr>
        <w:t>28</w:t>
      </w:r>
      <w:r w:rsidR="004E66F7">
        <w:rPr>
          <w:rFonts w:ascii="Arial" w:eastAsia="Arial Unicode MS" w:hAnsi="Arial" w:cs="Arial"/>
          <w:sz w:val="20"/>
          <w:szCs w:val="20"/>
        </w:rPr>
        <w:t xml:space="preserve"> mil</w:t>
      </w:r>
      <w:r w:rsidR="00323367">
        <w:rPr>
          <w:rFonts w:ascii="Arial" w:eastAsia="Arial Unicode MS" w:hAnsi="Arial" w:cs="Arial"/>
          <w:sz w:val="20"/>
          <w:szCs w:val="20"/>
        </w:rPr>
        <w:t xml:space="preserve"> e </w:t>
      </w:r>
      <w:r w:rsidR="00337D88">
        <w:rPr>
          <w:rFonts w:ascii="Arial" w:eastAsia="Arial Unicode MS" w:hAnsi="Arial" w:cs="Arial"/>
          <w:sz w:val="20"/>
          <w:szCs w:val="20"/>
        </w:rPr>
        <w:t xml:space="preserve">corresponde, principalmente, </w:t>
      </w:r>
      <w:r w:rsidR="00323367">
        <w:rPr>
          <w:rFonts w:ascii="Arial" w:eastAsia="Arial Unicode MS" w:hAnsi="Arial" w:cs="Arial"/>
          <w:sz w:val="20"/>
          <w:szCs w:val="20"/>
        </w:rPr>
        <w:t>a disponibilização da plataforma digital “minha biblioteca” para o IFRS.</w:t>
      </w:r>
    </w:p>
    <w:p w14:paraId="69113278" w14:textId="389DC7F0" w:rsidR="00AB6E1C" w:rsidRDefault="00AB6E1C" w:rsidP="0034064D">
      <w:pPr>
        <w:spacing w:after="40"/>
        <w:rPr>
          <w:rFonts w:ascii="Arial" w:eastAsia="Arial Unicode MS" w:hAnsi="Arial" w:cs="Arial"/>
          <w:b/>
          <w:sz w:val="20"/>
          <w:szCs w:val="20"/>
        </w:rPr>
      </w:pPr>
      <w:r w:rsidRPr="00AB6E1C">
        <w:rPr>
          <w:rFonts w:ascii="Arial" w:eastAsia="Arial Unicode MS" w:hAnsi="Arial" w:cs="Arial"/>
          <w:b/>
          <w:sz w:val="20"/>
          <w:szCs w:val="20"/>
        </w:rPr>
        <w:t>Variações Patrimoniais Diminutivas Paga</w:t>
      </w:r>
      <w:r w:rsidR="006E0B81">
        <w:rPr>
          <w:rFonts w:ascii="Arial" w:eastAsia="Arial Unicode MS" w:hAnsi="Arial" w:cs="Arial"/>
          <w:b/>
          <w:sz w:val="20"/>
          <w:szCs w:val="20"/>
        </w:rPr>
        <w:t xml:space="preserve">s Antecipadamente - composição </w:t>
      </w:r>
      <w:r w:rsidR="00E156C7">
        <w:rPr>
          <w:rFonts w:ascii="Arial" w:eastAsia="Arial Unicode MS" w:hAnsi="Arial" w:cs="Arial"/>
          <w:b/>
          <w:sz w:val="20"/>
          <w:szCs w:val="20"/>
        </w:rPr>
        <w:t>3</w:t>
      </w:r>
      <w:r w:rsidRPr="00AB6E1C">
        <w:rPr>
          <w:rFonts w:ascii="Arial" w:eastAsia="Arial Unicode MS" w:hAnsi="Arial" w:cs="Arial"/>
          <w:b/>
          <w:sz w:val="20"/>
          <w:szCs w:val="20"/>
        </w:rPr>
        <w:t>º trimestre</w:t>
      </w:r>
    </w:p>
    <w:p w14:paraId="51C60C0D" w14:textId="12AEFF7C" w:rsidR="00E156C7" w:rsidRDefault="00E156C7" w:rsidP="0034064D">
      <w:pPr>
        <w:spacing w:after="40"/>
        <w:rPr>
          <w:rFonts w:ascii="Arial" w:eastAsia="Arial Unicode MS" w:hAnsi="Arial" w:cs="Arial"/>
          <w:b/>
          <w:sz w:val="20"/>
          <w:szCs w:val="20"/>
        </w:rPr>
      </w:pPr>
      <w:r w:rsidRPr="00E156C7">
        <w:rPr>
          <w:rFonts w:ascii="Arial" w:eastAsia="Arial Unicode MS" w:hAnsi="Arial" w:cs="Arial"/>
          <w:b/>
          <w:noProof/>
          <w:sz w:val="20"/>
          <w:szCs w:val="20"/>
        </w:rPr>
        <w:lastRenderedPageBreak/>
        <w:drawing>
          <wp:inline distT="0" distB="0" distL="0" distR="0" wp14:anchorId="2E9FEC92" wp14:editId="73655D08">
            <wp:extent cx="4264660" cy="1960245"/>
            <wp:effectExtent l="0" t="0" r="254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64660" cy="1960245"/>
                    </a:xfrm>
                    <a:prstGeom prst="rect">
                      <a:avLst/>
                    </a:prstGeom>
                    <a:noFill/>
                    <a:ln>
                      <a:noFill/>
                    </a:ln>
                  </pic:spPr>
                </pic:pic>
              </a:graphicData>
            </a:graphic>
          </wp:inline>
        </w:drawing>
      </w:r>
    </w:p>
    <w:p w14:paraId="5827926C" w14:textId="01292C2E" w:rsidR="00337D88" w:rsidRDefault="00337D88" w:rsidP="0034064D">
      <w:pPr>
        <w:spacing w:after="40"/>
        <w:rPr>
          <w:rFonts w:ascii="Arial" w:eastAsia="Arial Unicode MS" w:hAnsi="Arial" w:cs="Arial"/>
          <w:b/>
          <w:sz w:val="20"/>
          <w:szCs w:val="20"/>
        </w:rPr>
      </w:pPr>
    </w:p>
    <w:p w14:paraId="6350BF49" w14:textId="1EA5DC63" w:rsidR="0034064D" w:rsidRPr="0034064D" w:rsidRDefault="00832B59" w:rsidP="0034064D">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5</w:t>
      </w:r>
      <w:r w:rsidR="0034064D" w:rsidRPr="0034064D">
        <w:rPr>
          <w:rFonts w:ascii="Arial" w:eastAsia="Arial Unicode MS" w:hAnsi="Arial" w:cs="Arial"/>
          <w:b/>
          <w:color w:val="C45911" w:themeColor="accent2" w:themeShade="BF"/>
          <w:sz w:val="24"/>
          <w:szCs w:val="24"/>
        </w:rPr>
        <w:t xml:space="preserve"> – Ativo Realizável a Longo Prazo</w:t>
      </w:r>
    </w:p>
    <w:p w14:paraId="2BC7475C" w14:textId="4F6579BD" w:rsidR="0034064D" w:rsidRDefault="0034064D" w:rsidP="0034064D">
      <w:pPr>
        <w:spacing w:after="40"/>
        <w:rPr>
          <w:rFonts w:ascii="Arial" w:eastAsia="Arial Unicode MS" w:hAnsi="Arial" w:cs="Arial"/>
          <w:sz w:val="20"/>
          <w:szCs w:val="20"/>
        </w:rPr>
      </w:pPr>
      <w:r w:rsidRPr="0034064D">
        <w:rPr>
          <w:rFonts w:ascii="Arial" w:eastAsia="Arial Unicode MS" w:hAnsi="Arial" w:cs="Arial"/>
          <w:sz w:val="20"/>
          <w:szCs w:val="20"/>
        </w:rPr>
        <w:t>O Ativo Realizável a Longo Prazo do IFRS é composto pela Dívida Ativa Não Tributária</w:t>
      </w:r>
      <w:r w:rsidR="00A4089F">
        <w:rPr>
          <w:rFonts w:ascii="Arial" w:eastAsia="Arial Unicode MS" w:hAnsi="Arial" w:cs="Arial"/>
          <w:sz w:val="20"/>
          <w:szCs w:val="20"/>
        </w:rPr>
        <w:t xml:space="preserve"> e Depósitos Judiciais Efetuados</w:t>
      </w:r>
      <w:r w:rsidRPr="0034064D">
        <w:rPr>
          <w:rFonts w:ascii="Arial" w:eastAsia="Arial Unicode MS" w:hAnsi="Arial" w:cs="Arial"/>
          <w:sz w:val="20"/>
          <w:szCs w:val="20"/>
        </w:rPr>
        <w:t>, conforme segue:</w:t>
      </w:r>
    </w:p>
    <w:p w14:paraId="0DF57025" w14:textId="69960B45" w:rsidR="00832B59" w:rsidRDefault="00832B59" w:rsidP="0034064D">
      <w:pPr>
        <w:spacing w:after="40"/>
        <w:rPr>
          <w:rFonts w:ascii="Arial" w:eastAsia="Arial Unicode MS" w:hAnsi="Arial" w:cs="Arial"/>
          <w:b/>
          <w:sz w:val="20"/>
          <w:szCs w:val="20"/>
        </w:rPr>
      </w:pPr>
      <w:r w:rsidRPr="003750CE">
        <w:rPr>
          <w:rFonts w:ascii="Arial" w:eastAsia="Arial Unicode MS" w:hAnsi="Arial" w:cs="Arial"/>
          <w:b/>
          <w:sz w:val="20"/>
          <w:szCs w:val="20"/>
        </w:rPr>
        <w:t>Dívida Ati</w:t>
      </w:r>
      <w:r w:rsidR="006E0B81">
        <w:rPr>
          <w:rFonts w:ascii="Arial" w:eastAsia="Arial Unicode MS" w:hAnsi="Arial" w:cs="Arial"/>
          <w:b/>
          <w:sz w:val="20"/>
          <w:szCs w:val="20"/>
        </w:rPr>
        <w:t>va Não Tributária - composi</w:t>
      </w:r>
      <w:r w:rsidR="00A4089F">
        <w:rPr>
          <w:rFonts w:ascii="Arial" w:eastAsia="Arial Unicode MS" w:hAnsi="Arial" w:cs="Arial"/>
          <w:b/>
          <w:sz w:val="20"/>
          <w:szCs w:val="20"/>
        </w:rPr>
        <w:t xml:space="preserve">ção </w:t>
      </w:r>
      <w:r w:rsidR="000D2995">
        <w:rPr>
          <w:rFonts w:ascii="Arial" w:eastAsia="Arial Unicode MS" w:hAnsi="Arial" w:cs="Arial"/>
          <w:b/>
          <w:sz w:val="20"/>
          <w:szCs w:val="20"/>
        </w:rPr>
        <w:t>3</w:t>
      </w:r>
      <w:r w:rsidRPr="003750CE">
        <w:rPr>
          <w:rFonts w:ascii="Arial" w:eastAsia="Arial Unicode MS" w:hAnsi="Arial" w:cs="Arial"/>
          <w:b/>
          <w:sz w:val="20"/>
          <w:szCs w:val="20"/>
        </w:rPr>
        <w:t>º trimestre</w:t>
      </w:r>
    </w:p>
    <w:p w14:paraId="3C3B48EF" w14:textId="318C7818" w:rsidR="000D2995" w:rsidRDefault="000D2995" w:rsidP="0034064D">
      <w:pPr>
        <w:spacing w:after="40"/>
        <w:rPr>
          <w:rFonts w:ascii="Arial" w:eastAsia="Arial Unicode MS" w:hAnsi="Arial" w:cs="Arial"/>
          <w:b/>
          <w:sz w:val="20"/>
          <w:szCs w:val="20"/>
        </w:rPr>
      </w:pPr>
      <w:r w:rsidRPr="000D2995">
        <w:rPr>
          <w:rFonts w:ascii="Arial" w:eastAsia="Arial Unicode MS" w:hAnsi="Arial" w:cs="Arial"/>
          <w:b/>
          <w:noProof/>
          <w:sz w:val="20"/>
          <w:szCs w:val="20"/>
        </w:rPr>
        <w:drawing>
          <wp:inline distT="0" distB="0" distL="0" distR="0" wp14:anchorId="73C5C07F" wp14:editId="409865F6">
            <wp:extent cx="4572000" cy="2743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689D810" w14:textId="5BEA7467" w:rsidR="00A4089F" w:rsidRPr="00533035" w:rsidRDefault="00A4089F" w:rsidP="00A4089F">
      <w:pPr>
        <w:spacing w:before="240"/>
        <w:rPr>
          <w:rFonts w:ascii="Arial" w:eastAsia="Arial Unicode MS" w:hAnsi="Arial" w:cs="Arial"/>
          <w:b/>
          <w:sz w:val="20"/>
          <w:szCs w:val="20"/>
        </w:rPr>
      </w:pPr>
      <w:r>
        <w:rPr>
          <w:rFonts w:ascii="Arial" w:eastAsia="Arial Unicode MS" w:hAnsi="Arial" w:cs="Arial"/>
          <w:b/>
          <w:sz w:val="20"/>
          <w:szCs w:val="20"/>
        </w:rPr>
        <w:t>Depósitos Judiciais Efetuados</w:t>
      </w:r>
    </w:p>
    <w:p w14:paraId="5C16FC64" w14:textId="3084289E" w:rsidR="00E40488" w:rsidRDefault="00A4089F" w:rsidP="0034064D">
      <w:pPr>
        <w:spacing w:after="40"/>
        <w:rPr>
          <w:rFonts w:ascii="Arial" w:eastAsia="Arial Unicode MS" w:hAnsi="Arial" w:cs="Arial"/>
          <w:sz w:val="20"/>
          <w:szCs w:val="20"/>
        </w:rPr>
      </w:pPr>
      <w:r>
        <w:rPr>
          <w:rFonts w:ascii="Arial" w:eastAsia="Arial Unicode MS" w:hAnsi="Arial" w:cs="Arial"/>
          <w:sz w:val="20"/>
          <w:szCs w:val="20"/>
        </w:rPr>
        <w:t>Pagamento de Requisição de Pequeno Valor – RPV de ação acidentária em 1º de outubro de 2018, transitado em julgado, processo número 23419.000950/2018-65, no valor de R$ 38.112,38.</w:t>
      </w:r>
    </w:p>
    <w:p w14:paraId="65C2975B" w14:textId="77777777" w:rsidR="00E40488" w:rsidRPr="0034064D" w:rsidRDefault="00E40488" w:rsidP="0034064D">
      <w:pPr>
        <w:spacing w:after="40"/>
        <w:rPr>
          <w:rFonts w:ascii="Arial" w:eastAsia="Arial Unicode MS" w:hAnsi="Arial" w:cs="Arial"/>
          <w:sz w:val="20"/>
          <w:szCs w:val="20"/>
        </w:rPr>
      </w:pPr>
    </w:p>
    <w:p w14:paraId="7D136BA4" w14:textId="09270B45" w:rsidR="0034064D" w:rsidRPr="0034064D" w:rsidRDefault="00C4346D" w:rsidP="0034064D">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6</w:t>
      </w:r>
      <w:r w:rsidR="0034064D" w:rsidRPr="0034064D">
        <w:rPr>
          <w:rFonts w:ascii="Arial" w:eastAsia="Arial Unicode MS" w:hAnsi="Arial" w:cs="Arial"/>
          <w:b/>
          <w:color w:val="C45911" w:themeColor="accent2" w:themeShade="BF"/>
          <w:sz w:val="24"/>
          <w:szCs w:val="24"/>
        </w:rPr>
        <w:t xml:space="preserve"> – Imobilizado</w:t>
      </w:r>
    </w:p>
    <w:p w14:paraId="71DBC36A" w14:textId="77777777" w:rsidR="0034064D" w:rsidRPr="0034064D" w:rsidRDefault="0034064D" w:rsidP="0034064D">
      <w:pPr>
        <w:spacing w:before="240"/>
        <w:rPr>
          <w:rFonts w:ascii="Arial" w:eastAsia="Arial Unicode MS" w:hAnsi="Arial" w:cs="Arial"/>
          <w:b/>
          <w:sz w:val="20"/>
          <w:szCs w:val="20"/>
        </w:rPr>
      </w:pPr>
      <w:r w:rsidRPr="0034064D">
        <w:rPr>
          <w:rFonts w:ascii="Arial" w:eastAsia="Arial Unicode MS" w:hAnsi="Arial" w:cs="Arial"/>
          <w:b/>
          <w:sz w:val="20"/>
          <w:szCs w:val="20"/>
        </w:rPr>
        <w:t>Bens Móveis</w:t>
      </w:r>
    </w:p>
    <w:p w14:paraId="16E4B4B1" w14:textId="0AF9B29E" w:rsidR="0034064D" w:rsidRDefault="0034064D" w:rsidP="0034064D">
      <w:pPr>
        <w:spacing w:after="40"/>
        <w:rPr>
          <w:rFonts w:ascii="Arial" w:eastAsia="Arial Unicode MS" w:hAnsi="Arial" w:cs="Arial"/>
          <w:sz w:val="20"/>
          <w:szCs w:val="20"/>
        </w:rPr>
      </w:pPr>
      <w:r w:rsidRPr="0034064D">
        <w:rPr>
          <w:rFonts w:ascii="Arial" w:eastAsia="Arial Unicode MS" w:hAnsi="Arial" w:cs="Arial"/>
          <w:sz w:val="20"/>
          <w:szCs w:val="20"/>
        </w:rPr>
        <w:t xml:space="preserve">Os Bens Móveis do IFRS em </w:t>
      </w:r>
      <w:r w:rsidR="00CC7AF2">
        <w:rPr>
          <w:rFonts w:ascii="Arial" w:eastAsia="Arial Unicode MS" w:hAnsi="Arial" w:cs="Arial"/>
          <w:sz w:val="20"/>
          <w:szCs w:val="20"/>
        </w:rPr>
        <w:t>30/0</w:t>
      </w:r>
      <w:r w:rsidR="00D41400">
        <w:rPr>
          <w:rFonts w:ascii="Arial" w:eastAsia="Arial Unicode MS" w:hAnsi="Arial" w:cs="Arial"/>
          <w:sz w:val="20"/>
          <w:szCs w:val="20"/>
        </w:rPr>
        <w:t>9</w:t>
      </w:r>
      <w:r w:rsidR="001E6457">
        <w:rPr>
          <w:rFonts w:ascii="Arial" w:eastAsia="Arial Unicode MS" w:hAnsi="Arial" w:cs="Arial"/>
          <w:sz w:val="20"/>
          <w:szCs w:val="20"/>
        </w:rPr>
        <w:t>/2020</w:t>
      </w:r>
      <w:r w:rsidRPr="0034064D">
        <w:rPr>
          <w:rFonts w:ascii="Arial" w:eastAsia="Arial Unicode MS" w:hAnsi="Arial" w:cs="Arial"/>
          <w:sz w:val="20"/>
          <w:szCs w:val="20"/>
        </w:rPr>
        <w:t xml:space="preserve"> totalizavam</w:t>
      </w:r>
      <w:r w:rsidR="00336E24">
        <w:rPr>
          <w:rFonts w:ascii="Arial" w:eastAsia="Arial Unicode MS" w:hAnsi="Arial" w:cs="Arial"/>
          <w:sz w:val="20"/>
          <w:szCs w:val="20"/>
        </w:rPr>
        <w:t>, pelo custo de aquisição,</w:t>
      </w:r>
      <w:r w:rsidRPr="0034064D">
        <w:rPr>
          <w:rFonts w:ascii="Arial" w:eastAsia="Arial Unicode MS" w:hAnsi="Arial" w:cs="Arial"/>
          <w:sz w:val="20"/>
          <w:szCs w:val="20"/>
        </w:rPr>
        <w:t xml:space="preserve"> R$ </w:t>
      </w:r>
      <w:r w:rsidR="00336E24">
        <w:rPr>
          <w:rFonts w:ascii="Arial" w:eastAsia="Arial Unicode MS" w:hAnsi="Arial" w:cs="Arial"/>
          <w:sz w:val="20"/>
          <w:szCs w:val="20"/>
        </w:rPr>
        <w:t>1</w:t>
      </w:r>
      <w:r w:rsidR="001E6457">
        <w:rPr>
          <w:rFonts w:ascii="Arial" w:eastAsia="Arial Unicode MS" w:hAnsi="Arial" w:cs="Arial"/>
          <w:sz w:val="20"/>
          <w:szCs w:val="20"/>
        </w:rPr>
        <w:t>1</w:t>
      </w:r>
      <w:r w:rsidR="00D41400">
        <w:rPr>
          <w:rFonts w:ascii="Arial" w:eastAsia="Arial Unicode MS" w:hAnsi="Arial" w:cs="Arial"/>
          <w:sz w:val="20"/>
          <w:szCs w:val="20"/>
        </w:rPr>
        <w:t>2</w:t>
      </w:r>
      <w:r w:rsidRPr="0034064D">
        <w:rPr>
          <w:rFonts w:ascii="Arial" w:eastAsia="Arial Unicode MS" w:hAnsi="Arial" w:cs="Arial"/>
          <w:sz w:val="20"/>
          <w:szCs w:val="20"/>
        </w:rPr>
        <w:t xml:space="preserve"> milhões e estão distribuídos em várias contas contábeis</w:t>
      </w:r>
      <w:r w:rsidR="00D96ECC">
        <w:rPr>
          <w:rFonts w:ascii="Arial" w:eastAsia="Arial Unicode MS" w:hAnsi="Arial" w:cs="Arial"/>
          <w:sz w:val="20"/>
          <w:szCs w:val="20"/>
        </w:rPr>
        <w:t xml:space="preserve">, </w:t>
      </w:r>
      <w:r w:rsidR="00D96ECC" w:rsidRPr="0034064D">
        <w:rPr>
          <w:rFonts w:ascii="Arial" w:eastAsia="Arial Unicode MS" w:hAnsi="Arial" w:cs="Arial"/>
          <w:sz w:val="20"/>
          <w:szCs w:val="20"/>
        </w:rPr>
        <w:t xml:space="preserve">conforme </w:t>
      </w:r>
      <w:r w:rsidR="00D96ECC" w:rsidRPr="003750CE">
        <w:rPr>
          <w:rFonts w:ascii="Arial" w:eastAsia="Arial Unicode MS" w:hAnsi="Arial" w:cs="Arial"/>
          <w:sz w:val="20"/>
          <w:szCs w:val="20"/>
        </w:rPr>
        <w:t>detalhado na tabela a seguir, sendo de maior representatividade o investimento em Equipamentos de tecnologia da informação e comunicação/TIC, no valor de R$ 2</w:t>
      </w:r>
      <w:r w:rsidR="001E6457">
        <w:rPr>
          <w:rFonts w:ascii="Arial" w:eastAsia="Arial Unicode MS" w:hAnsi="Arial" w:cs="Arial"/>
          <w:sz w:val="20"/>
          <w:szCs w:val="20"/>
        </w:rPr>
        <w:t>8</w:t>
      </w:r>
      <w:r w:rsidR="00D96ECC" w:rsidRPr="003750CE">
        <w:rPr>
          <w:rFonts w:ascii="Arial" w:eastAsia="Arial Unicode MS" w:hAnsi="Arial" w:cs="Arial"/>
          <w:sz w:val="20"/>
          <w:szCs w:val="20"/>
        </w:rPr>
        <w:t xml:space="preserve"> milhões (2</w:t>
      </w:r>
      <w:r w:rsidR="001E6457">
        <w:rPr>
          <w:rFonts w:ascii="Arial" w:eastAsia="Arial Unicode MS" w:hAnsi="Arial" w:cs="Arial"/>
          <w:sz w:val="20"/>
          <w:szCs w:val="20"/>
        </w:rPr>
        <w:t>5</w:t>
      </w:r>
      <w:r w:rsidR="00D96ECC" w:rsidRPr="003750CE">
        <w:rPr>
          <w:rFonts w:ascii="Arial" w:eastAsia="Arial Unicode MS" w:hAnsi="Arial" w:cs="Arial"/>
          <w:sz w:val="20"/>
          <w:szCs w:val="20"/>
        </w:rPr>
        <w:t>% do total</w:t>
      </w:r>
      <w:r w:rsidR="00AF597A">
        <w:rPr>
          <w:rFonts w:ascii="Arial" w:eastAsia="Arial Unicode MS" w:hAnsi="Arial" w:cs="Arial"/>
          <w:sz w:val="20"/>
          <w:szCs w:val="20"/>
        </w:rPr>
        <w:t>), sendo este, também, o grupo que</w:t>
      </w:r>
      <w:r w:rsidR="00D96ECC" w:rsidRPr="003750CE">
        <w:rPr>
          <w:rFonts w:ascii="Arial" w:eastAsia="Arial Unicode MS" w:hAnsi="Arial" w:cs="Arial"/>
          <w:sz w:val="20"/>
          <w:szCs w:val="20"/>
        </w:rPr>
        <w:t xml:space="preserve"> recebeu mais recursos no último </w:t>
      </w:r>
      <w:r w:rsidR="00057B49">
        <w:rPr>
          <w:rFonts w:ascii="Arial" w:eastAsia="Arial Unicode MS" w:hAnsi="Arial" w:cs="Arial"/>
          <w:sz w:val="20"/>
          <w:szCs w:val="20"/>
        </w:rPr>
        <w:t>trimestre</w:t>
      </w:r>
      <w:r w:rsidR="00D96ECC" w:rsidRPr="003750CE">
        <w:rPr>
          <w:rFonts w:ascii="Arial" w:eastAsia="Arial Unicode MS" w:hAnsi="Arial" w:cs="Arial"/>
          <w:sz w:val="20"/>
          <w:szCs w:val="20"/>
        </w:rPr>
        <w:t xml:space="preserve"> (R$ </w:t>
      </w:r>
      <w:r w:rsidR="00D41400">
        <w:rPr>
          <w:rFonts w:ascii="Arial" w:eastAsia="Arial Unicode MS" w:hAnsi="Arial" w:cs="Arial"/>
          <w:sz w:val="20"/>
          <w:szCs w:val="20"/>
        </w:rPr>
        <w:t>2</w:t>
      </w:r>
      <w:r w:rsidR="007A6170">
        <w:rPr>
          <w:rFonts w:ascii="Arial" w:eastAsia="Arial Unicode MS" w:hAnsi="Arial" w:cs="Arial"/>
          <w:sz w:val="20"/>
          <w:szCs w:val="20"/>
        </w:rPr>
        <w:t xml:space="preserve"> milhões</w:t>
      </w:r>
      <w:r w:rsidR="00D96ECC" w:rsidRPr="003750CE">
        <w:rPr>
          <w:rFonts w:ascii="Arial" w:eastAsia="Arial Unicode MS" w:hAnsi="Arial" w:cs="Arial"/>
          <w:sz w:val="20"/>
          <w:szCs w:val="20"/>
        </w:rPr>
        <w:t>)</w:t>
      </w:r>
      <w:r w:rsidR="009152D8" w:rsidRPr="003750CE">
        <w:rPr>
          <w:rFonts w:ascii="Arial" w:eastAsia="Arial Unicode MS" w:hAnsi="Arial" w:cs="Arial"/>
          <w:sz w:val="20"/>
          <w:szCs w:val="20"/>
        </w:rPr>
        <w:t xml:space="preserve">, seguido de </w:t>
      </w:r>
      <w:r w:rsidR="001E6457">
        <w:rPr>
          <w:rFonts w:ascii="Arial" w:eastAsia="Arial Unicode MS" w:hAnsi="Arial" w:cs="Arial"/>
          <w:sz w:val="20"/>
          <w:szCs w:val="20"/>
        </w:rPr>
        <w:t>Mobiliário em Geral</w:t>
      </w:r>
      <w:r w:rsidR="00D41400">
        <w:rPr>
          <w:rFonts w:ascii="Arial" w:eastAsia="Arial Unicode MS" w:hAnsi="Arial" w:cs="Arial"/>
          <w:sz w:val="20"/>
          <w:szCs w:val="20"/>
        </w:rPr>
        <w:t xml:space="preserve">, no valor de R$ 19 milhões (17% do total) e que incorporou o segundo maior valor em patrimônio no período </w:t>
      </w:r>
      <w:r w:rsidR="009152D8" w:rsidRPr="003750CE">
        <w:rPr>
          <w:rFonts w:ascii="Arial" w:eastAsia="Arial Unicode MS" w:hAnsi="Arial" w:cs="Arial"/>
          <w:sz w:val="20"/>
          <w:szCs w:val="20"/>
        </w:rPr>
        <w:t xml:space="preserve">(R$ </w:t>
      </w:r>
      <w:r w:rsidR="00D41400">
        <w:rPr>
          <w:rFonts w:ascii="Arial" w:eastAsia="Arial Unicode MS" w:hAnsi="Arial" w:cs="Arial"/>
          <w:sz w:val="20"/>
          <w:szCs w:val="20"/>
        </w:rPr>
        <w:t>568</w:t>
      </w:r>
      <w:r w:rsidR="009152D8" w:rsidRPr="003750CE">
        <w:rPr>
          <w:rFonts w:ascii="Arial" w:eastAsia="Arial Unicode MS" w:hAnsi="Arial" w:cs="Arial"/>
          <w:sz w:val="20"/>
          <w:szCs w:val="20"/>
        </w:rPr>
        <w:t xml:space="preserve"> mil)</w:t>
      </w:r>
      <w:r w:rsidRPr="003750CE">
        <w:rPr>
          <w:rFonts w:ascii="Arial" w:eastAsia="Arial Unicode MS" w:hAnsi="Arial" w:cs="Arial"/>
          <w:sz w:val="20"/>
          <w:szCs w:val="20"/>
        </w:rPr>
        <w:t>.</w:t>
      </w:r>
    </w:p>
    <w:p w14:paraId="599C5DD6" w14:textId="1512454A" w:rsidR="00D41400" w:rsidRDefault="00D41400" w:rsidP="0034064D">
      <w:pPr>
        <w:spacing w:after="40"/>
        <w:rPr>
          <w:rFonts w:ascii="Arial" w:eastAsia="Arial Unicode MS" w:hAnsi="Arial" w:cs="Arial"/>
          <w:sz w:val="20"/>
          <w:szCs w:val="20"/>
        </w:rPr>
      </w:pPr>
      <w:r w:rsidRPr="00D41400">
        <w:rPr>
          <w:rFonts w:ascii="Arial" w:eastAsia="Arial Unicode MS" w:hAnsi="Arial" w:cs="Arial"/>
          <w:noProof/>
          <w:sz w:val="20"/>
          <w:szCs w:val="20"/>
        </w:rPr>
        <w:lastRenderedPageBreak/>
        <w:drawing>
          <wp:inline distT="0" distB="0" distL="0" distR="0" wp14:anchorId="119BFD3E" wp14:editId="09802B85">
            <wp:extent cx="6151880" cy="5508625"/>
            <wp:effectExtent l="0" t="0" r="127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1880" cy="5508625"/>
                    </a:xfrm>
                    <a:prstGeom prst="rect">
                      <a:avLst/>
                    </a:prstGeom>
                    <a:noFill/>
                    <a:ln>
                      <a:noFill/>
                    </a:ln>
                  </pic:spPr>
                </pic:pic>
              </a:graphicData>
            </a:graphic>
          </wp:inline>
        </w:drawing>
      </w:r>
    </w:p>
    <w:p w14:paraId="5E3126D0" w14:textId="77777777" w:rsidR="00E40488" w:rsidRDefault="00E40488" w:rsidP="0034064D">
      <w:pPr>
        <w:spacing w:after="40"/>
        <w:rPr>
          <w:rFonts w:ascii="Arial" w:eastAsia="Arial Unicode MS" w:hAnsi="Arial" w:cs="Arial"/>
          <w:sz w:val="20"/>
          <w:szCs w:val="20"/>
        </w:rPr>
        <w:sectPr w:rsidR="00E40488" w:rsidSect="00E576AD">
          <w:type w:val="continuous"/>
          <w:pgSz w:w="11906" w:h="16838"/>
          <w:pgMar w:top="1021" w:right="851" w:bottom="851" w:left="851" w:header="709" w:footer="0" w:gutter="0"/>
          <w:cols w:space="708"/>
          <w:docGrid w:linePitch="360"/>
        </w:sectPr>
      </w:pPr>
    </w:p>
    <w:p w14:paraId="1498E169" w14:textId="0EB66A7E" w:rsidR="00336E24" w:rsidRDefault="00336E24" w:rsidP="0034064D">
      <w:pPr>
        <w:spacing w:after="40"/>
        <w:rPr>
          <w:rFonts w:ascii="Arial" w:eastAsia="Arial Unicode MS" w:hAnsi="Arial" w:cs="Arial"/>
          <w:sz w:val="20"/>
          <w:szCs w:val="20"/>
        </w:rPr>
      </w:pPr>
    </w:p>
    <w:p w14:paraId="4F5A9801" w14:textId="77777777" w:rsidR="001B7CE3" w:rsidRPr="001B7CE3" w:rsidRDefault="001B7CE3" w:rsidP="001B7CE3">
      <w:pPr>
        <w:spacing w:after="0" w:line="240" w:lineRule="auto"/>
        <w:contextualSpacing/>
        <w:jc w:val="both"/>
        <w:rPr>
          <w:rFonts w:ascii="Arial" w:hAnsi="Arial" w:cs="Arial"/>
          <w:b/>
          <w:sz w:val="20"/>
          <w:szCs w:val="20"/>
        </w:rPr>
      </w:pPr>
      <w:r w:rsidRPr="001B7CE3">
        <w:rPr>
          <w:rFonts w:ascii="Arial" w:hAnsi="Arial" w:cs="Arial"/>
          <w:b/>
          <w:sz w:val="20"/>
          <w:szCs w:val="20"/>
        </w:rPr>
        <w:t xml:space="preserve">Depreciação </w:t>
      </w:r>
      <w:r>
        <w:rPr>
          <w:rFonts w:ascii="Arial" w:hAnsi="Arial" w:cs="Arial"/>
          <w:b/>
          <w:sz w:val="20"/>
          <w:szCs w:val="20"/>
        </w:rPr>
        <w:t>Acumulada de B</w:t>
      </w:r>
      <w:r w:rsidRPr="001B7CE3">
        <w:rPr>
          <w:rFonts w:ascii="Arial" w:hAnsi="Arial" w:cs="Arial"/>
          <w:b/>
          <w:sz w:val="20"/>
          <w:szCs w:val="20"/>
        </w:rPr>
        <w:t xml:space="preserve">ens </w:t>
      </w:r>
      <w:r>
        <w:rPr>
          <w:rFonts w:ascii="Arial" w:hAnsi="Arial" w:cs="Arial"/>
          <w:b/>
          <w:sz w:val="20"/>
          <w:szCs w:val="20"/>
        </w:rPr>
        <w:t>M</w:t>
      </w:r>
      <w:r w:rsidRPr="001B7CE3">
        <w:rPr>
          <w:rFonts w:ascii="Arial" w:hAnsi="Arial" w:cs="Arial"/>
          <w:b/>
          <w:sz w:val="20"/>
          <w:szCs w:val="20"/>
        </w:rPr>
        <w:t>óveis</w:t>
      </w:r>
    </w:p>
    <w:p w14:paraId="61863CEC" w14:textId="77777777" w:rsidR="001B7CE3" w:rsidRPr="001B7CE3" w:rsidRDefault="001B7CE3" w:rsidP="001B7CE3">
      <w:pPr>
        <w:ind w:left="1440"/>
        <w:contextualSpacing/>
        <w:rPr>
          <w:rFonts w:ascii="Arial" w:hAnsi="Arial" w:cs="Arial"/>
          <w:sz w:val="20"/>
          <w:szCs w:val="20"/>
          <w:highlight w:val="yellow"/>
        </w:rPr>
      </w:pPr>
      <w:r w:rsidRPr="001B7CE3">
        <w:rPr>
          <w:rFonts w:ascii="Arial" w:hAnsi="Arial" w:cs="Arial"/>
          <w:b/>
          <w:sz w:val="20"/>
          <w:szCs w:val="20"/>
        </w:rPr>
        <w:t xml:space="preserve"> </w:t>
      </w:r>
    </w:p>
    <w:p w14:paraId="2C58B164" w14:textId="348CF907" w:rsidR="001B7CE3" w:rsidRDefault="00FC36DA" w:rsidP="001B7CE3">
      <w:pPr>
        <w:rPr>
          <w:rFonts w:ascii="Arial" w:hAnsi="Arial" w:cs="Arial"/>
          <w:sz w:val="20"/>
          <w:szCs w:val="20"/>
        </w:rPr>
      </w:pPr>
      <w:r>
        <w:rPr>
          <w:rFonts w:ascii="Arial" w:eastAsia="Arial Unicode MS" w:hAnsi="Arial" w:cs="Arial"/>
          <w:sz w:val="20"/>
          <w:szCs w:val="20"/>
        </w:rPr>
        <w:t>Até o segundo</w:t>
      </w:r>
      <w:r w:rsidR="001B7CE3" w:rsidRPr="008B58CC">
        <w:rPr>
          <w:rFonts w:ascii="Arial" w:eastAsia="Arial Unicode MS" w:hAnsi="Arial" w:cs="Arial"/>
          <w:sz w:val="20"/>
          <w:szCs w:val="20"/>
        </w:rPr>
        <w:t xml:space="preserve"> trimestre de 20</w:t>
      </w:r>
      <w:r w:rsidR="001E6457">
        <w:rPr>
          <w:rFonts w:ascii="Arial" w:eastAsia="Arial Unicode MS" w:hAnsi="Arial" w:cs="Arial"/>
          <w:sz w:val="20"/>
          <w:szCs w:val="20"/>
        </w:rPr>
        <w:t>20</w:t>
      </w:r>
      <w:r w:rsidR="001B7CE3" w:rsidRPr="008B58CC">
        <w:rPr>
          <w:rFonts w:ascii="Arial" w:eastAsia="Arial Unicode MS" w:hAnsi="Arial" w:cs="Arial"/>
          <w:sz w:val="20"/>
          <w:szCs w:val="20"/>
        </w:rPr>
        <w:t xml:space="preserve"> os valores de depreciação mensal </w:t>
      </w:r>
      <w:r w:rsidR="00004FBA">
        <w:rPr>
          <w:rFonts w:ascii="Arial" w:eastAsia="Arial Unicode MS" w:hAnsi="Arial" w:cs="Arial"/>
          <w:sz w:val="20"/>
          <w:szCs w:val="20"/>
        </w:rPr>
        <w:t xml:space="preserve">relativas </w:t>
      </w:r>
      <w:proofErr w:type="gramStart"/>
      <w:r w:rsidR="00004FBA">
        <w:rPr>
          <w:rFonts w:ascii="Arial" w:eastAsia="Arial Unicode MS" w:hAnsi="Arial" w:cs="Arial"/>
          <w:sz w:val="20"/>
          <w:szCs w:val="20"/>
        </w:rPr>
        <w:t xml:space="preserve">a </w:t>
      </w:r>
      <w:r w:rsidR="001B7CE3" w:rsidRPr="008B58CC">
        <w:rPr>
          <w:rFonts w:ascii="Arial" w:eastAsia="Arial Unicode MS" w:hAnsi="Arial" w:cs="Arial"/>
          <w:sz w:val="20"/>
          <w:szCs w:val="20"/>
        </w:rPr>
        <w:t xml:space="preserve"> </w:t>
      </w:r>
      <w:r w:rsidR="00004FBA">
        <w:rPr>
          <w:rFonts w:ascii="Arial" w:eastAsia="Arial Unicode MS" w:hAnsi="Arial" w:cs="Arial"/>
          <w:sz w:val="20"/>
          <w:szCs w:val="20"/>
        </w:rPr>
        <w:t>fevereiro</w:t>
      </w:r>
      <w:proofErr w:type="gramEnd"/>
      <w:r w:rsidR="001B7CE3" w:rsidRPr="008B58CC">
        <w:rPr>
          <w:rFonts w:ascii="Arial" w:eastAsia="Arial Unicode MS" w:hAnsi="Arial" w:cs="Arial"/>
          <w:sz w:val="20"/>
          <w:szCs w:val="20"/>
        </w:rPr>
        <w:t xml:space="preserve">/2018 de todas as contas no Relatório de Bens Móveis aparece com os valores duplicados. Além disso, em </w:t>
      </w:r>
      <w:r w:rsidR="00E73ACF" w:rsidRPr="008B58CC">
        <w:rPr>
          <w:rFonts w:ascii="Arial" w:eastAsia="Arial Unicode MS" w:hAnsi="Arial" w:cs="Arial"/>
          <w:sz w:val="20"/>
          <w:szCs w:val="20"/>
        </w:rPr>
        <w:t>algumas contas</w:t>
      </w:r>
      <w:r w:rsidR="001B7CE3" w:rsidRPr="008B58CC">
        <w:rPr>
          <w:rFonts w:ascii="Arial" w:eastAsia="Arial Unicode MS" w:hAnsi="Arial" w:cs="Arial"/>
          <w:sz w:val="20"/>
          <w:szCs w:val="20"/>
        </w:rPr>
        <w:t xml:space="preserve"> contábeis aparece</w:t>
      </w:r>
      <w:r w:rsidR="00AA6CFC" w:rsidRPr="008B58CC">
        <w:rPr>
          <w:rFonts w:ascii="Arial" w:eastAsia="Arial Unicode MS" w:hAnsi="Arial" w:cs="Arial"/>
          <w:sz w:val="20"/>
          <w:szCs w:val="20"/>
        </w:rPr>
        <w:t>m</w:t>
      </w:r>
      <w:r w:rsidR="001B7CE3" w:rsidRPr="008B58CC">
        <w:rPr>
          <w:rFonts w:ascii="Arial" w:eastAsia="Arial Unicode MS" w:hAnsi="Arial" w:cs="Arial"/>
          <w:sz w:val="20"/>
          <w:szCs w:val="20"/>
        </w:rPr>
        <w:t xml:space="preserve"> outras diferenças que até o encerramento do </w:t>
      </w:r>
      <w:r w:rsidR="00E54887">
        <w:rPr>
          <w:rFonts w:ascii="Arial" w:eastAsia="Arial Unicode MS" w:hAnsi="Arial" w:cs="Arial"/>
          <w:sz w:val="20"/>
          <w:szCs w:val="20"/>
        </w:rPr>
        <w:t>terceiro</w:t>
      </w:r>
      <w:r w:rsidR="001B7CE3" w:rsidRPr="008B58CC">
        <w:rPr>
          <w:rFonts w:ascii="Arial" w:eastAsia="Arial Unicode MS" w:hAnsi="Arial" w:cs="Arial"/>
          <w:sz w:val="20"/>
          <w:szCs w:val="20"/>
        </w:rPr>
        <w:t xml:space="preserve"> trimestre de 20</w:t>
      </w:r>
      <w:r w:rsidR="001E6457">
        <w:rPr>
          <w:rFonts w:ascii="Arial" w:eastAsia="Arial Unicode MS" w:hAnsi="Arial" w:cs="Arial"/>
          <w:sz w:val="20"/>
          <w:szCs w:val="20"/>
        </w:rPr>
        <w:t>20</w:t>
      </w:r>
      <w:r w:rsidR="001B7CE3" w:rsidRPr="008B58CC">
        <w:rPr>
          <w:rFonts w:ascii="Arial" w:eastAsia="Arial Unicode MS" w:hAnsi="Arial" w:cs="Arial"/>
          <w:sz w:val="20"/>
          <w:szCs w:val="20"/>
        </w:rPr>
        <w:t xml:space="preserve"> não foram </w:t>
      </w:r>
      <w:r w:rsidR="00AA6CFC" w:rsidRPr="008B58CC">
        <w:rPr>
          <w:rFonts w:ascii="Arial" w:eastAsia="Arial Unicode MS" w:hAnsi="Arial" w:cs="Arial"/>
          <w:sz w:val="20"/>
          <w:szCs w:val="20"/>
        </w:rPr>
        <w:t>sanadas</w:t>
      </w:r>
      <w:r w:rsidR="001B7CE3" w:rsidRPr="008B58CC">
        <w:rPr>
          <w:rFonts w:ascii="Arial" w:eastAsia="Arial Unicode MS" w:hAnsi="Arial" w:cs="Arial"/>
          <w:sz w:val="20"/>
          <w:szCs w:val="20"/>
        </w:rPr>
        <w:t xml:space="preserve">. Foram abertos chamados para o setor de TI da Reitoria para resolver estas </w:t>
      </w:r>
      <w:r w:rsidR="00AA6CFC" w:rsidRPr="008B58CC">
        <w:rPr>
          <w:rFonts w:ascii="Arial" w:eastAsia="Arial Unicode MS" w:hAnsi="Arial" w:cs="Arial"/>
          <w:sz w:val="20"/>
          <w:szCs w:val="20"/>
        </w:rPr>
        <w:t>inconsistências</w:t>
      </w:r>
      <w:r w:rsidR="001B7CE3" w:rsidRPr="008B58CC">
        <w:rPr>
          <w:rFonts w:ascii="Arial" w:eastAsia="Arial Unicode MS" w:hAnsi="Arial" w:cs="Arial"/>
          <w:sz w:val="20"/>
          <w:szCs w:val="20"/>
        </w:rPr>
        <w:t>, porém até o encerramento desse trimestre continuam pendentes. Em decorrência</w:t>
      </w:r>
      <w:r w:rsidR="00AA6CFC" w:rsidRPr="008B58CC">
        <w:rPr>
          <w:rFonts w:ascii="Arial" w:eastAsia="Arial Unicode MS" w:hAnsi="Arial" w:cs="Arial"/>
          <w:sz w:val="20"/>
          <w:szCs w:val="20"/>
        </w:rPr>
        <w:t>,</w:t>
      </w:r>
      <w:r w:rsidR="001B7CE3" w:rsidRPr="008B58CC">
        <w:rPr>
          <w:rFonts w:ascii="Arial" w:eastAsia="Arial Unicode MS" w:hAnsi="Arial" w:cs="Arial"/>
          <w:sz w:val="20"/>
          <w:szCs w:val="20"/>
        </w:rPr>
        <w:t xml:space="preserve"> os saldos contábeis em </w:t>
      </w:r>
      <w:r w:rsidR="00AA6CFC" w:rsidRPr="008B58CC">
        <w:rPr>
          <w:rFonts w:ascii="Arial" w:eastAsia="Arial Unicode MS" w:hAnsi="Arial" w:cs="Arial"/>
          <w:sz w:val="20"/>
          <w:szCs w:val="20"/>
        </w:rPr>
        <w:t>3</w:t>
      </w:r>
      <w:r w:rsidR="004610BE">
        <w:rPr>
          <w:rFonts w:ascii="Arial" w:eastAsia="Arial Unicode MS" w:hAnsi="Arial" w:cs="Arial"/>
          <w:sz w:val="20"/>
          <w:szCs w:val="20"/>
        </w:rPr>
        <w:t>0/0</w:t>
      </w:r>
      <w:r w:rsidR="00E54887">
        <w:rPr>
          <w:rFonts w:ascii="Arial" w:eastAsia="Arial Unicode MS" w:hAnsi="Arial" w:cs="Arial"/>
          <w:sz w:val="20"/>
          <w:szCs w:val="20"/>
        </w:rPr>
        <w:t>9</w:t>
      </w:r>
      <w:r w:rsidR="001E6457">
        <w:rPr>
          <w:rFonts w:ascii="Arial" w:eastAsia="Arial Unicode MS" w:hAnsi="Arial" w:cs="Arial"/>
          <w:sz w:val="20"/>
          <w:szCs w:val="20"/>
        </w:rPr>
        <w:t>/2020</w:t>
      </w:r>
      <w:r w:rsidR="001B7CE3" w:rsidRPr="008B58CC">
        <w:rPr>
          <w:rFonts w:ascii="Arial" w:eastAsia="Arial Unicode MS" w:hAnsi="Arial" w:cs="Arial"/>
          <w:sz w:val="20"/>
          <w:szCs w:val="20"/>
        </w:rPr>
        <w:t xml:space="preserve"> das contas de depreciação dos bens</w:t>
      </w:r>
      <w:r w:rsidR="001B7CE3" w:rsidRPr="001B7CE3">
        <w:rPr>
          <w:rFonts w:ascii="Arial" w:hAnsi="Arial" w:cs="Arial"/>
          <w:sz w:val="20"/>
          <w:szCs w:val="20"/>
        </w:rPr>
        <w:t xml:space="preserve"> móveis não </w:t>
      </w:r>
      <w:r w:rsidR="00E73ACF">
        <w:rPr>
          <w:rFonts w:ascii="Arial" w:hAnsi="Arial" w:cs="Arial"/>
          <w:sz w:val="20"/>
          <w:szCs w:val="20"/>
        </w:rPr>
        <w:t>refletem adequadamente a real situação</w:t>
      </w:r>
      <w:r w:rsidR="00AA6CFC">
        <w:rPr>
          <w:rFonts w:ascii="Arial" w:hAnsi="Arial" w:cs="Arial"/>
          <w:sz w:val="20"/>
          <w:szCs w:val="20"/>
        </w:rPr>
        <w:t xml:space="preserve"> patrimonial</w:t>
      </w:r>
      <w:r w:rsidR="001B7CE3" w:rsidRPr="001B7CE3">
        <w:rPr>
          <w:rFonts w:ascii="Arial" w:hAnsi="Arial" w:cs="Arial"/>
          <w:sz w:val="20"/>
          <w:szCs w:val="20"/>
        </w:rPr>
        <w:t>.</w:t>
      </w:r>
    </w:p>
    <w:p w14:paraId="59489156" w14:textId="6972B08E" w:rsidR="0034064D" w:rsidRPr="009152D8" w:rsidRDefault="0034064D" w:rsidP="009152D8">
      <w:pPr>
        <w:spacing w:before="240"/>
        <w:rPr>
          <w:rFonts w:ascii="Arial" w:eastAsia="Arial Unicode MS" w:hAnsi="Arial" w:cs="Arial"/>
          <w:b/>
          <w:sz w:val="20"/>
          <w:szCs w:val="20"/>
        </w:rPr>
      </w:pPr>
      <w:r w:rsidRPr="009152D8">
        <w:rPr>
          <w:rFonts w:ascii="Arial" w:eastAsia="Arial Unicode MS" w:hAnsi="Arial" w:cs="Arial"/>
          <w:b/>
          <w:sz w:val="20"/>
          <w:szCs w:val="20"/>
        </w:rPr>
        <w:t>Bens Imóveis</w:t>
      </w:r>
    </w:p>
    <w:p w14:paraId="4FFC8102" w14:textId="049CB011" w:rsidR="0034064D" w:rsidRDefault="0034064D" w:rsidP="0034064D">
      <w:pPr>
        <w:spacing w:after="40"/>
        <w:rPr>
          <w:rFonts w:ascii="Arial" w:eastAsia="Arial Unicode MS" w:hAnsi="Arial" w:cs="Arial"/>
          <w:sz w:val="20"/>
          <w:szCs w:val="20"/>
        </w:rPr>
      </w:pPr>
      <w:r w:rsidRPr="008F7CB1">
        <w:rPr>
          <w:rFonts w:ascii="Arial" w:eastAsia="Arial Unicode MS" w:hAnsi="Arial" w:cs="Arial"/>
          <w:sz w:val="20"/>
          <w:szCs w:val="20"/>
        </w:rPr>
        <w:t>Os Bens Imóveis</w:t>
      </w:r>
      <w:r w:rsidRPr="0034064D">
        <w:rPr>
          <w:rFonts w:ascii="Arial" w:eastAsia="Arial Unicode MS" w:hAnsi="Arial" w:cs="Arial"/>
          <w:sz w:val="20"/>
          <w:szCs w:val="20"/>
        </w:rPr>
        <w:t xml:space="preserve"> do IFRS, em </w:t>
      </w:r>
      <w:r w:rsidR="003D6EB0">
        <w:rPr>
          <w:rFonts w:ascii="Arial" w:eastAsia="Arial Unicode MS" w:hAnsi="Arial" w:cs="Arial"/>
          <w:sz w:val="20"/>
          <w:szCs w:val="20"/>
        </w:rPr>
        <w:t>3</w:t>
      </w:r>
      <w:r w:rsidR="00004FBA">
        <w:rPr>
          <w:rFonts w:ascii="Arial" w:eastAsia="Arial Unicode MS" w:hAnsi="Arial" w:cs="Arial"/>
          <w:sz w:val="20"/>
          <w:szCs w:val="20"/>
        </w:rPr>
        <w:t>0/0</w:t>
      </w:r>
      <w:r w:rsidR="00E54887">
        <w:rPr>
          <w:rFonts w:ascii="Arial" w:eastAsia="Arial Unicode MS" w:hAnsi="Arial" w:cs="Arial"/>
          <w:sz w:val="20"/>
          <w:szCs w:val="20"/>
        </w:rPr>
        <w:t>9</w:t>
      </w:r>
      <w:r w:rsidR="00002769">
        <w:rPr>
          <w:rFonts w:ascii="Arial" w:eastAsia="Arial Unicode MS" w:hAnsi="Arial" w:cs="Arial"/>
          <w:sz w:val="20"/>
          <w:szCs w:val="20"/>
        </w:rPr>
        <w:t>/2020</w:t>
      </w:r>
      <w:r w:rsidRPr="0034064D">
        <w:rPr>
          <w:rFonts w:ascii="Arial" w:eastAsia="Arial Unicode MS" w:hAnsi="Arial" w:cs="Arial"/>
          <w:sz w:val="20"/>
          <w:szCs w:val="20"/>
        </w:rPr>
        <w:t>, totaliza</w:t>
      </w:r>
      <w:r w:rsidR="00C30501">
        <w:rPr>
          <w:rFonts w:ascii="Arial" w:eastAsia="Arial Unicode MS" w:hAnsi="Arial" w:cs="Arial"/>
          <w:sz w:val="20"/>
          <w:szCs w:val="20"/>
        </w:rPr>
        <w:t>r</w:t>
      </w:r>
      <w:r w:rsidRPr="0034064D">
        <w:rPr>
          <w:rFonts w:ascii="Arial" w:eastAsia="Arial Unicode MS" w:hAnsi="Arial" w:cs="Arial"/>
          <w:sz w:val="20"/>
          <w:szCs w:val="20"/>
        </w:rPr>
        <w:t xml:space="preserve">am R$ </w:t>
      </w:r>
      <w:r w:rsidR="00057B49">
        <w:rPr>
          <w:rFonts w:ascii="Arial" w:eastAsia="Arial Unicode MS" w:hAnsi="Arial" w:cs="Arial"/>
          <w:sz w:val="20"/>
          <w:szCs w:val="20"/>
        </w:rPr>
        <w:t>2</w:t>
      </w:r>
      <w:r w:rsidR="00E54887">
        <w:rPr>
          <w:rFonts w:ascii="Arial" w:eastAsia="Arial Unicode MS" w:hAnsi="Arial" w:cs="Arial"/>
          <w:sz w:val="20"/>
          <w:szCs w:val="20"/>
        </w:rPr>
        <w:t>40</w:t>
      </w:r>
      <w:r w:rsidRPr="0034064D">
        <w:rPr>
          <w:rFonts w:ascii="Arial" w:eastAsia="Arial Unicode MS" w:hAnsi="Arial" w:cs="Arial"/>
          <w:sz w:val="20"/>
          <w:szCs w:val="20"/>
        </w:rPr>
        <w:t xml:space="preserve"> milhões e estão distribuídos conforme demonstrado na tabela a seguir.</w:t>
      </w:r>
    </w:p>
    <w:p w14:paraId="5AAFF408" w14:textId="111B1AA4" w:rsidR="00E54887" w:rsidRDefault="00E54887" w:rsidP="0034064D">
      <w:pPr>
        <w:spacing w:after="40"/>
        <w:rPr>
          <w:rFonts w:ascii="Arial" w:eastAsia="Arial Unicode MS" w:hAnsi="Arial" w:cs="Arial"/>
          <w:sz w:val="20"/>
          <w:szCs w:val="20"/>
        </w:rPr>
      </w:pPr>
      <w:r w:rsidRPr="00E54887">
        <w:rPr>
          <w:rFonts w:ascii="Arial" w:eastAsia="Arial Unicode MS" w:hAnsi="Arial" w:cs="Arial"/>
          <w:noProof/>
          <w:sz w:val="20"/>
          <w:szCs w:val="20"/>
        </w:rPr>
        <w:lastRenderedPageBreak/>
        <w:drawing>
          <wp:inline distT="0" distB="0" distL="0" distR="0" wp14:anchorId="11741CE7" wp14:editId="41F5E33B">
            <wp:extent cx="5237480" cy="1770380"/>
            <wp:effectExtent l="0" t="0" r="1270" b="127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7480" cy="1770380"/>
                    </a:xfrm>
                    <a:prstGeom prst="rect">
                      <a:avLst/>
                    </a:prstGeom>
                    <a:noFill/>
                    <a:ln>
                      <a:noFill/>
                    </a:ln>
                  </pic:spPr>
                </pic:pic>
              </a:graphicData>
            </a:graphic>
          </wp:inline>
        </w:drawing>
      </w:r>
    </w:p>
    <w:p w14:paraId="67AABA3D" w14:textId="478E03C0" w:rsidR="005229A3" w:rsidRPr="0034064D" w:rsidRDefault="005229A3" w:rsidP="0034064D">
      <w:pPr>
        <w:spacing w:after="40"/>
        <w:rPr>
          <w:rFonts w:ascii="Arial" w:eastAsia="Arial Unicode MS" w:hAnsi="Arial" w:cs="Arial"/>
          <w:sz w:val="20"/>
          <w:szCs w:val="20"/>
        </w:rPr>
      </w:pPr>
    </w:p>
    <w:p w14:paraId="11BF3335" w14:textId="00A769AB" w:rsidR="00C30501" w:rsidRDefault="004111FC" w:rsidP="0034064D">
      <w:pPr>
        <w:spacing w:after="40"/>
        <w:rPr>
          <w:rFonts w:ascii="Arial" w:eastAsia="Arial Unicode MS" w:hAnsi="Arial" w:cs="Arial"/>
          <w:sz w:val="20"/>
          <w:szCs w:val="20"/>
        </w:rPr>
      </w:pPr>
      <w:r>
        <w:rPr>
          <w:rFonts w:ascii="Arial" w:eastAsia="Arial Unicode MS" w:hAnsi="Arial" w:cs="Arial"/>
          <w:sz w:val="20"/>
          <w:szCs w:val="20"/>
        </w:rPr>
        <w:t>Até o</w:t>
      </w:r>
      <w:r w:rsidR="00057B49">
        <w:rPr>
          <w:rFonts w:ascii="Arial" w:eastAsia="Arial Unicode MS" w:hAnsi="Arial" w:cs="Arial"/>
          <w:sz w:val="20"/>
          <w:szCs w:val="20"/>
        </w:rPr>
        <w:t xml:space="preserve"> trimestre</w:t>
      </w:r>
      <w:r w:rsidR="00C30501">
        <w:rPr>
          <w:rFonts w:ascii="Arial" w:eastAsia="Arial Unicode MS" w:hAnsi="Arial" w:cs="Arial"/>
          <w:sz w:val="20"/>
          <w:szCs w:val="20"/>
        </w:rPr>
        <w:t xml:space="preserve">, </w:t>
      </w:r>
      <w:r w:rsidR="005229A3">
        <w:rPr>
          <w:rFonts w:ascii="Arial" w:eastAsia="Arial Unicode MS" w:hAnsi="Arial" w:cs="Arial"/>
          <w:sz w:val="20"/>
          <w:szCs w:val="20"/>
        </w:rPr>
        <w:t xml:space="preserve">as Instalações </w:t>
      </w:r>
      <w:r w:rsidR="00C30501">
        <w:rPr>
          <w:rFonts w:ascii="Arial" w:eastAsia="Arial Unicode MS" w:hAnsi="Arial" w:cs="Arial"/>
          <w:sz w:val="20"/>
          <w:szCs w:val="20"/>
        </w:rPr>
        <w:t xml:space="preserve">somaram valorização de </w:t>
      </w:r>
      <w:r w:rsidR="00E54887">
        <w:rPr>
          <w:rFonts w:ascii="Arial" w:eastAsia="Arial Unicode MS" w:hAnsi="Arial" w:cs="Arial"/>
          <w:sz w:val="20"/>
          <w:szCs w:val="20"/>
        </w:rPr>
        <w:t>34</w:t>
      </w:r>
      <w:r w:rsidR="00C30501">
        <w:rPr>
          <w:rFonts w:ascii="Arial" w:eastAsia="Arial Unicode MS" w:hAnsi="Arial" w:cs="Arial"/>
          <w:sz w:val="20"/>
          <w:szCs w:val="20"/>
        </w:rPr>
        <w:t xml:space="preserve">%, em maior parte, </w:t>
      </w:r>
      <w:r w:rsidR="005229A3">
        <w:rPr>
          <w:rFonts w:ascii="Arial" w:eastAsia="Arial Unicode MS" w:hAnsi="Arial" w:cs="Arial"/>
          <w:sz w:val="20"/>
          <w:szCs w:val="20"/>
        </w:rPr>
        <w:t>pela participação do IFRS na construção da nova subestação de energia do Campus Veranópolis</w:t>
      </w:r>
      <w:r w:rsidR="005110D6">
        <w:rPr>
          <w:rFonts w:ascii="Arial" w:eastAsia="Arial Unicode MS" w:hAnsi="Arial" w:cs="Arial"/>
          <w:sz w:val="20"/>
          <w:szCs w:val="20"/>
        </w:rPr>
        <w:t>, construção escada saída emergência Campus Erechim, obra de engenharia para o PPCI Campus Caxias.</w:t>
      </w:r>
      <w:r w:rsidR="00C30501">
        <w:rPr>
          <w:rFonts w:ascii="Arial" w:eastAsia="Arial Unicode MS" w:hAnsi="Arial" w:cs="Arial"/>
          <w:sz w:val="20"/>
          <w:szCs w:val="20"/>
        </w:rPr>
        <w:t xml:space="preserve"> </w:t>
      </w:r>
      <w:r w:rsidR="005110D6">
        <w:rPr>
          <w:rFonts w:ascii="Arial" w:eastAsia="Arial Unicode MS" w:hAnsi="Arial" w:cs="Arial"/>
          <w:sz w:val="20"/>
          <w:szCs w:val="20"/>
        </w:rPr>
        <w:t>6,</w:t>
      </w:r>
      <w:r w:rsidR="00883D0F">
        <w:rPr>
          <w:rFonts w:ascii="Arial" w:eastAsia="Arial Unicode MS" w:hAnsi="Arial" w:cs="Arial"/>
          <w:sz w:val="20"/>
          <w:szCs w:val="20"/>
        </w:rPr>
        <w:t>90</w:t>
      </w:r>
      <w:r w:rsidR="00C30501">
        <w:rPr>
          <w:rFonts w:ascii="Arial" w:eastAsia="Arial Unicode MS" w:hAnsi="Arial" w:cs="Arial"/>
          <w:sz w:val="20"/>
          <w:szCs w:val="20"/>
        </w:rPr>
        <w:t xml:space="preserve">% do total de bens imóveis correspondem à obras que permanecem em andamento no </w:t>
      </w:r>
      <w:proofErr w:type="gramStart"/>
      <w:r w:rsidR="00883D0F">
        <w:rPr>
          <w:rFonts w:ascii="Arial" w:eastAsia="Arial Unicode MS" w:hAnsi="Arial" w:cs="Arial"/>
          <w:sz w:val="20"/>
          <w:szCs w:val="20"/>
        </w:rPr>
        <w:t>terceiro</w:t>
      </w:r>
      <w:r w:rsidR="002E567C">
        <w:rPr>
          <w:rFonts w:ascii="Arial" w:eastAsia="Arial Unicode MS" w:hAnsi="Arial" w:cs="Arial"/>
          <w:sz w:val="20"/>
          <w:szCs w:val="20"/>
        </w:rPr>
        <w:t xml:space="preserve"> </w:t>
      </w:r>
      <w:r w:rsidR="00C30501">
        <w:rPr>
          <w:rFonts w:ascii="Arial" w:eastAsia="Arial Unicode MS" w:hAnsi="Arial" w:cs="Arial"/>
          <w:sz w:val="20"/>
          <w:szCs w:val="20"/>
        </w:rPr>
        <w:t xml:space="preserve"> trimestre</w:t>
      </w:r>
      <w:proofErr w:type="gramEnd"/>
      <w:r w:rsidR="00C30501">
        <w:rPr>
          <w:rFonts w:ascii="Arial" w:eastAsia="Arial Unicode MS" w:hAnsi="Arial" w:cs="Arial"/>
          <w:sz w:val="20"/>
          <w:szCs w:val="20"/>
        </w:rPr>
        <w:t xml:space="preserve"> de 20</w:t>
      </w:r>
      <w:r w:rsidR="005110D6">
        <w:rPr>
          <w:rFonts w:ascii="Arial" w:eastAsia="Arial Unicode MS" w:hAnsi="Arial" w:cs="Arial"/>
          <w:sz w:val="20"/>
          <w:szCs w:val="20"/>
        </w:rPr>
        <w:t>20</w:t>
      </w:r>
      <w:r w:rsidR="00C30501">
        <w:rPr>
          <w:rFonts w:ascii="Arial" w:eastAsia="Arial Unicode MS" w:hAnsi="Arial" w:cs="Arial"/>
          <w:sz w:val="20"/>
          <w:szCs w:val="20"/>
        </w:rPr>
        <w:t>.</w:t>
      </w:r>
    </w:p>
    <w:p w14:paraId="20BADAA0" w14:textId="77777777" w:rsidR="0034064D" w:rsidRPr="00E40488" w:rsidRDefault="0034064D" w:rsidP="0034064D">
      <w:pPr>
        <w:spacing w:after="40"/>
        <w:rPr>
          <w:rFonts w:ascii="Arial" w:eastAsia="Arial Unicode MS" w:hAnsi="Arial" w:cs="Arial"/>
          <w:b/>
          <w:sz w:val="20"/>
          <w:szCs w:val="20"/>
        </w:rPr>
      </w:pPr>
      <w:r w:rsidRPr="00E40488">
        <w:rPr>
          <w:rFonts w:ascii="Arial" w:eastAsia="Arial Unicode MS" w:hAnsi="Arial" w:cs="Arial"/>
          <w:b/>
          <w:sz w:val="20"/>
          <w:szCs w:val="20"/>
        </w:rPr>
        <w:t>Campus Porto Alegre</w:t>
      </w:r>
    </w:p>
    <w:p w14:paraId="3B620032" w14:textId="502575A5" w:rsidR="0034064D" w:rsidRPr="0034064D" w:rsidRDefault="0034064D" w:rsidP="0034064D">
      <w:pPr>
        <w:spacing w:after="40"/>
        <w:rPr>
          <w:rFonts w:ascii="Arial" w:eastAsia="Arial Unicode MS" w:hAnsi="Arial" w:cs="Arial"/>
          <w:sz w:val="20"/>
          <w:szCs w:val="20"/>
        </w:rPr>
      </w:pPr>
      <w:r w:rsidRPr="0034064D">
        <w:rPr>
          <w:rFonts w:ascii="Arial" w:eastAsia="Arial Unicode MS" w:hAnsi="Arial" w:cs="Arial"/>
          <w:sz w:val="20"/>
          <w:szCs w:val="20"/>
        </w:rPr>
        <w:t xml:space="preserve">Dos Bens Imóveis de Uso </w:t>
      </w:r>
      <w:r w:rsidR="00C30501">
        <w:rPr>
          <w:rFonts w:ascii="Arial" w:eastAsia="Arial Unicode MS" w:hAnsi="Arial" w:cs="Arial"/>
          <w:sz w:val="20"/>
          <w:szCs w:val="20"/>
        </w:rPr>
        <w:t>Educacional do IFRS, cerca de 19</w:t>
      </w:r>
      <w:r w:rsidRPr="0034064D">
        <w:rPr>
          <w:rFonts w:ascii="Arial" w:eastAsia="Arial Unicode MS" w:hAnsi="Arial" w:cs="Arial"/>
          <w:sz w:val="20"/>
          <w:szCs w:val="20"/>
        </w:rPr>
        <w:t>% correspondem ao edifício Ulbra Saúde Porto Alegre, de 10 pavimentos, sede da estrutura administrativa e de ensino do campus em</w:t>
      </w:r>
      <w:r w:rsidR="00837C80">
        <w:rPr>
          <w:rFonts w:ascii="Arial" w:eastAsia="Arial Unicode MS" w:hAnsi="Arial" w:cs="Arial"/>
          <w:sz w:val="20"/>
          <w:szCs w:val="20"/>
        </w:rPr>
        <w:t xml:space="preserve"> Porto Alegre, doado pela União e </w:t>
      </w:r>
      <w:r w:rsidR="00837C80" w:rsidRPr="0034064D">
        <w:rPr>
          <w:rFonts w:ascii="Arial" w:eastAsia="Arial Unicode MS" w:hAnsi="Arial" w:cs="Arial"/>
          <w:sz w:val="20"/>
          <w:szCs w:val="20"/>
        </w:rPr>
        <w:t xml:space="preserve">avaliado em </w:t>
      </w:r>
      <w:r w:rsidR="00837C80" w:rsidRPr="003F1674">
        <w:rPr>
          <w:rFonts w:ascii="Arial" w:eastAsia="Arial Unicode MS" w:hAnsi="Arial" w:cs="Arial"/>
          <w:color w:val="000000" w:themeColor="text1"/>
          <w:sz w:val="20"/>
          <w:szCs w:val="20"/>
        </w:rPr>
        <w:t xml:space="preserve">R$ </w:t>
      </w:r>
      <w:r w:rsidR="00284AEB" w:rsidRPr="003F1674">
        <w:rPr>
          <w:rFonts w:ascii="Arial" w:eastAsia="Arial Unicode MS" w:hAnsi="Arial" w:cs="Arial"/>
          <w:color w:val="000000" w:themeColor="text1"/>
          <w:sz w:val="20"/>
          <w:szCs w:val="20"/>
        </w:rPr>
        <w:t>38,5</w:t>
      </w:r>
      <w:r w:rsidR="00837C80" w:rsidRPr="003F1674">
        <w:rPr>
          <w:rFonts w:ascii="Arial" w:eastAsia="Arial Unicode MS" w:hAnsi="Arial" w:cs="Arial"/>
          <w:color w:val="000000" w:themeColor="text1"/>
          <w:sz w:val="20"/>
          <w:szCs w:val="20"/>
        </w:rPr>
        <w:t xml:space="preserve"> milhões</w:t>
      </w:r>
      <w:r w:rsidRPr="0034064D">
        <w:rPr>
          <w:rFonts w:ascii="Arial" w:eastAsia="Arial Unicode MS" w:hAnsi="Arial" w:cs="Arial"/>
          <w:sz w:val="20"/>
          <w:szCs w:val="20"/>
        </w:rPr>
        <w:t>.</w:t>
      </w:r>
      <w:r w:rsidR="00284AEB">
        <w:rPr>
          <w:rFonts w:ascii="Arial" w:eastAsia="Arial Unicode MS" w:hAnsi="Arial" w:cs="Arial"/>
          <w:sz w:val="20"/>
          <w:szCs w:val="20"/>
        </w:rPr>
        <w:t xml:space="preserve"> </w:t>
      </w:r>
    </w:p>
    <w:p w14:paraId="39AE505C" w14:textId="77777777" w:rsidR="0034064D" w:rsidRPr="00E40488" w:rsidRDefault="0034064D" w:rsidP="0034064D">
      <w:pPr>
        <w:spacing w:after="40"/>
        <w:rPr>
          <w:rFonts w:ascii="Arial" w:eastAsia="Arial Unicode MS" w:hAnsi="Arial" w:cs="Arial"/>
          <w:b/>
          <w:sz w:val="20"/>
          <w:szCs w:val="20"/>
        </w:rPr>
      </w:pPr>
      <w:r w:rsidRPr="00E40488">
        <w:rPr>
          <w:rFonts w:ascii="Arial" w:eastAsia="Arial Unicode MS" w:hAnsi="Arial" w:cs="Arial"/>
          <w:b/>
          <w:sz w:val="20"/>
          <w:szCs w:val="20"/>
        </w:rPr>
        <w:t>Campus Sertão</w:t>
      </w:r>
    </w:p>
    <w:p w14:paraId="6F4DBD39" w14:textId="38B1D86B" w:rsidR="0034064D" w:rsidRDefault="0034064D" w:rsidP="0034064D">
      <w:pPr>
        <w:spacing w:after="40"/>
        <w:rPr>
          <w:rFonts w:ascii="Arial" w:eastAsia="Arial Unicode MS" w:hAnsi="Arial" w:cs="Arial"/>
          <w:sz w:val="20"/>
          <w:szCs w:val="20"/>
        </w:rPr>
      </w:pPr>
      <w:r w:rsidRPr="0034064D">
        <w:rPr>
          <w:rFonts w:ascii="Arial" w:eastAsia="Arial Unicode MS" w:hAnsi="Arial" w:cs="Arial"/>
          <w:sz w:val="20"/>
          <w:szCs w:val="20"/>
        </w:rPr>
        <w:t xml:space="preserve">Dos Bens Imóveis de Uso </w:t>
      </w:r>
      <w:r w:rsidR="00C30501">
        <w:rPr>
          <w:rFonts w:ascii="Arial" w:eastAsia="Arial Unicode MS" w:hAnsi="Arial" w:cs="Arial"/>
          <w:sz w:val="20"/>
          <w:szCs w:val="20"/>
        </w:rPr>
        <w:t>Educacional do IFRS, cerca de 15</w:t>
      </w:r>
      <w:r w:rsidRPr="0034064D">
        <w:rPr>
          <w:rFonts w:ascii="Arial" w:eastAsia="Arial Unicode MS" w:hAnsi="Arial" w:cs="Arial"/>
          <w:sz w:val="20"/>
          <w:szCs w:val="20"/>
        </w:rPr>
        <w:t xml:space="preserve">% </w:t>
      </w:r>
      <w:r w:rsidR="00837C80">
        <w:rPr>
          <w:rFonts w:ascii="Arial" w:eastAsia="Arial Unicode MS" w:hAnsi="Arial" w:cs="Arial"/>
          <w:sz w:val="20"/>
          <w:szCs w:val="20"/>
        </w:rPr>
        <w:t>pertencem</w:t>
      </w:r>
      <w:r w:rsidRPr="0034064D">
        <w:rPr>
          <w:rFonts w:ascii="Arial" w:eastAsia="Arial Unicode MS" w:hAnsi="Arial" w:cs="Arial"/>
          <w:sz w:val="20"/>
          <w:szCs w:val="20"/>
        </w:rPr>
        <w:t xml:space="preserve"> </w:t>
      </w:r>
      <w:r w:rsidR="00837C80">
        <w:rPr>
          <w:rFonts w:ascii="Arial" w:eastAsia="Arial Unicode MS" w:hAnsi="Arial" w:cs="Arial"/>
          <w:sz w:val="20"/>
          <w:szCs w:val="20"/>
        </w:rPr>
        <w:t>ao</w:t>
      </w:r>
      <w:r w:rsidRPr="0034064D">
        <w:rPr>
          <w:rFonts w:ascii="Arial" w:eastAsia="Arial Unicode MS" w:hAnsi="Arial" w:cs="Arial"/>
          <w:sz w:val="20"/>
          <w:szCs w:val="20"/>
        </w:rPr>
        <w:t xml:space="preserve"> Campus Sertão, avaliados em R$ 30,</w:t>
      </w:r>
      <w:r w:rsidR="00806359">
        <w:rPr>
          <w:rFonts w:ascii="Arial" w:eastAsia="Arial Unicode MS" w:hAnsi="Arial" w:cs="Arial"/>
          <w:sz w:val="20"/>
          <w:szCs w:val="20"/>
        </w:rPr>
        <w:t>8</w:t>
      </w:r>
      <w:r w:rsidRPr="0034064D">
        <w:rPr>
          <w:rFonts w:ascii="Arial" w:eastAsia="Arial Unicode MS" w:hAnsi="Arial" w:cs="Arial"/>
          <w:sz w:val="20"/>
          <w:szCs w:val="20"/>
        </w:rPr>
        <w:t xml:space="preserve"> milhões, correspondente, principalmente, a fração de terra e mato destinada a agricultura, pecuária e benfeitorias: casas de moradias, oficina mecânica, garagem para veículos, marcenaria, lavanderia, depósito de veneno, alojamentos, oratório, refeitório, padaria, ginásio de esporte, prédio administrativo com salas de aula e laboratório, biblioteca com laboratório de informática, um prédio bloco A2 com 8 salas de aula, ambulatório, almoxarifado com posto de vendas, centro de artes culturas e integração, 9 salas de aula nos setores de agricultura e pecuária (agricultura I, II, III, zootecnia I, II, III, irrigação e drenagem e agroindústria), depósito de insumos, silo e beneficiamento de grãos, fábrica de ração, aviário de corte, aviário de postura, agroindústria (abatedouro, sala de vegetação e sala do leite ) suíno, ovino, cunicultura e central de inseminação de ovinos, aviário de corte experimento/ consumo da escola, sala de aula e laboratório fitopatologia e entomologia, prédio com salas de coordenação dos cursos superiores, salas de aula e administrativas dos cursos superiores, prédio do restaurante terceirizado, prédio com sala de aula licenciatura, centro de memória, guarita e pórtico de entrada curso superior, guarita e pórtico de entrada do prédio central.</w:t>
      </w:r>
    </w:p>
    <w:p w14:paraId="7D991134" w14:textId="30E16092" w:rsidR="001B7CE3" w:rsidRDefault="001B7CE3" w:rsidP="0034064D">
      <w:pPr>
        <w:spacing w:after="40"/>
        <w:rPr>
          <w:rFonts w:ascii="Arial" w:eastAsia="Arial Unicode MS" w:hAnsi="Arial" w:cs="Arial"/>
          <w:sz w:val="20"/>
          <w:szCs w:val="20"/>
        </w:rPr>
      </w:pPr>
    </w:p>
    <w:p w14:paraId="146131D0" w14:textId="780FEC39" w:rsidR="0034064D" w:rsidRPr="0034064D" w:rsidRDefault="008E66EE" w:rsidP="0034064D">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7</w:t>
      </w:r>
      <w:r w:rsidR="0034064D" w:rsidRPr="008E66EE">
        <w:rPr>
          <w:rFonts w:ascii="Arial" w:eastAsia="Arial Unicode MS" w:hAnsi="Arial" w:cs="Arial"/>
          <w:b/>
          <w:color w:val="C45911" w:themeColor="accent2" w:themeShade="BF"/>
          <w:sz w:val="24"/>
          <w:szCs w:val="24"/>
        </w:rPr>
        <w:t xml:space="preserve"> – Intangível</w:t>
      </w:r>
    </w:p>
    <w:p w14:paraId="6FC0C703" w14:textId="2520414B" w:rsidR="0034064D" w:rsidRDefault="0034064D" w:rsidP="0034064D">
      <w:pPr>
        <w:spacing w:after="40"/>
        <w:rPr>
          <w:rFonts w:ascii="Arial" w:eastAsia="Arial Unicode MS" w:hAnsi="Arial" w:cs="Arial"/>
          <w:sz w:val="20"/>
          <w:szCs w:val="20"/>
        </w:rPr>
      </w:pPr>
      <w:r w:rsidRPr="007B7427">
        <w:rPr>
          <w:rFonts w:ascii="Arial" w:eastAsia="Arial Unicode MS" w:hAnsi="Arial" w:cs="Arial"/>
          <w:sz w:val="20"/>
          <w:szCs w:val="20"/>
        </w:rPr>
        <w:t>O Ativo Intangível</w:t>
      </w:r>
      <w:r w:rsidRPr="0034064D">
        <w:rPr>
          <w:rFonts w:ascii="Arial" w:eastAsia="Arial Unicode MS" w:hAnsi="Arial" w:cs="Arial"/>
          <w:sz w:val="20"/>
          <w:szCs w:val="20"/>
        </w:rPr>
        <w:t xml:space="preserve"> do IFRS, em </w:t>
      </w:r>
      <w:r w:rsidR="00C83293">
        <w:rPr>
          <w:rFonts w:ascii="Arial" w:eastAsia="Arial Unicode MS" w:hAnsi="Arial" w:cs="Arial"/>
          <w:sz w:val="20"/>
          <w:szCs w:val="20"/>
        </w:rPr>
        <w:t>3</w:t>
      </w:r>
      <w:r w:rsidR="001905D5">
        <w:rPr>
          <w:rFonts w:ascii="Arial" w:eastAsia="Arial Unicode MS" w:hAnsi="Arial" w:cs="Arial"/>
          <w:sz w:val="20"/>
          <w:szCs w:val="20"/>
        </w:rPr>
        <w:t>0/0</w:t>
      </w:r>
      <w:r w:rsidR="00296376">
        <w:rPr>
          <w:rFonts w:ascii="Arial" w:eastAsia="Arial Unicode MS" w:hAnsi="Arial" w:cs="Arial"/>
          <w:sz w:val="20"/>
          <w:szCs w:val="20"/>
        </w:rPr>
        <w:t>9</w:t>
      </w:r>
      <w:r w:rsidR="001905D5">
        <w:rPr>
          <w:rFonts w:ascii="Arial" w:eastAsia="Arial Unicode MS" w:hAnsi="Arial" w:cs="Arial"/>
          <w:sz w:val="20"/>
          <w:szCs w:val="20"/>
        </w:rPr>
        <w:t>/</w:t>
      </w:r>
      <w:r w:rsidR="00AC0CC4">
        <w:rPr>
          <w:rFonts w:ascii="Arial" w:eastAsia="Arial Unicode MS" w:hAnsi="Arial" w:cs="Arial"/>
          <w:sz w:val="20"/>
          <w:szCs w:val="20"/>
        </w:rPr>
        <w:t>2020</w:t>
      </w:r>
      <w:r w:rsidRPr="0034064D">
        <w:rPr>
          <w:rFonts w:ascii="Arial" w:eastAsia="Arial Unicode MS" w:hAnsi="Arial" w:cs="Arial"/>
          <w:sz w:val="20"/>
          <w:szCs w:val="20"/>
        </w:rPr>
        <w:t xml:space="preserve">, totalizou R$ </w:t>
      </w:r>
      <w:r w:rsidR="004B6577">
        <w:rPr>
          <w:rFonts w:ascii="Arial" w:eastAsia="Arial Unicode MS" w:hAnsi="Arial" w:cs="Arial"/>
          <w:sz w:val="20"/>
          <w:szCs w:val="20"/>
        </w:rPr>
        <w:t>1,3 milhões</w:t>
      </w:r>
      <w:r w:rsidRPr="0034064D">
        <w:rPr>
          <w:rFonts w:ascii="Arial" w:eastAsia="Arial Unicode MS" w:hAnsi="Arial" w:cs="Arial"/>
          <w:sz w:val="20"/>
          <w:szCs w:val="20"/>
        </w:rPr>
        <w:t>, conforme detalhado na tabela a seguir.</w:t>
      </w:r>
    </w:p>
    <w:p w14:paraId="6175913E" w14:textId="41175A70" w:rsidR="00296376" w:rsidRDefault="00296376" w:rsidP="0034064D">
      <w:pPr>
        <w:spacing w:after="40"/>
        <w:rPr>
          <w:rFonts w:ascii="Arial" w:eastAsia="Arial Unicode MS" w:hAnsi="Arial" w:cs="Arial"/>
          <w:sz w:val="20"/>
          <w:szCs w:val="20"/>
        </w:rPr>
      </w:pPr>
      <w:r w:rsidRPr="00296376">
        <w:rPr>
          <w:rFonts w:ascii="Arial" w:eastAsia="Arial Unicode MS" w:hAnsi="Arial" w:cs="Arial"/>
          <w:noProof/>
          <w:sz w:val="20"/>
          <w:szCs w:val="20"/>
        </w:rPr>
        <w:lastRenderedPageBreak/>
        <w:drawing>
          <wp:inline distT="0" distB="0" distL="0" distR="0" wp14:anchorId="2079FC14" wp14:editId="3C2A62A6">
            <wp:extent cx="4623435" cy="3343275"/>
            <wp:effectExtent l="0" t="0" r="5715"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3435" cy="3343275"/>
                    </a:xfrm>
                    <a:prstGeom prst="rect">
                      <a:avLst/>
                    </a:prstGeom>
                    <a:noFill/>
                    <a:ln>
                      <a:noFill/>
                    </a:ln>
                  </pic:spPr>
                </pic:pic>
              </a:graphicData>
            </a:graphic>
          </wp:inline>
        </w:drawing>
      </w:r>
    </w:p>
    <w:p w14:paraId="699B1595" w14:textId="1D8BA620" w:rsidR="00080DE8" w:rsidRPr="0034064D" w:rsidRDefault="00080DE8" w:rsidP="0034064D">
      <w:pPr>
        <w:spacing w:after="40"/>
        <w:rPr>
          <w:rFonts w:ascii="Arial" w:eastAsia="Arial Unicode MS" w:hAnsi="Arial" w:cs="Arial"/>
          <w:sz w:val="20"/>
          <w:szCs w:val="20"/>
        </w:rPr>
      </w:pPr>
    </w:p>
    <w:p w14:paraId="6A94880E" w14:textId="53F0C582" w:rsidR="004B6577" w:rsidRDefault="004B6577" w:rsidP="0034064D">
      <w:pPr>
        <w:spacing w:after="40"/>
        <w:rPr>
          <w:rFonts w:ascii="Arial" w:eastAsia="Arial Unicode MS" w:hAnsi="Arial" w:cs="Arial"/>
          <w:sz w:val="20"/>
          <w:szCs w:val="20"/>
        </w:rPr>
      </w:pPr>
      <w:r w:rsidRPr="003750CE">
        <w:rPr>
          <w:rFonts w:ascii="Arial" w:eastAsia="Arial Unicode MS" w:hAnsi="Arial" w:cs="Arial"/>
          <w:sz w:val="20"/>
          <w:szCs w:val="20"/>
        </w:rPr>
        <w:t>Entre os softwares com valores mais representativos no âmbito do IFRS, R$ 298 mil (23%) referem-se ao software de integração e simulação flexível de manufatura, adquirido pelo campus Restinga e, R$ 110 mil (9%) referem-se a licenças de uso do Windows 2010, para utilização nos computadores do campus Feliz, fornecidos pela</w:t>
      </w:r>
      <w:r w:rsidRPr="004B6577">
        <w:rPr>
          <w:rFonts w:ascii="Arial" w:eastAsia="Arial Unicode MS" w:hAnsi="Arial" w:cs="Arial"/>
          <w:sz w:val="20"/>
          <w:szCs w:val="20"/>
        </w:rPr>
        <w:t xml:space="preserve"> Microsoft Informática LTDA.</w:t>
      </w:r>
    </w:p>
    <w:p w14:paraId="5BC508AD" w14:textId="63F0AF3E" w:rsidR="004B6577" w:rsidRDefault="004B6577" w:rsidP="0034064D">
      <w:pPr>
        <w:spacing w:after="40"/>
        <w:rPr>
          <w:rFonts w:ascii="Arial" w:eastAsia="Arial Unicode MS" w:hAnsi="Arial" w:cs="Arial"/>
          <w:sz w:val="20"/>
          <w:szCs w:val="20"/>
        </w:rPr>
      </w:pPr>
      <w:r>
        <w:rPr>
          <w:rFonts w:ascii="Arial" w:eastAsia="Arial Unicode MS" w:hAnsi="Arial" w:cs="Arial"/>
          <w:sz w:val="20"/>
          <w:szCs w:val="20"/>
        </w:rPr>
        <w:t xml:space="preserve">O aumento de </w:t>
      </w:r>
      <w:r w:rsidR="00B17734">
        <w:rPr>
          <w:rFonts w:ascii="Arial" w:eastAsia="Arial Unicode MS" w:hAnsi="Arial" w:cs="Arial"/>
          <w:sz w:val="20"/>
          <w:szCs w:val="20"/>
        </w:rPr>
        <w:t>bens intang</w:t>
      </w:r>
      <w:r w:rsidR="00C46E2A">
        <w:rPr>
          <w:rFonts w:ascii="Arial" w:eastAsia="Arial Unicode MS" w:hAnsi="Arial" w:cs="Arial"/>
          <w:sz w:val="20"/>
          <w:szCs w:val="20"/>
        </w:rPr>
        <w:t xml:space="preserve">íveis </w:t>
      </w:r>
      <w:r w:rsidR="001905D5">
        <w:rPr>
          <w:rFonts w:ascii="Arial" w:eastAsia="Arial Unicode MS" w:hAnsi="Arial" w:cs="Arial"/>
          <w:sz w:val="20"/>
          <w:szCs w:val="20"/>
        </w:rPr>
        <w:t xml:space="preserve">até o </w:t>
      </w:r>
      <w:r w:rsidR="00296376">
        <w:rPr>
          <w:rFonts w:ascii="Arial" w:eastAsia="Arial Unicode MS" w:hAnsi="Arial" w:cs="Arial"/>
          <w:sz w:val="20"/>
          <w:szCs w:val="20"/>
        </w:rPr>
        <w:t>terceiro</w:t>
      </w:r>
      <w:r w:rsidR="00C46E2A">
        <w:rPr>
          <w:rFonts w:ascii="Arial" w:eastAsia="Arial Unicode MS" w:hAnsi="Arial" w:cs="Arial"/>
          <w:sz w:val="20"/>
          <w:szCs w:val="20"/>
        </w:rPr>
        <w:t xml:space="preserve"> trimestre de 20</w:t>
      </w:r>
      <w:r w:rsidR="00AC0CC4">
        <w:rPr>
          <w:rFonts w:ascii="Arial" w:eastAsia="Arial Unicode MS" w:hAnsi="Arial" w:cs="Arial"/>
          <w:sz w:val="20"/>
          <w:szCs w:val="20"/>
        </w:rPr>
        <w:t>20</w:t>
      </w:r>
      <w:r w:rsidR="00C46E2A">
        <w:rPr>
          <w:rFonts w:ascii="Arial" w:eastAsia="Arial Unicode MS" w:hAnsi="Arial" w:cs="Arial"/>
          <w:sz w:val="20"/>
          <w:szCs w:val="20"/>
        </w:rPr>
        <w:t xml:space="preserve"> em relação </w:t>
      </w:r>
      <w:r w:rsidR="004F52C5">
        <w:rPr>
          <w:rFonts w:ascii="Arial" w:eastAsia="Arial Unicode MS" w:hAnsi="Arial" w:cs="Arial"/>
          <w:sz w:val="20"/>
          <w:szCs w:val="20"/>
        </w:rPr>
        <w:t>ao</w:t>
      </w:r>
      <w:r w:rsidR="00C46E2A">
        <w:rPr>
          <w:rFonts w:ascii="Arial" w:eastAsia="Arial Unicode MS" w:hAnsi="Arial" w:cs="Arial"/>
          <w:sz w:val="20"/>
          <w:szCs w:val="20"/>
        </w:rPr>
        <w:t xml:space="preserve"> exercício anterior </w:t>
      </w:r>
      <w:r w:rsidR="00296376">
        <w:rPr>
          <w:rFonts w:ascii="Arial" w:eastAsia="Arial Unicode MS" w:hAnsi="Arial" w:cs="Arial"/>
          <w:sz w:val="20"/>
          <w:szCs w:val="20"/>
        </w:rPr>
        <w:t xml:space="preserve">de </w:t>
      </w:r>
      <w:proofErr w:type="gramStart"/>
      <w:r w:rsidR="00296376">
        <w:rPr>
          <w:rFonts w:ascii="Arial" w:eastAsia="Arial Unicode MS" w:hAnsi="Arial" w:cs="Arial"/>
          <w:sz w:val="20"/>
          <w:szCs w:val="20"/>
        </w:rPr>
        <w:t xml:space="preserve">aproximadamente </w:t>
      </w:r>
      <w:r w:rsidR="00C46E2A">
        <w:rPr>
          <w:rFonts w:ascii="Arial" w:eastAsia="Arial Unicode MS" w:hAnsi="Arial" w:cs="Arial"/>
          <w:sz w:val="20"/>
          <w:szCs w:val="20"/>
        </w:rPr>
        <w:t xml:space="preserve"> </w:t>
      </w:r>
      <w:r w:rsidR="00296376">
        <w:rPr>
          <w:rFonts w:ascii="Arial" w:eastAsia="Arial Unicode MS" w:hAnsi="Arial" w:cs="Arial"/>
          <w:sz w:val="20"/>
          <w:szCs w:val="20"/>
        </w:rPr>
        <w:t>3</w:t>
      </w:r>
      <w:proofErr w:type="gramEnd"/>
      <w:r w:rsidR="00C46E2A">
        <w:rPr>
          <w:rFonts w:ascii="Arial" w:eastAsia="Arial Unicode MS" w:hAnsi="Arial" w:cs="Arial"/>
          <w:sz w:val="20"/>
          <w:szCs w:val="20"/>
        </w:rPr>
        <w:t>%</w:t>
      </w:r>
      <w:r w:rsidR="008E66EE">
        <w:rPr>
          <w:rFonts w:ascii="Arial" w:eastAsia="Arial Unicode MS" w:hAnsi="Arial" w:cs="Arial"/>
          <w:sz w:val="20"/>
          <w:szCs w:val="20"/>
        </w:rPr>
        <w:t>.</w:t>
      </w:r>
      <w:r w:rsidR="004F52C5">
        <w:rPr>
          <w:rFonts w:ascii="Arial" w:eastAsia="Arial Unicode MS" w:hAnsi="Arial" w:cs="Arial"/>
          <w:sz w:val="20"/>
          <w:szCs w:val="20"/>
        </w:rPr>
        <w:t xml:space="preserve"> Na tabela a seguir, a evolução da amortização acumulada.</w:t>
      </w:r>
    </w:p>
    <w:p w14:paraId="237FBDE2" w14:textId="648A8C54" w:rsidR="00A251E7" w:rsidRDefault="00A251E7" w:rsidP="0034064D">
      <w:pPr>
        <w:spacing w:after="40"/>
        <w:rPr>
          <w:rFonts w:ascii="Arial" w:eastAsia="Arial Unicode MS" w:hAnsi="Arial" w:cs="Arial"/>
          <w:sz w:val="20"/>
          <w:szCs w:val="20"/>
        </w:rPr>
      </w:pPr>
      <w:r w:rsidRPr="00A251E7">
        <w:rPr>
          <w:rFonts w:ascii="Arial" w:eastAsia="Arial Unicode MS" w:hAnsi="Arial" w:cs="Arial"/>
          <w:noProof/>
          <w:sz w:val="20"/>
          <w:szCs w:val="20"/>
        </w:rPr>
        <w:drawing>
          <wp:inline distT="0" distB="0" distL="0" distR="0" wp14:anchorId="11289DBB" wp14:editId="310D4130">
            <wp:extent cx="5793740" cy="914400"/>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3740" cy="914400"/>
                    </a:xfrm>
                    <a:prstGeom prst="rect">
                      <a:avLst/>
                    </a:prstGeom>
                    <a:noFill/>
                    <a:ln>
                      <a:noFill/>
                    </a:ln>
                  </pic:spPr>
                </pic:pic>
              </a:graphicData>
            </a:graphic>
          </wp:inline>
        </w:drawing>
      </w:r>
    </w:p>
    <w:p w14:paraId="6C7E5F45" w14:textId="6EAB0923" w:rsidR="00DC3C24" w:rsidRDefault="00DC3C24" w:rsidP="0034064D">
      <w:pPr>
        <w:spacing w:after="40"/>
        <w:rPr>
          <w:rFonts w:ascii="Arial" w:eastAsia="Arial Unicode MS" w:hAnsi="Arial" w:cs="Arial"/>
          <w:sz w:val="20"/>
          <w:szCs w:val="20"/>
        </w:rPr>
      </w:pPr>
    </w:p>
    <w:p w14:paraId="12F60C1E" w14:textId="77777777" w:rsidR="00BA2679" w:rsidRPr="0034064D" w:rsidRDefault="00BA2679" w:rsidP="00BA2679">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8</w:t>
      </w:r>
      <w:r w:rsidRPr="0034064D">
        <w:rPr>
          <w:rFonts w:ascii="Arial" w:eastAsia="Arial Unicode MS" w:hAnsi="Arial" w:cs="Arial"/>
          <w:b/>
          <w:color w:val="C45911" w:themeColor="accent2" w:themeShade="BF"/>
          <w:sz w:val="24"/>
          <w:szCs w:val="24"/>
        </w:rPr>
        <w:t xml:space="preserve"> – Obrigações Trabalhistas, Previdenciárias e Assistenciais</w:t>
      </w:r>
    </w:p>
    <w:p w14:paraId="312BE3C5" w14:textId="745A2568" w:rsidR="00D13B9B"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A tabela a seguir demonstra a composição das obrigações trabalhistas, previdenciárias e assistenciais no IFRS.</w:t>
      </w:r>
    </w:p>
    <w:p w14:paraId="415A0E54" w14:textId="7AFCB585" w:rsidR="000F6171" w:rsidRDefault="000F6171" w:rsidP="00BA2679">
      <w:pPr>
        <w:spacing w:after="40"/>
        <w:rPr>
          <w:rFonts w:ascii="Arial" w:eastAsia="Arial Unicode MS" w:hAnsi="Arial" w:cs="Arial"/>
          <w:sz w:val="20"/>
          <w:szCs w:val="20"/>
        </w:rPr>
      </w:pPr>
      <w:r w:rsidRPr="000F6171">
        <w:rPr>
          <w:rFonts w:ascii="Arial" w:eastAsia="Arial Unicode MS" w:hAnsi="Arial" w:cs="Arial"/>
          <w:noProof/>
          <w:sz w:val="20"/>
          <w:szCs w:val="20"/>
        </w:rPr>
        <w:drawing>
          <wp:inline distT="0" distB="0" distL="0" distR="0" wp14:anchorId="3E0228DF" wp14:editId="3A3E16C7">
            <wp:extent cx="4425950" cy="1448435"/>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25950" cy="1448435"/>
                    </a:xfrm>
                    <a:prstGeom prst="rect">
                      <a:avLst/>
                    </a:prstGeom>
                    <a:noFill/>
                    <a:ln>
                      <a:noFill/>
                    </a:ln>
                  </pic:spPr>
                </pic:pic>
              </a:graphicData>
            </a:graphic>
          </wp:inline>
        </w:drawing>
      </w:r>
    </w:p>
    <w:p w14:paraId="0A869F5F" w14:textId="0760DB35" w:rsidR="007B7427" w:rsidRDefault="007B7427" w:rsidP="00BA2679">
      <w:pPr>
        <w:spacing w:after="40"/>
        <w:rPr>
          <w:rFonts w:ascii="Arial" w:eastAsia="Arial Unicode MS" w:hAnsi="Arial" w:cs="Arial"/>
          <w:sz w:val="20"/>
          <w:szCs w:val="20"/>
        </w:rPr>
      </w:pPr>
    </w:p>
    <w:p w14:paraId="300F121D" w14:textId="0BAC6725"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Em sua maior parte, as obrigações trabalhistas, previdenciárias e assistenciais, em </w:t>
      </w:r>
      <w:r w:rsidR="00A06965">
        <w:rPr>
          <w:rFonts w:ascii="Arial" w:eastAsia="Arial Unicode MS" w:hAnsi="Arial" w:cs="Arial"/>
          <w:sz w:val="20"/>
          <w:szCs w:val="20"/>
        </w:rPr>
        <w:t>30/0</w:t>
      </w:r>
      <w:r w:rsidR="000F6171">
        <w:rPr>
          <w:rFonts w:ascii="Arial" w:eastAsia="Arial Unicode MS" w:hAnsi="Arial" w:cs="Arial"/>
          <w:sz w:val="20"/>
          <w:szCs w:val="20"/>
        </w:rPr>
        <w:t>9</w:t>
      </w:r>
      <w:r w:rsidR="0034086C">
        <w:rPr>
          <w:rFonts w:ascii="Arial" w:eastAsia="Arial Unicode MS" w:hAnsi="Arial" w:cs="Arial"/>
          <w:sz w:val="20"/>
          <w:szCs w:val="20"/>
        </w:rPr>
        <w:t>/</w:t>
      </w:r>
      <w:r w:rsidR="00102F17">
        <w:rPr>
          <w:rFonts w:ascii="Arial" w:eastAsia="Arial Unicode MS" w:hAnsi="Arial" w:cs="Arial"/>
          <w:sz w:val="20"/>
          <w:szCs w:val="20"/>
        </w:rPr>
        <w:t>2020</w:t>
      </w:r>
      <w:r w:rsidRPr="0034064D">
        <w:rPr>
          <w:rFonts w:ascii="Arial" w:eastAsia="Arial Unicode MS" w:hAnsi="Arial" w:cs="Arial"/>
          <w:sz w:val="20"/>
          <w:szCs w:val="20"/>
        </w:rPr>
        <w:t xml:space="preserve">, correspondem a folha de pagamento do mês de </w:t>
      </w:r>
      <w:r w:rsidR="000F6171">
        <w:rPr>
          <w:rFonts w:ascii="Arial" w:eastAsia="Arial Unicode MS" w:hAnsi="Arial" w:cs="Arial"/>
          <w:sz w:val="20"/>
          <w:szCs w:val="20"/>
        </w:rPr>
        <w:t>setembro</w:t>
      </w:r>
      <w:r w:rsidRPr="0034064D">
        <w:rPr>
          <w:rFonts w:ascii="Arial" w:eastAsia="Arial Unicode MS" w:hAnsi="Arial" w:cs="Arial"/>
          <w:sz w:val="20"/>
          <w:szCs w:val="20"/>
        </w:rPr>
        <w:t xml:space="preserve">, cujo pagamento ocorreu no mês </w:t>
      </w:r>
      <w:r w:rsidR="007B7427">
        <w:rPr>
          <w:rFonts w:ascii="Arial" w:eastAsia="Arial Unicode MS" w:hAnsi="Arial" w:cs="Arial"/>
          <w:sz w:val="20"/>
          <w:szCs w:val="20"/>
        </w:rPr>
        <w:t>subsequente</w:t>
      </w:r>
      <w:r>
        <w:rPr>
          <w:rFonts w:ascii="Arial" w:eastAsia="Arial Unicode MS" w:hAnsi="Arial" w:cs="Arial"/>
          <w:sz w:val="20"/>
          <w:szCs w:val="20"/>
        </w:rPr>
        <w:t>.</w:t>
      </w:r>
    </w:p>
    <w:p w14:paraId="4D36B136" w14:textId="77777777" w:rsidR="00BA2679" w:rsidRPr="0034064D" w:rsidRDefault="00BA2679" w:rsidP="00BA2679">
      <w:pPr>
        <w:spacing w:after="40"/>
        <w:rPr>
          <w:rFonts w:ascii="Arial" w:eastAsia="Arial Unicode MS" w:hAnsi="Arial" w:cs="Arial"/>
          <w:sz w:val="20"/>
          <w:szCs w:val="20"/>
        </w:rPr>
      </w:pPr>
    </w:p>
    <w:p w14:paraId="463933D1" w14:textId="77777777" w:rsidR="00BA2679" w:rsidRPr="0034064D" w:rsidRDefault="00BA2679" w:rsidP="00BA2679">
      <w:pPr>
        <w:spacing w:after="240"/>
        <w:ind w:firstLine="284"/>
        <w:rPr>
          <w:rFonts w:ascii="Arial" w:eastAsia="Arial Unicode MS" w:hAnsi="Arial" w:cs="Arial"/>
          <w:b/>
          <w:color w:val="C45911" w:themeColor="accent2" w:themeShade="BF"/>
          <w:sz w:val="24"/>
          <w:szCs w:val="24"/>
        </w:rPr>
      </w:pPr>
      <w:r w:rsidRPr="00C544CF">
        <w:rPr>
          <w:rFonts w:ascii="Arial" w:eastAsia="Arial Unicode MS" w:hAnsi="Arial" w:cs="Arial"/>
          <w:b/>
          <w:color w:val="C45911" w:themeColor="accent2" w:themeShade="BF"/>
          <w:sz w:val="24"/>
          <w:szCs w:val="24"/>
        </w:rPr>
        <w:t>Nota 9 – Obrigações a Curto e Longo Prazo</w:t>
      </w:r>
    </w:p>
    <w:p w14:paraId="1B85B28B" w14:textId="63B966B7"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Em </w:t>
      </w:r>
      <w:r w:rsidR="00045D11">
        <w:rPr>
          <w:rFonts w:ascii="Arial" w:eastAsia="Arial Unicode MS" w:hAnsi="Arial" w:cs="Arial"/>
          <w:sz w:val="20"/>
          <w:szCs w:val="20"/>
        </w:rPr>
        <w:t>30/0</w:t>
      </w:r>
      <w:r w:rsidR="00DE2B5D">
        <w:rPr>
          <w:rFonts w:ascii="Arial" w:eastAsia="Arial Unicode MS" w:hAnsi="Arial" w:cs="Arial"/>
          <w:sz w:val="20"/>
          <w:szCs w:val="20"/>
        </w:rPr>
        <w:t>9</w:t>
      </w:r>
      <w:r w:rsidR="00170F6E">
        <w:rPr>
          <w:rFonts w:ascii="Arial" w:eastAsia="Arial Unicode MS" w:hAnsi="Arial" w:cs="Arial"/>
          <w:sz w:val="20"/>
          <w:szCs w:val="20"/>
        </w:rPr>
        <w:t>/2020</w:t>
      </w:r>
      <w:r w:rsidRPr="00C544CF">
        <w:rPr>
          <w:rFonts w:ascii="Arial" w:eastAsia="Arial Unicode MS" w:hAnsi="Arial" w:cs="Arial"/>
          <w:sz w:val="20"/>
          <w:szCs w:val="20"/>
        </w:rPr>
        <w:t xml:space="preserve">, o IFRS apresentou um saldo de R$ </w:t>
      </w:r>
      <w:r w:rsidR="00045D11">
        <w:rPr>
          <w:rFonts w:ascii="Arial" w:eastAsia="Arial Unicode MS" w:hAnsi="Arial" w:cs="Arial"/>
          <w:sz w:val="20"/>
          <w:szCs w:val="20"/>
        </w:rPr>
        <w:t>4</w:t>
      </w:r>
      <w:r w:rsidR="00DE2B5D">
        <w:rPr>
          <w:rFonts w:ascii="Arial" w:eastAsia="Arial Unicode MS" w:hAnsi="Arial" w:cs="Arial"/>
          <w:sz w:val="20"/>
          <w:szCs w:val="20"/>
        </w:rPr>
        <w:t>8</w:t>
      </w:r>
      <w:r w:rsidRPr="00C544CF">
        <w:rPr>
          <w:rFonts w:ascii="Arial" w:eastAsia="Arial Unicode MS" w:hAnsi="Arial" w:cs="Arial"/>
          <w:sz w:val="20"/>
          <w:szCs w:val="20"/>
        </w:rPr>
        <w:t xml:space="preserve"> milhões de obrigações a curto e longo prazo, sendo 100% do total de obrigações a curto prazo, ou seja, que deverão ser pagos dentro de um prazo de doze meses seguintes, conforme tabela a seguir.</w:t>
      </w:r>
    </w:p>
    <w:p w14:paraId="0B9E8B74" w14:textId="55ADD400" w:rsidR="00DE2B5D" w:rsidRDefault="00DE2B5D" w:rsidP="00BA2679">
      <w:pPr>
        <w:spacing w:after="40"/>
        <w:rPr>
          <w:rFonts w:ascii="Arial" w:eastAsia="Arial Unicode MS" w:hAnsi="Arial" w:cs="Arial"/>
          <w:sz w:val="20"/>
          <w:szCs w:val="20"/>
        </w:rPr>
      </w:pPr>
      <w:r w:rsidRPr="00DE2B5D">
        <w:rPr>
          <w:rFonts w:ascii="Arial" w:eastAsia="Arial Unicode MS" w:hAnsi="Arial" w:cs="Arial"/>
          <w:noProof/>
          <w:sz w:val="20"/>
          <w:szCs w:val="20"/>
        </w:rPr>
        <w:lastRenderedPageBreak/>
        <w:drawing>
          <wp:inline distT="0" distB="0" distL="0" distR="0" wp14:anchorId="50C70416" wp14:editId="0E7FBE22">
            <wp:extent cx="5727700" cy="1455420"/>
            <wp:effectExtent l="0" t="0" r="635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7700" cy="1455420"/>
                    </a:xfrm>
                    <a:prstGeom prst="rect">
                      <a:avLst/>
                    </a:prstGeom>
                    <a:noFill/>
                    <a:ln>
                      <a:noFill/>
                    </a:ln>
                  </pic:spPr>
                </pic:pic>
              </a:graphicData>
            </a:graphic>
          </wp:inline>
        </w:drawing>
      </w:r>
    </w:p>
    <w:p w14:paraId="1C8F7D3E" w14:textId="77777777" w:rsidR="00522A33" w:rsidRDefault="00522A33" w:rsidP="00BA2679">
      <w:pPr>
        <w:spacing w:after="40"/>
        <w:rPr>
          <w:rFonts w:ascii="Arial" w:eastAsia="Arial Unicode MS" w:hAnsi="Arial" w:cs="Arial"/>
          <w:sz w:val="20"/>
          <w:szCs w:val="20"/>
        </w:rPr>
      </w:pPr>
    </w:p>
    <w:p w14:paraId="5119E8F8" w14:textId="1891AD4B"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A maior parte do passivo do IFRS com obrigações se refere a demais obrigações a curto prazo, que representam 9</w:t>
      </w:r>
      <w:r w:rsidR="00865981">
        <w:rPr>
          <w:rFonts w:ascii="Arial" w:eastAsia="Arial Unicode MS" w:hAnsi="Arial" w:cs="Arial"/>
          <w:sz w:val="20"/>
          <w:szCs w:val="20"/>
        </w:rPr>
        <w:t>6</w:t>
      </w:r>
      <w:r w:rsidRPr="00C544CF">
        <w:rPr>
          <w:rFonts w:ascii="Arial" w:eastAsia="Arial Unicode MS" w:hAnsi="Arial" w:cs="Arial"/>
          <w:sz w:val="20"/>
          <w:szCs w:val="20"/>
        </w:rPr>
        <w:t>% do total.</w:t>
      </w:r>
    </w:p>
    <w:p w14:paraId="6A0B5658" w14:textId="77777777"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(a)</w:t>
      </w:r>
      <w:r w:rsidRPr="00C544CF">
        <w:rPr>
          <w:rFonts w:ascii="Arial" w:eastAsia="Arial Unicode MS" w:hAnsi="Arial" w:cs="Arial"/>
          <w:sz w:val="20"/>
          <w:szCs w:val="20"/>
        </w:rPr>
        <w:tab/>
        <w:t>Fornecedores e Contas a Pagar a Curto Prazo</w:t>
      </w:r>
    </w:p>
    <w:p w14:paraId="4FFC6F85" w14:textId="372B3278"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Na tabela a seguir, são listadas as Unidades Gestoras com valores mais expressivos de fornecedores e contas a pagar a curto prazo na data base de </w:t>
      </w:r>
      <w:r w:rsidR="00F16ECF">
        <w:rPr>
          <w:rFonts w:ascii="Arial" w:eastAsia="Arial Unicode MS" w:hAnsi="Arial" w:cs="Arial"/>
          <w:sz w:val="20"/>
          <w:szCs w:val="20"/>
        </w:rPr>
        <w:t>30/0</w:t>
      </w:r>
      <w:r w:rsidR="00A51483">
        <w:rPr>
          <w:rFonts w:ascii="Arial" w:eastAsia="Arial Unicode MS" w:hAnsi="Arial" w:cs="Arial"/>
          <w:sz w:val="20"/>
          <w:szCs w:val="20"/>
        </w:rPr>
        <w:t>9</w:t>
      </w:r>
      <w:r w:rsidR="00BC7972">
        <w:rPr>
          <w:rFonts w:ascii="Arial" w:eastAsia="Arial Unicode MS" w:hAnsi="Arial" w:cs="Arial"/>
          <w:sz w:val="20"/>
          <w:szCs w:val="20"/>
        </w:rPr>
        <w:t>/2020</w:t>
      </w:r>
      <w:r w:rsidRPr="00C544CF">
        <w:rPr>
          <w:rFonts w:ascii="Arial" w:eastAsia="Arial Unicode MS" w:hAnsi="Arial" w:cs="Arial"/>
          <w:sz w:val="20"/>
          <w:szCs w:val="20"/>
        </w:rPr>
        <w:t xml:space="preserve">. </w:t>
      </w:r>
      <w:r w:rsidR="00BC7972">
        <w:rPr>
          <w:rFonts w:ascii="Arial" w:eastAsia="Arial Unicode MS" w:hAnsi="Arial" w:cs="Arial"/>
          <w:sz w:val="20"/>
          <w:szCs w:val="20"/>
        </w:rPr>
        <w:t xml:space="preserve">O Campus </w:t>
      </w:r>
      <w:r w:rsidR="00F16ECF">
        <w:rPr>
          <w:rFonts w:ascii="Arial" w:eastAsia="Arial Unicode MS" w:hAnsi="Arial" w:cs="Arial"/>
          <w:sz w:val="20"/>
          <w:szCs w:val="20"/>
        </w:rPr>
        <w:t xml:space="preserve">Porto Alegre e </w:t>
      </w:r>
      <w:r w:rsidR="00A51483">
        <w:rPr>
          <w:rFonts w:ascii="Arial" w:eastAsia="Arial Unicode MS" w:hAnsi="Arial" w:cs="Arial"/>
          <w:sz w:val="20"/>
          <w:szCs w:val="20"/>
        </w:rPr>
        <w:t>Campus Viamão</w:t>
      </w:r>
      <w:r w:rsidR="00F16ECF">
        <w:rPr>
          <w:rFonts w:ascii="Arial" w:eastAsia="Arial Unicode MS" w:hAnsi="Arial" w:cs="Arial"/>
          <w:sz w:val="20"/>
          <w:szCs w:val="20"/>
        </w:rPr>
        <w:t xml:space="preserve"> </w:t>
      </w:r>
      <w:r w:rsidRPr="00C544CF">
        <w:rPr>
          <w:rFonts w:ascii="Arial" w:eastAsia="Arial Unicode MS" w:hAnsi="Arial" w:cs="Arial"/>
          <w:sz w:val="20"/>
          <w:szCs w:val="20"/>
        </w:rPr>
        <w:t>destacam-se entre as Unidades com os maiores saldos a pagar (</w:t>
      </w:r>
      <w:r w:rsidR="00A51483">
        <w:rPr>
          <w:rFonts w:ascii="Arial" w:eastAsia="Arial Unicode MS" w:hAnsi="Arial" w:cs="Arial"/>
          <w:sz w:val="20"/>
          <w:szCs w:val="20"/>
        </w:rPr>
        <w:t>ambos com 17% d</w:t>
      </w:r>
      <w:r w:rsidRPr="00C544CF">
        <w:rPr>
          <w:rFonts w:ascii="Arial" w:eastAsia="Arial Unicode MS" w:hAnsi="Arial" w:cs="Arial"/>
          <w:sz w:val="20"/>
          <w:szCs w:val="20"/>
        </w:rPr>
        <w:t>o total a ser pago).</w:t>
      </w:r>
    </w:p>
    <w:p w14:paraId="5024FB74" w14:textId="703AD8F7"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O saldo da conta fornecedores e contas a pagar em </w:t>
      </w:r>
      <w:r w:rsidR="00F16ECF">
        <w:rPr>
          <w:rFonts w:ascii="Arial" w:eastAsia="Arial Unicode MS" w:hAnsi="Arial" w:cs="Arial"/>
          <w:sz w:val="20"/>
          <w:szCs w:val="20"/>
        </w:rPr>
        <w:t>30/0</w:t>
      </w:r>
      <w:r w:rsidR="00A51483">
        <w:rPr>
          <w:rFonts w:ascii="Arial" w:eastAsia="Arial Unicode MS" w:hAnsi="Arial" w:cs="Arial"/>
          <w:sz w:val="20"/>
          <w:szCs w:val="20"/>
        </w:rPr>
        <w:t>9</w:t>
      </w:r>
      <w:r w:rsidR="00BC7972">
        <w:rPr>
          <w:rFonts w:ascii="Arial" w:eastAsia="Arial Unicode MS" w:hAnsi="Arial" w:cs="Arial"/>
          <w:sz w:val="20"/>
          <w:szCs w:val="20"/>
        </w:rPr>
        <w:t>/2020</w:t>
      </w:r>
      <w:r w:rsidRPr="00C544CF">
        <w:rPr>
          <w:rFonts w:ascii="Arial" w:eastAsia="Arial Unicode MS" w:hAnsi="Arial" w:cs="Arial"/>
          <w:sz w:val="20"/>
          <w:szCs w:val="20"/>
        </w:rPr>
        <w:t xml:space="preserve"> </w:t>
      </w:r>
      <w:r w:rsidR="00BC7972">
        <w:rPr>
          <w:rFonts w:ascii="Arial" w:eastAsia="Arial Unicode MS" w:hAnsi="Arial" w:cs="Arial"/>
          <w:sz w:val="20"/>
          <w:szCs w:val="20"/>
        </w:rPr>
        <w:t xml:space="preserve">diminuiu </w:t>
      </w:r>
      <w:r w:rsidRPr="00C544CF">
        <w:rPr>
          <w:rFonts w:ascii="Arial" w:eastAsia="Arial Unicode MS" w:hAnsi="Arial" w:cs="Arial"/>
          <w:sz w:val="20"/>
          <w:szCs w:val="20"/>
        </w:rPr>
        <w:t xml:space="preserve">em aproximadamente em </w:t>
      </w:r>
      <w:r w:rsidR="00A51483">
        <w:rPr>
          <w:rFonts w:ascii="Arial" w:eastAsia="Arial Unicode MS" w:hAnsi="Arial" w:cs="Arial"/>
          <w:sz w:val="20"/>
          <w:szCs w:val="20"/>
        </w:rPr>
        <w:t>53</w:t>
      </w:r>
      <w:r w:rsidR="00BC7972">
        <w:rPr>
          <w:rFonts w:ascii="Arial" w:eastAsia="Arial Unicode MS" w:hAnsi="Arial" w:cs="Arial"/>
          <w:sz w:val="20"/>
          <w:szCs w:val="20"/>
        </w:rPr>
        <w:t xml:space="preserve">% em </w:t>
      </w:r>
      <w:r w:rsidRPr="00C544CF">
        <w:rPr>
          <w:rFonts w:ascii="Arial" w:eastAsia="Arial Unicode MS" w:hAnsi="Arial" w:cs="Arial"/>
          <w:sz w:val="20"/>
          <w:szCs w:val="20"/>
        </w:rPr>
        <w:t xml:space="preserve">comparação a </w:t>
      </w:r>
      <w:r w:rsidR="009919A0">
        <w:rPr>
          <w:rFonts w:ascii="Arial" w:eastAsia="Arial Unicode MS" w:hAnsi="Arial" w:cs="Arial"/>
          <w:sz w:val="20"/>
          <w:szCs w:val="20"/>
        </w:rPr>
        <w:t>31/12</w:t>
      </w:r>
      <w:r w:rsidRPr="00C544CF">
        <w:rPr>
          <w:rFonts w:ascii="Arial" w:eastAsia="Arial Unicode MS" w:hAnsi="Arial" w:cs="Arial"/>
          <w:sz w:val="20"/>
          <w:szCs w:val="20"/>
        </w:rPr>
        <w:t>/201</w:t>
      </w:r>
      <w:r w:rsidR="00BC7972">
        <w:rPr>
          <w:rFonts w:ascii="Arial" w:eastAsia="Arial Unicode MS" w:hAnsi="Arial" w:cs="Arial"/>
          <w:sz w:val="20"/>
          <w:szCs w:val="20"/>
        </w:rPr>
        <w:t>9</w:t>
      </w:r>
      <w:r w:rsidRPr="00C544CF">
        <w:rPr>
          <w:rFonts w:ascii="Arial" w:eastAsia="Arial Unicode MS" w:hAnsi="Arial" w:cs="Arial"/>
          <w:sz w:val="20"/>
          <w:szCs w:val="20"/>
        </w:rPr>
        <w:t xml:space="preserve">. </w:t>
      </w:r>
      <w:r w:rsidR="00BC7972">
        <w:rPr>
          <w:rFonts w:ascii="Arial" w:eastAsia="Arial Unicode MS" w:hAnsi="Arial" w:cs="Arial"/>
          <w:sz w:val="20"/>
          <w:szCs w:val="20"/>
        </w:rPr>
        <w:t xml:space="preserve">O Campus </w:t>
      </w:r>
      <w:r w:rsidR="00F16ECF">
        <w:rPr>
          <w:rFonts w:ascii="Arial" w:eastAsia="Arial Unicode MS" w:hAnsi="Arial" w:cs="Arial"/>
          <w:sz w:val="20"/>
          <w:szCs w:val="20"/>
        </w:rPr>
        <w:t xml:space="preserve">Porto Alegre </w:t>
      </w:r>
      <w:r w:rsidRPr="00C544CF">
        <w:rPr>
          <w:rFonts w:ascii="Arial" w:eastAsia="Arial Unicode MS" w:hAnsi="Arial" w:cs="Arial"/>
          <w:sz w:val="20"/>
          <w:szCs w:val="20"/>
        </w:rPr>
        <w:t xml:space="preserve">que nesta data tem o maior saldo a pagar na ordem de R$ </w:t>
      </w:r>
      <w:r w:rsidR="00F16ECF">
        <w:rPr>
          <w:rFonts w:ascii="Arial" w:eastAsia="Arial Unicode MS" w:hAnsi="Arial" w:cs="Arial"/>
          <w:sz w:val="20"/>
          <w:szCs w:val="20"/>
        </w:rPr>
        <w:t>2</w:t>
      </w:r>
      <w:r w:rsidR="00A51483">
        <w:rPr>
          <w:rFonts w:ascii="Arial" w:eastAsia="Arial Unicode MS" w:hAnsi="Arial" w:cs="Arial"/>
          <w:sz w:val="20"/>
          <w:szCs w:val="20"/>
        </w:rPr>
        <w:t>10</w:t>
      </w:r>
      <w:r w:rsidR="00BC7972">
        <w:rPr>
          <w:rFonts w:ascii="Arial" w:eastAsia="Arial Unicode MS" w:hAnsi="Arial" w:cs="Arial"/>
          <w:sz w:val="20"/>
          <w:szCs w:val="20"/>
        </w:rPr>
        <w:t xml:space="preserve"> mil</w:t>
      </w:r>
      <w:r>
        <w:rPr>
          <w:rFonts w:ascii="Arial" w:eastAsia="Arial Unicode MS" w:hAnsi="Arial" w:cs="Arial"/>
          <w:sz w:val="20"/>
          <w:szCs w:val="20"/>
        </w:rPr>
        <w:t xml:space="preserve">, </w:t>
      </w:r>
      <w:r w:rsidR="00AF3E0C">
        <w:rPr>
          <w:rFonts w:ascii="Arial" w:eastAsia="Arial Unicode MS" w:hAnsi="Arial" w:cs="Arial"/>
          <w:sz w:val="20"/>
          <w:szCs w:val="20"/>
        </w:rPr>
        <w:t xml:space="preserve">elevou </w:t>
      </w:r>
      <w:r w:rsidR="009F0309">
        <w:rPr>
          <w:rFonts w:ascii="Arial" w:eastAsia="Arial Unicode MS" w:hAnsi="Arial" w:cs="Arial"/>
          <w:sz w:val="20"/>
          <w:szCs w:val="20"/>
        </w:rPr>
        <w:t xml:space="preserve">seu saldo em R$ </w:t>
      </w:r>
      <w:r w:rsidR="00A51483">
        <w:rPr>
          <w:rFonts w:ascii="Arial" w:eastAsia="Arial Unicode MS" w:hAnsi="Arial" w:cs="Arial"/>
          <w:sz w:val="20"/>
          <w:szCs w:val="20"/>
        </w:rPr>
        <w:t>164</w:t>
      </w:r>
      <w:r w:rsidR="009F0309">
        <w:rPr>
          <w:rFonts w:ascii="Arial" w:eastAsia="Arial Unicode MS" w:hAnsi="Arial" w:cs="Arial"/>
          <w:sz w:val="20"/>
          <w:szCs w:val="20"/>
        </w:rPr>
        <w:t xml:space="preserve"> mil</w:t>
      </w:r>
      <w:r w:rsidR="00E44FFA">
        <w:rPr>
          <w:rFonts w:ascii="Arial" w:eastAsia="Arial Unicode MS" w:hAnsi="Arial" w:cs="Arial"/>
          <w:sz w:val="20"/>
          <w:szCs w:val="20"/>
        </w:rPr>
        <w:t xml:space="preserve"> em comparação ao </w:t>
      </w:r>
      <w:r w:rsidR="00F16ECF">
        <w:rPr>
          <w:rFonts w:ascii="Arial" w:eastAsia="Arial Unicode MS" w:hAnsi="Arial" w:cs="Arial"/>
          <w:sz w:val="20"/>
          <w:szCs w:val="20"/>
        </w:rPr>
        <w:t>exercício</w:t>
      </w:r>
      <w:r w:rsidR="00E44FFA">
        <w:rPr>
          <w:rFonts w:ascii="Arial" w:eastAsia="Arial Unicode MS" w:hAnsi="Arial" w:cs="Arial"/>
          <w:sz w:val="20"/>
          <w:szCs w:val="20"/>
        </w:rPr>
        <w:t xml:space="preserve"> anterior</w:t>
      </w:r>
      <w:r w:rsidRPr="00C544CF">
        <w:rPr>
          <w:rFonts w:ascii="Arial" w:eastAsia="Arial Unicode MS" w:hAnsi="Arial" w:cs="Arial"/>
          <w:sz w:val="20"/>
          <w:szCs w:val="20"/>
        </w:rPr>
        <w:t xml:space="preserve">. Alguns </w:t>
      </w:r>
      <w:r w:rsidR="001951AF">
        <w:rPr>
          <w:rFonts w:ascii="Arial" w:eastAsia="Arial Unicode MS" w:hAnsi="Arial" w:cs="Arial"/>
          <w:sz w:val="20"/>
          <w:szCs w:val="20"/>
        </w:rPr>
        <w:t>c</w:t>
      </w:r>
      <w:r w:rsidRPr="00C544CF">
        <w:rPr>
          <w:rFonts w:ascii="Arial" w:eastAsia="Arial Unicode MS" w:hAnsi="Arial" w:cs="Arial"/>
          <w:sz w:val="20"/>
          <w:szCs w:val="20"/>
        </w:rPr>
        <w:t>ampi experimentaram um</w:t>
      </w:r>
      <w:r w:rsidR="001951AF">
        <w:rPr>
          <w:rFonts w:ascii="Arial" w:eastAsia="Arial Unicode MS" w:hAnsi="Arial" w:cs="Arial"/>
          <w:sz w:val="20"/>
          <w:szCs w:val="20"/>
        </w:rPr>
        <w:t>a diminuição</w:t>
      </w:r>
      <w:r w:rsidRPr="00C544CF">
        <w:rPr>
          <w:rFonts w:ascii="Arial" w:eastAsia="Arial Unicode MS" w:hAnsi="Arial" w:cs="Arial"/>
          <w:sz w:val="20"/>
          <w:szCs w:val="20"/>
        </w:rPr>
        <w:t xml:space="preserve"> em relação ao </w:t>
      </w:r>
      <w:r w:rsidR="001951AF">
        <w:rPr>
          <w:rFonts w:ascii="Arial" w:eastAsia="Arial Unicode MS" w:hAnsi="Arial" w:cs="Arial"/>
          <w:sz w:val="20"/>
          <w:szCs w:val="20"/>
        </w:rPr>
        <w:t>exercício</w:t>
      </w:r>
      <w:r w:rsidRPr="00C544CF">
        <w:rPr>
          <w:rFonts w:ascii="Arial" w:eastAsia="Arial Unicode MS" w:hAnsi="Arial" w:cs="Arial"/>
          <w:sz w:val="20"/>
          <w:szCs w:val="20"/>
        </w:rPr>
        <w:t xml:space="preserve"> anterior, </w:t>
      </w:r>
      <w:r w:rsidR="009F0309">
        <w:rPr>
          <w:rFonts w:ascii="Arial" w:eastAsia="Arial Unicode MS" w:hAnsi="Arial" w:cs="Arial"/>
          <w:sz w:val="20"/>
          <w:szCs w:val="20"/>
        </w:rPr>
        <w:t>como por exemplo a Reitoria que reduziu em R$ 2</w:t>
      </w:r>
      <w:r w:rsidR="00E44FFA">
        <w:rPr>
          <w:rFonts w:ascii="Arial" w:eastAsia="Arial Unicode MS" w:hAnsi="Arial" w:cs="Arial"/>
          <w:sz w:val="20"/>
          <w:szCs w:val="20"/>
        </w:rPr>
        <w:t>,</w:t>
      </w:r>
      <w:r w:rsidR="00A51483">
        <w:rPr>
          <w:rFonts w:ascii="Arial" w:eastAsia="Arial Unicode MS" w:hAnsi="Arial" w:cs="Arial"/>
          <w:sz w:val="20"/>
          <w:szCs w:val="20"/>
        </w:rPr>
        <w:t>3</w:t>
      </w:r>
      <w:r w:rsidR="009F0309">
        <w:rPr>
          <w:rFonts w:ascii="Arial" w:eastAsia="Arial Unicode MS" w:hAnsi="Arial" w:cs="Arial"/>
          <w:sz w:val="20"/>
          <w:szCs w:val="20"/>
        </w:rPr>
        <w:t xml:space="preserve"> milhões, o que </w:t>
      </w:r>
      <w:r w:rsidR="00A51483">
        <w:rPr>
          <w:rFonts w:ascii="Arial" w:eastAsia="Arial Unicode MS" w:hAnsi="Arial" w:cs="Arial"/>
          <w:sz w:val="20"/>
          <w:szCs w:val="20"/>
        </w:rPr>
        <w:t xml:space="preserve">contribuiu significativamente para a </w:t>
      </w:r>
      <w:r w:rsidR="009F0309">
        <w:rPr>
          <w:rFonts w:ascii="Arial" w:eastAsia="Arial Unicode MS" w:hAnsi="Arial" w:cs="Arial"/>
          <w:sz w:val="20"/>
          <w:szCs w:val="20"/>
        </w:rPr>
        <w:t xml:space="preserve">diminuição de mais de R$ </w:t>
      </w:r>
      <w:r w:rsidR="00A51483">
        <w:rPr>
          <w:rFonts w:ascii="Arial" w:eastAsia="Arial Unicode MS" w:hAnsi="Arial" w:cs="Arial"/>
          <w:sz w:val="20"/>
          <w:szCs w:val="20"/>
        </w:rPr>
        <w:t xml:space="preserve">1,4 milhões </w:t>
      </w:r>
      <w:r w:rsidR="00985BFF">
        <w:rPr>
          <w:rFonts w:ascii="Arial" w:eastAsia="Arial Unicode MS" w:hAnsi="Arial" w:cs="Arial"/>
          <w:sz w:val="20"/>
          <w:szCs w:val="20"/>
        </w:rPr>
        <w:t xml:space="preserve">sobre o montante </w:t>
      </w:r>
      <w:r w:rsidR="00A51483">
        <w:rPr>
          <w:rFonts w:ascii="Arial" w:eastAsia="Arial Unicode MS" w:hAnsi="Arial" w:cs="Arial"/>
          <w:sz w:val="20"/>
          <w:szCs w:val="20"/>
        </w:rPr>
        <w:t xml:space="preserve">total </w:t>
      </w:r>
      <w:r w:rsidR="00985BFF">
        <w:rPr>
          <w:rFonts w:ascii="Arial" w:eastAsia="Arial Unicode MS" w:hAnsi="Arial" w:cs="Arial"/>
          <w:sz w:val="20"/>
          <w:szCs w:val="20"/>
        </w:rPr>
        <w:t xml:space="preserve">a pagar </w:t>
      </w:r>
      <w:r w:rsidR="00A51483">
        <w:rPr>
          <w:rFonts w:ascii="Arial" w:eastAsia="Arial Unicode MS" w:hAnsi="Arial" w:cs="Arial"/>
          <w:sz w:val="20"/>
          <w:szCs w:val="20"/>
        </w:rPr>
        <w:t>até o final d</w:t>
      </w:r>
      <w:r w:rsidR="00985BFF">
        <w:rPr>
          <w:rFonts w:ascii="Arial" w:eastAsia="Arial Unicode MS" w:hAnsi="Arial" w:cs="Arial"/>
          <w:sz w:val="20"/>
          <w:szCs w:val="20"/>
        </w:rPr>
        <w:t xml:space="preserve">o trimestre </w:t>
      </w:r>
      <w:r w:rsidR="00A51483">
        <w:rPr>
          <w:rFonts w:ascii="Arial" w:eastAsia="Arial Unicode MS" w:hAnsi="Arial" w:cs="Arial"/>
          <w:sz w:val="20"/>
          <w:szCs w:val="20"/>
        </w:rPr>
        <w:t xml:space="preserve">na ordem de </w:t>
      </w:r>
      <w:r w:rsidR="009F0309">
        <w:rPr>
          <w:rFonts w:ascii="Arial" w:eastAsia="Arial Unicode MS" w:hAnsi="Arial" w:cs="Arial"/>
          <w:sz w:val="20"/>
          <w:szCs w:val="20"/>
        </w:rPr>
        <w:t xml:space="preserve">R$ </w:t>
      </w:r>
      <w:r w:rsidR="00F16ECF">
        <w:rPr>
          <w:rFonts w:ascii="Arial" w:eastAsia="Arial Unicode MS" w:hAnsi="Arial" w:cs="Arial"/>
          <w:sz w:val="20"/>
          <w:szCs w:val="20"/>
        </w:rPr>
        <w:t>1,</w:t>
      </w:r>
      <w:proofErr w:type="gramStart"/>
      <w:r w:rsidR="00A51483">
        <w:rPr>
          <w:rFonts w:ascii="Arial" w:eastAsia="Arial Unicode MS" w:hAnsi="Arial" w:cs="Arial"/>
          <w:sz w:val="20"/>
          <w:szCs w:val="20"/>
        </w:rPr>
        <w:t>2</w:t>
      </w:r>
      <w:r w:rsidR="007F07C5">
        <w:rPr>
          <w:rFonts w:ascii="Arial" w:eastAsia="Arial Unicode MS" w:hAnsi="Arial" w:cs="Arial"/>
          <w:sz w:val="20"/>
          <w:szCs w:val="20"/>
        </w:rPr>
        <w:t xml:space="preserve"> </w:t>
      </w:r>
      <w:r w:rsidR="009F0309">
        <w:rPr>
          <w:rFonts w:ascii="Arial" w:eastAsia="Arial Unicode MS" w:hAnsi="Arial" w:cs="Arial"/>
          <w:sz w:val="20"/>
          <w:szCs w:val="20"/>
        </w:rPr>
        <w:t xml:space="preserve"> milhões</w:t>
      </w:r>
      <w:proofErr w:type="gramEnd"/>
      <w:r w:rsidR="009F0309">
        <w:rPr>
          <w:rFonts w:ascii="Arial" w:eastAsia="Arial Unicode MS" w:hAnsi="Arial" w:cs="Arial"/>
          <w:sz w:val="20"/>
          <w:szCs w:val="20"/>
        </w:rPr>
        <w:t>.</w:t>
      </w:r>
    </w:p>
    <w:p w14:paraId="3C4E8F33" w14:textId="7B04A13E" w:rsidR="00A51483" w:rsidRDefault="00A51483" w:rsidP="00BA2679">
      <w:pPr>
        <w:spacing w:after="40"/>
        <w:rPr>
          <w:rFonts w:ascii="Arial" w:eastAsia="Arial Unicode MS" w:hAnsi="Arial" w:cs="Arial"/>
          <w:sz w:val="20"/>
          <w:szCs w:val="20"/>
        </w:rPr>
      </w:pPr>
      <w:r w:rsidRPr="00A51483">
        <w:rPr>
          <w:rFonts w:ascii="Arial" w:eastAsia="Arial Unicode MS" w:hAnsi="Arial" w:cs="Arial"/>
          <w:noProof/>
          <w:sz w:val="20"/>
          <w:szCs w:val="20"/>
        </w:rPr>
        <w:drawing>
          <wp:inline distT="0" distB="0" distL="0" distR="0" wp14:anchorId="598BCD62" wp14:editId="3117D9A0">
            <wp:extent cx="5142865" cy="4008755"/>
            <wp:effectExtent l="0" t="0" r="635"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2865" cy="4008755"/>
                    </a:xfrm>
                    <a:prstGeom prst="rect">
                      <a:avLst/>
                    </a:prstGeom>
                    <a:noFill/>
                    <a:ln>
                      <a:noFill/>
                    </a:ln>
                  </pic:spPr>
                </pic:pic>
              </a:graphicData>
            </a:graphic>
          </wp:inline>
        </w:drawing>
      </w:r>
    </w:p>
    <w:p w14:paraId="2771E205" w14:textId="77777777" w:rsidR="00451578" w:rsidRPr="00B05322" w:rsidRDefault="00451578" w:rsidP="00B05322">
      <w:pPr>
        <w:spacing w:after="40"/>
        <w:rPr>
          <w:rFonts w:ascii="Arial" w:eastAsia="Arial Unicode MS" w:hAnsi="Arial" w:cs="Arial"/>
          <w:sz w:val="20"/>
          <w:szCs w:val="20"/>
        </w:rPr>
      </w:pPr>
    </w:p>
    <w:p w14:paraId="319A7914" w14:textId="0B5FA424" w:rsidR="00B05322" w:rsidRPr="00C544CF" w:rsidRDefault="00BA2679" w:rsidP="00B05322">
      <w:pPr>
        <w:spacing w:after="40"/>
        <w:rPr>
          <w:rFonts w:ascii="Arial" w:eastAsia="Arial Unicode MS" w:hAnsi="Arial" w:cs="Arial"/>
          <w:sz w:val="20"/>
          <w:szCs w:val="20"/>
        </w:rPr>
      </w:pPr>
      <w:r w:rsidRPr="00C544CF">
        <w:rPr>
          <w:rFonts w:ascii="Arial" w:eastAsia="Arial Unicode MS" w:hAnsi="Arial" w:cs="Arial"/>
          <w:sz w:val="20"/>
          <w:szCs w:val="20"/>
        </w:rPr>
        <w:t xml:space="preserve"> </w:t>
      </w:r>
      <w:r w:rsidR="00B05322" w:rsidRPr="00C544CF">
        <w:rPr>
          <w:rFonts w:ascii="Arial" w:eastAsia="Arial Unicode MS" w:hAnsi="Arial" w:cs="Arial"/>
          <w:sz w:val="20"/>
          <w:szCs w:val="20"/>
        </w:rPr>
        <w:t>(</w:t>
      </w:r>
      <w:r w:rsidR="00B05322">
        <w:rPr>
          <w:rFonts w:ascii="Arial" w:eastAsia="Arial Unicode MS" w:hAnsi="Arial" w:cs="Arial"/>
          <w:sz w:val="20"/>
          <w:szCs w:val="20"/>
        </w:rPr>
        <w:t>a</w:t>
      </w:r>
      <w:r w:rsidR="00B05322" w:rsidRPr="00C544CF">
        <w:rPr>
          <w:rFonts w:ascii="Arial" w:eastAsia="Arial Unicode MS" w:hAnsi="Arial" w:cs="Arial"/>
          <w:sz w:val="20"/>
          <w:szCs w:val="20"/>
        </w:rPr>
        <w:t>)</w:t>
      </w:r>
      <w:r w:rsidR="00B05322" w:rsidRPr="00C544CF">
        <w:rPr>
          <w:rFonts w:ascii="Arial" w:eastAsia="Arial Unicode MS" w:hAnsi="Arial" w:cs="Arial"/>
          <w:sz w:val="20"/>
          <w:szCs w:val="20"/>
        </w:rPr>
        <w:tab/>
      </w:r>
      <w:r w:rsidR="00B05322">
        <w:rPr>
          <w:rFonts w:ascii="Arial" w:eastAsia="Arial Unicode MS" w:hAnsi="Arial" w:cs="Arial"/>
          <w:sz w:val="20"/>
          <w:szCs w:val="20"/>
        </w:rPr>
        <w:t>Fornecedores e Contas a Pagar</w:t>
      </w:r>
    </w:p>
    <w:p w14:paraId="3E506BD2" w14:textId="77777777" w:rsidR="00BA2679" w:rsidRPr="00C544CF" w:rsidRDefault="00BA2679" w:rsidP="00BA2679">
      <w:pPr>
        <w:spacing w:after="40"/>
        <w:rPr>
          <w:rFonts w:ascii="Arial" w:eastAsia="Arial Unicode MS" w:hAnsi="Arial" w:cs="Arial"/>
          <w:sz w:val="20"/>
          <w:szCs w:val="20"/>
        </w:rPr>
      </w:pPr>
    </w:p>
    <w:p w14:paraId="2E453314" w14:textId="19CD18CC"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Em </w:t>
      </w:r>
      <w:r w:rsidR="007A0FB0">
        <w:rPr>
          <w:rFonts w:ascii="Arial" w:eastAsia="Arial Unicode MS" w:hAnsi="Arial" w:cs="Arial"/>
          <w:sz w:val="20"/>
          <w:szCs w:val="20"/>
        </w:rPr>
        <w:t>3</w:t>
      </w:r>
      <w:r w:rsidR="00656AF7">
        <w:rPr>
          <w:rFonts w:ascii="Arial" w:eastAsia="Arial Unicode MS" w:hAnsi="Arial" w:cs="Arial"/>
          <w:sz w:val="20"/>
          <w:szCs w:val="20"/>
        </w:rPr>
        <w:t>0/0</w:t>
      </w:r>
      <w:r w:rsidR="00D41721">
        <w:rPr>
          <w:rFonts w:ascii="Arial" w:eastAsia="Arial Unicode MS" w:hAnsi="Arial" w:cs="Arial"/>
          <w:sz w:val="20"/>
          <w:szCs w:val="20"/>
        </w:rPr>
        <w:t>9</w:t>
      </w:r>
      <w:r w:rsidR="00567B75">
        <w:rPr>
          <w:rFonts w:ascii="Arial" w:eastAsia="Arial Unicode MS" w:hAnsi="Arial" w:cs="Arial"/>
          <w:sz w:val="20"/>
          <w:szCs w:val="20"/>
        </w:rPr>
        <w:t>/2020</w:t>
      </w:r>
      <w:r w:rsidRPr="00C544CF">
        <w:rPr>
          <w:rFonts w:ascii="Arial" w:eastAsia="Arial Unicode MS" w:hAnsi="Arial" w:cs="Arial"/>
          <w:sz w:val="20"/>
          <w:szCs w:val="20"/>
        </w:rPr>
        <w:t xml:space="preserve">, </w:t>
      </w:r>
      <w:r w:rsidR="00D41721">
        <w:rPr>
          <w:rFonts w:ascii="Arial" w:eastAsia="Arial Unicode MS" w:hAnsi="Arial" w:cs="Arial"/>
          <w:sz w:val="20"/>
          <w:szCs w:val="20"/>
        </w:rPr>
        <w:t>78</w:t>
      </w:r>
      <w:r w:rsidRPr="00C544CF">
        <w:rPr>
          <w:rFonts w:ascii="Arial" w:eastAsia="Arial Unicode MS" w:hAnsi="Arial" w:cs="Arial"/>
          <w:sz w:val="20"/>
          <w:szCs w:val="20"/>
        </w:rPr>
        <w:t xml:space="preserve"> fornecedores possuíam créditos com o IFRS. Desse total, </w:t>
      </w:r>
      <w:r w:rsidR="007A0FB0">
        <w:rPr>
          <w:rFonts w:ascii="Arial" w:eastAsia="Arial Unicode MS" w:hAnsi="Arial" w:cs="Arial"/>
          <w:sz w:val="20"/>
          <w:szCs w:val="20"/>
        </w:rPr>
        <w:t>14</w:t>
      </w:r>
      <w:r w:rsidRPr="00C544CF">
        <w:rPr>
          <w:rFonts w:ascii="Arial" w:eastAsia="Arial Unicode MS" w:hAnsi="Arial" w:cs="Arial"/>
          <w:sz w:val="20"/>
          <w:szCs w:val="20"/>
        </w:rPr>
        <w:t xml:space="preserve"> fornecedores (</w:t>
      </w:r>
      <w:r w:rsidR="00567B75">
        <w:rPr>
          <w:rFonts w:ascii="Arial" w:eastAsia="Arial Unicode MS" w:hAnsi="Arial" w:cs="Arial"/>
          <w:sz w:val="20"/>
          <w:szCs w:val="20"/>
        </w:rPr>
        <w:t>1</w:t>
      </w:r>
      <w:r w:rsidR="00D41721">
        <w:rPr>
          <w:rFonts w:ascii="Arial" w:eastAsia="Arial Unicode MS" w:hAnsi="Arial" w:cs="Arial"/>
          <w:sz w:val="20"/>
          <w:szCs w:val="20"/>
        </w:rPr>
        <w:t>8</w:t>
      </w:r>
      <w:r w:rsidRPr="00C544CF">
        <w:rPr>
          <w:rFonts w:ascii="Arial" w:eastAsia="Arial Unicode MS" w:hAnsi="Arial" w:cs="Arial"/>
          <w:sz w:val="20"/>
          <w:szCs w:val="20"/>
        </w:rPr>
        <w:t xml:space="preserve">%) representaram </w:t>
      </w:r>
      <w:r w:rsidR="00D41721">
        <w:rPr>
          <w:rFonts w:ascii="Arial" w:eastAsia="Arial Unicode MS" w:hAnsi="Arial" w:cs="Arial"/>
          <w:sz w:val="20"/>
          <w:szCs w:val="20"/>
        </w:rPr>
        <w:t>75</w:t>
      </w:r>
      <w:r w:rsidRPr="00C544CF">
        <w:rPr>
          <w:rFonts w:ascii="Arial" w:eastAsia="Arial Unicode MS" w:hAnsi="Arial" w:cs="Arial"/>
          <w:sz w:val="20"/>
          <w:szCs w:val="20"/>
        </w:rPr>
        <w:t xml:space="preserve">% do saldo </w:t>
      </w:r>
      <w:r w:rsidR="007A0FB0">
        <w:rPr>
          <w:rFonts w:ascii="Arial" w:eastAsia="Arial Unicode MS" w:hAnsi="Arial" w:cs="Arial"/>
          <w:sz w:val="20"/>
          <w:szCs w:val="20"/>
        </w:rPr>
        <w:t>total a pagar</w:t>
      </w:r>
      <w:r w:rsidRPr="00C544CF">
        <w:rPr>
          <w:rFonts w:ascii="Arial" w:eastAsia="Arial Unicode MS" w:hAnsi="Arial" w:cs="Arial"/>
          <w:sz w:val="20"/>
          <w:szCs w:val="20"/>
        </w:rPr>
        <w:t xml:space="preserve">, apresentados na </w:t>
      </w:r>
      <w:r w:rsidR="00441F98">
        <w:rPr>
          <w:rFonts w:ascii="Arial" w:eastAsia="Arial Unicode MS" w:hAnsi="Arial" w:cs="Arial"/>
          <w:sz w:val="20"/>
          <w:szCs w:val="20"/>
        </w:rPr>
        <w:t xml:space="preserve">tabela adiante, totalizando R$ </w:t>
      </w:r>
      <w:r w:rsidR="00656AF7">
        <w:rPr>
          <w:rFonts w:ascii="Arial" w:eastAsia="Arial Unicode MS" w:hAnsi="Arial" w:cs="Arial"/>
          <w:sz w:val="20"/>
          <w:szCs w:val="20"/>
        </w:rPr>
        <w:t>1,</w:t>
      </w:r>
      <w:r w:rsidR="00D41721">
        <w:rPr>
          <w:rFonts w:ascii="Arial" w:eastAsia="Arial Unicode MS" w:hAnsi="Arial" w:cs="Arial"/>
          <w:sz w:val="20"/>
          <w:szCs w:val="20"/>
        </w:rPr>
        <w:t>2</w:t>
      </w:r>
      <w:r w:rsidRPr="00C544CF">
        <w:rPr>
          <w:rFonts w:ascii="Arial" w:eastAsia="Arial Unicode MS" w:hAnsi="Arial" w:cs="Arial"/>
          <w:sz w:val="20"/>
          <w:szCs w:val="20"/>
        </w:rPr>
        <w:t xml:space="preserve"> milhões.</w:t>
      </w:r>
    </w:p>
    <w:p w14:paraId="189F9164" w14:textId="32C12F3C" w:rsidR="00D41721" w:rsidRDefault="00D41721" w:rsidP="00BA2679">
      <w:pPr>
        <w:spacing w:after="40"/>
        <w:rPr>
          <w:rFonts w:ascii="Arial" w:eastAsia="Arial Unicode MS" w:hAnsi="Arial" w:cs="Arial"/>
          <w:sz w:val="20"/>
          <w:szCs w:val="20"/>
        </w:rPr>
      </w:pPr>
      <w:r w:rsidRPr="00D41721">
        <w:rPr>
          <w:rFonts w:ascii="Arial" w:eastAsia="Arial Unicode MS" w:hAnsi="Arial" w:cs="Arial"/>
          <w:noProof/>
          <w:sz w:val="20"/>
          <w:szCs w:val="20"/>
        </w:rPr>
        <w:lastRenderedPageBreak/>
        <w:drawing>
          <wp:inline distT="0" distB="0" distL="0" distR="0" wp14:anchorId="4DA4F6C4" wp14:editId="6BF8617F">
            <wp:extent cx="4835525" cy="3394075"/>
            <wp:effectExtent l="0" t="0" r="3175"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35525" cy="3394075"/>
                    </a:xfrm>
                    <a:prstGeom prst="rect">
                      <a:avLst/>
                    </a:prstGeom>
                    <a:noFill/>
                    <a:ln>
                      <a:noFill/>
                    </a:ln>
                  </pic:spPr>
                </pic:pic>
              </a:graphicData>
            </a:graphic>
          </wp:inline>
        </w:drawing>
      </w:r>
    </w:p>
    <w:p w14:paraId="41742832" w14:textId="77777777" w:rsidR="00DD7DE7" w:rsidRDefault="00DD7DE7" w:rsidP="00DD7DE7">
      <w:pPr>
        <w:rPr>
          <w:rFonts w:ascii="Arial" w:eastAsia="Arial Unicode MS" w:hAnsi="Arial" w:cs="Arial"/>
          <w:sz w:val="20"/>
          <w:szCs w:val="20"/>
        </w:rPr>
      </w:pPr>
    </w:p>
    <w:p w14:paraId="2036EF71" w14:textId="415FDF90" w:rsidR="00DD7DE7" w:rsidRDefault="00DD7DE7" w:rsidP="00DD7DE7">
      <w:pPr>
        <w:spacing w:after="40"/>
        <w:rPr>
          <w:rFonts w:ascii="Arial" w:eastAsia="Arial Unicode MS" w:hAnsi="Arial" w:cs="Arial"/>
          <w:sz w:val="20"/>
          <w:szCs w:val="20"/>
        </w:rPr>
      </w:pPr>
      <w:r w:rsidRPr="00C544CF">
        <w:rPr>
          <w:rFonts w:ascii="Arial" w:eastAsia="Arial Unicode MS" w:hAnsi="Arial" w:cs="Arial"/>
          <w:sz w:val="20"/>
          <w:szCs w:val="20"/>
        </w:rPr>
        <w:t>(</w:t>
      </w:r>
      <w:r>
        <w:rPr>
          <w:rFonts w:ascii="Arial" w:eastAsia="Arial Unicode MS" w:hAnsi="Arial" w:cs="Arial"/>
          <w:sz w:val="20"/>
          <w:szCs w:val="20"/>
        </w:rPr>
        <w:t>a</w:t>
      </w:r>
      <w:r w:rsidRPr="00C544CF">
        <w:rPr>
          <w:rFonts w:ascii="Arial" w:eastAsia="Arial Unicode MS" w:hAnsi="Arial" w:cs="Arial"/>
          <w:sz w:val="20"/>
          <w:szCs w:val="20"/>
        </w:rPr>
        <w:t>)</w:t>
      </w:r>
      <w:r w:rsidRPr="00C544CF">
        <w:rPr>
          <w:rFonts w:ascii="Arial" w:eastAsia="Arial Unicode MS" w:hAnsi="Arial" w:cs="Arial"/>
          <w:sz w:val="20"/>
          <w:szCs w:val="20"/>
        </w:rPr>
        <w:tab/>
      </w:r>
      <w:r>
        <w:rPr>
          <w:rFonts w:ascii="Arial" w:eastAsia="Arial Unicode MS" w:hAnsi="Arial" w:cs="Arial"/>
          <w:sz w:val="20"/>
          <w:szCs w:val="20"/>
        </w:rPr>
        <w:t xml:space="preserve">UNIÃO BRASILEIRA DE EDUCAÇÃO E </w:t>
      </w:r>
      <w:proofErr w:type="gramStart"/>
      <w:r>
        <w:rPr>
          <w:rFonts w:ascii="Arial" w:eastAsia="Arial Unicode MS" w:hAnsi="Arial" w:cs="Arial"/>
          <w:sz w:val="20"/>
          <w:szCs w:val="20"/>
        </w:rPr>
        <w:t xml:space="preserve">ASSISTÊNCIA </w:t>
      </w:r>
      <w:r w:rsidRPr="00C544CF">
        <w:rPr>
          <w:rFonts w:ascii="Arial" w:eastAsia="Arial Unicode MS" w:hAnsi="Arial" w:cs="Arial"/>
          <w:sz w:val="20"/>
          <w:szCs w:val="20"/>
        </w:rPr>
        <w:t>:</w:t>
      </w:r>
      <w:proofErr w:type="gramEnd"/>
      <w:r w:rsidRPr="00C544CF">
        <w:rPr>
          <w:rFonts w:ascii="Arial" w:eastAsia="Arial Unicode MS" w:hAnsi="Arial" w:cs="Arial"/>
          <w:sz w:val="20"/>
          <w:szCs w:val="20"/>
        </w:rPr>
        <w:t xml:space="preserve"> </w:t>
      </w:r>
      <w:r>
        <w:rPr>
          <w:rFonts w:ascii="Arial" w:eastAsia="Arial Unicode MS" w:hAnsi="Arial" w:cs="Arial"/>
          <w:sz w:val="20"/>
          <w:szCs w:val="20"/>
        </w:rPr>
        <w:t>pela locação e consumo de energia de parte do condomínio TECNOPUC para utilização como sede do IFRS Campus Viamão;</w:t>
      </w:r>
    </w:p>
    <w:p w14:paraId="1DD6C2D3" w14:textId="25A5ECC8" w:rsidR="00F403FD" w:rsidRDefault="00F403FD" w:rsidP="00BA2679">
      <w:pPr>
        <w:spacing w:after="40"/>
        <w:rPr>
          <w:rFonts w:ascii="Arial" w:eastAsia="Arial Unicode MS" w:hAnsi="Arial" w:cs="Arial"/>
          <w:sz w:val="20"/>
          <w:szCs w:val="20"/>
        </w:rPr>
      </w:pPr>
      <w:r>
        <w:rPr>
          <w:rFonts w:ascii="Arial" w:eastAsia="Arial Unicode MS" w:hAnsi="Arial" w:cs="Arial"/>
          <w:sz w:val="20"/>
          <w:szCs w:val="20"/>
        </w:rPr>
        <w:t>(</w:t>
      </w:r>
      <w:proofErr w:type="gramStart"/>
      <w:r w:rsidR="00FA43AC">
        <w:rPr>
          <w:rFonts w:ascii="Arial" w:eastAsia="Arial Unicode MS" w:hAnsi="Arial" w:cs="Arial"/>
          <w:sz w:val="20"/>
          <w:szCs w:val="20"/>
        </w:rPr>
        <w:t>b</w:t>
      </w:r>
      <w:r>
        <w:rPr>
          <w:rFonts w:ascii="Arial" w:eastAsia="Arial Unicode MS" w:hAnsi="Arial" w:cs="Arial"/>
          <w:sz w:val="20"/>
          <w:szCs w:val="20"/>
        </w:rPr>
        <w:t xml:space="preserve"> )</w:t>
      </w:r>
      <w:proofErr w:type="gramEnd"/>
      <w:r>
        <w:rPr>
          <w:rFonts w:ascii="Arial" w:eastAsia="Arial Unicode MS" w:hAnsi="Arial" w:cs="Arial"/>
          <w:sz w:val="20"/>
          <w:szCs w:val="20"/>
        </w:rPr>
        <w:t xml:space="preserve"> </w:t>
      </w:r>
      <w:r>
        <w:rPr>
          <w:rFonts w:ascii="Arial" w:eastAsia="Arial Unicode MS" w:hAnsi="Arial" w:cs="Arial"/>
          <w:sz w:val="20"/>
          <w:szCs w:val="20"/>
        </w:rPr>
        <w:tab/>
        <w:t>EXPRESSÃO ENGENHARIA E CONSTRUÇÕES LTDA – EPP: Pela contratação das obras do PPCI, adequações civis, Campus Porto alegre.</w:t>
      </w:r>
    </w:p>
    <w:p w14:paraId="2353B46F" w14:textId="416D9B36" w:rsidR="00FA43AC" w:rsidRDefault="00FA43AC" w:rsidP="00FA43AC">
      <w:pPr>
        <w:spacing w:after="40"/>
        <w:rPr>
          <w:rFonts w:ascii="Arial" w:eastAsia="Arial Unicode MS" w:hAnsi="Arial" w:cs="Arial"/>
          <w:sz w:val="20"/>
          <w:szCs w:val="20"/>
        </w:rPr>
      </w:pPr>
      <w:r w:rsidRPr="00C544CF">
        <w:rPr>
          <w:rFonts w:ascii="Arial" w:eastAsia="Arial Unicode MS" w:hAnsi="Arial" w:cs="Arial"/>
          <w:sz w:val="20"/>
          <w:szCs w:val="20"/>
        </w:rPr>
        <w:t>(</w:t>
      </w:r>
      <w:r w:rsidR="00C26B9C">
        <w:rPr>
          <w:rFonts w:ascii="Arial" w:eastAsia="Arial Unicode MS" w:hAnsi="Arial" w:cs="Arial"/>
          <w:sz w:val="20"/>
          <w:szCs w:val="20"/>
        </w:rPr>
        <w:t>c</w:t>
      </w:r>
      <w:r w:rsidRPr="00C544CF">
        <w:rPr>
          <w:rFonts w:ascii="Arial" w:eastAsia="Arial Unicode MS" w:hAnsi="Arial" w:cs="Arial"/>
          <w:sz w:val="20"/>
          <w:szCs w:val="20"/>
        </w:rPr>
        <w:t>)</w:t>
      </w:r>
      <w:r w:rsidRPr="00C544CF">
        <w:rPr>
          <w:rFonts w:ascii="Arial" w:eastAsia="Arial Unicode MS" w:hAnsi="Arial" w:cs="Arial"/>
          <w:sz w:val="20"/>
          <w:szCs w:val="20"/>
        </w:rPr>
        <w:tab/>
      </w:r>
      <w:r w:rsidR="00C26B9C">
        <w:rPr>
          <w:rFonts w:ascii="Arial" w:eastAsia="Arial Unicode MS" w:hAnsi="Arial" w:cs="Arial"/>
          <w:sz w:val="20"/>
          <w:szCs w:val="20"/>
        </w:rPr>
        <w:t>ASMS ENGENHARIA LTDA</w:t>
      </w:r>
      <w:r w:rsidRPr="00C544CF">
        <w:rPr>
          <w:rFonts w:ascii="Arial" w:eastAsia="Arial Unicode MS" w:hAnsi="Arial" w:cs="Arial"/>
          <w:sz w:val="20"/>
          <w:szCs w:val="20"/>
        </w:rPr>
        <w:t xml:space="preserve">: </w:t>
      </w:r>
      <w:r>
        <w:rPr>
          <w:rFonts w:ascii="Arial" w:eastAsia="Arial Unicode MS" w:hAnsi="Arial" w:cs="Arial"/>
          <w:sz w:val="20"/>
          <w:szCs w:val="20"/>
        </w:rPr>
        <w:t xml:space="preserve">pela </w:t>
      </w:r>
      <w:r w:rsidR="00C26B9C">
        <w:rPr>
          <w:rFonts w:ascii="Arial" w:eastAsia="Arial Unicode MS" w:hAnsi="Arial" w:cs="Arial"/>
          <w:sz w:val="20"/>
          <w:szCs w:val="20"/>
        </w:rPr>
        <w:t>execução obra construção Bloco “B” Campus Caxias do Sul;</w:t>
      </w:r>
    </w:p>
    <w:p w14:paraId="5D3DC470" w14:textId="363B6ADE" w:rsidR="00FA43AC" w:rsidRDefault="00FA43AC" w:rsidP="00FA43AC">
      <w:pPr>
        <w:spacing w:after="40"/>
        <w:rPr>
          <w:rFonts w:ascii="Arial" w:eastAsia="Arial Unicode MS" w:hAnsi="Arial" w:cs="Arial"/>
          <w:sz w:val="20"/>
          <w:szCs w:val="20"/>
        </w:rPr>
      </w:pPr>
      <w:r>
        <w:rPr>
          <w:rFonts w:ascii="Arial" w:eastAsia="Arial Unicode MS" w:hAnsi="Arial" w:cs="Arial"/>
          <w:sz w:val="20"/>
          <w:szCs w:val="20"/>
        </w:rPr>
        <w:t>(</w:t>
      </w:r>
      <w:r w:rsidR="00C26B9C">
        <w:rPr>
          <w:rFonts w:ascii="Arial" w:eastAsia="Arial Unicode MS" w:hAnsi="Arial" w:cs="Arial"/>
          <w:sz w:val="20"/>
          <w:szCs w:val="20"/>
        </w:rPr>
        <w:t>d</w:t>
      </w:r>
      <w:r>
        <w:rPr>
          <w:rFonts w:ascii="Arial" w:eastAsia="Arial Unicode MS" w:hAnsi="Arial" w:cs="Arial"/>
          <w:sz w:val="20"/>
          <w:szCs w:val="20"/>
        </w:rPr>
        <w:t xml:space="preserve">) </w:t>
      </w:r>
      <w:r>
        <w:rPr>
          <w:rFonts w:ascii="Arial" w:eastAsia="Arial Unicode MS" w:hAnsi="Arial" w:cs="Arial"/>
          <w:sz w:val="20"/>
          <w:szCs w:val="20"/>
        </w:rPr>
        <w:tab/>
      </w:r>
      <w:r w:rsidR="00C26B9C">
        <w:rPr>
          <w:rFonts w:ascii="Arial" w:eastAsia="Arial Unicode MS" w:hAnsi="Arial" w:cs="Arial"/>
          <w:sz w:val="20"/>
          <w:szCs w:val="20"/>
        </w:rPr>
        <w:t>UPCONTROL ENGENHARIA DE PROCESSOS E CONTROLE DIGITAL LTDA</w:t>
      </w:r>
      <w:r>
        <w:rPr>
          <w:rFonts w:ascii="Arial" w:eastAsia="Arial Unicode MS" w:hAnsi="Arial" w:cs="Arial"/>
          <w:sz w:val="20"/>
          <w:szCs w:val="20"/>
        </w:rPr>
        <w:t xml:space="preserve">: Pela </w:t>
      </w:r>
      <w:r w:rsidR="00C26B9C">
        <w:rPr>
          <w:rFonts w:ascii="Arial" w:eastAsia="Arial Unicode MS" w:hAnsi="Arial" w:cs="Arial"/>
          <w:sz w:val="20"/>
          <w:szCs w:val="20"/>
        </w:rPr>
        <w:t xml:space="preserve">aquisição de materiais para laboratório </w:t>
      </w:r>
      <w:r w:rsidR="00633965">
        <w:rPr>
          <w:rFonts w:ascii="Arial" w:eastAsia="Arial Unicode MS" w:hAnsi="Arial" w:cs="Arial"/>
          <w:sz w:val="20"/>
          <w:szCs w:val="20"/>
        </w:rPr>
        <w:t>(</w:t>
      </w:r>
      <w:r w:rsidR="00C26B9C">
        <w:rPr>
          <w:rFonts w:ascii="Arial" w:eastAsia="Arial Unicode MS" w:hAnsi="Arial" w:cs="Arial"/>
          <w:sz w:val="20"/>
          <w:szCs w:val="20"/>
        </w:rPr>
        <w:t>bancada de reatores</w:t>
      </w:r>
      <w:r w:rsidR="00633965">
        <w:rPr>
          <w:rFonts w:ascii="Arial" w:eastAsia="Arial Unicode MS" w:hAnsi="Arial" w:cs="Arial"/>
          <w:sz w:val="20"/>
          <w:szCs w:val="20"/>
        </w:rPr>
        <w:t>)</w:t>
      </w:r>
      <w:r w:rsidR="00C26B9C">
        <w:rPr>
          <w:rFonts w:ascii="Arial" w:eastAsia="Arial Unicode MS" w:hAnsi="Arial" w:cs="Arial"/>
          <w:sz w:val="20"/>
          <w:szCs w:val="20"/>
        </w:rPr>
        <w:t xml:space="preserve"> para o Campus Feliz</w:t>
      </w:r>
      <w:r w:rsidR="00633965">
        <w:rPr>
          <w:rFonts w:ascii="Arial" w:eastAsia="Arial Unicode MS" w:hAnsi="Arial" w:cs="Arial"/>
          <w:sz w:val="20"/>
          <w:szCs w:val="20"/>
        </w:rPr>
        <w:t>.</w:t>
      </w:r>
      <w:r>
        <w:rPr>
          <w:rFonts w:ascii="Arial" w:eastAsia="Arial Unicode MS" w:hAnsi="Arial" w:cs="Arial"/>
          <w:sz w:val="20"/>
          <w:szCs w:val="20"/>
        </w:rPr>
        <w:t xml:space="preserve"> </w:t>
      </w:r>
    </w:p>
    <w:p w14:paraId="2459C7D3" w14:textId="77777777" w:rsidR="00FA43AC" w:rsidRDefault="00FA43AC" w:rsidP="00BA2679">
      <w:pPr>
        <w:spacing w:after="40"/>
        <w:rPr>
          <w:rFonts w:ascii="Arial" w:eastAsia="Arial Unicode MS" w:hAnsi="Arial" w:cs="Arial"/>
          <w:sz w:val="20"/>
          <w:szCs w:val="20"/>
        </w:rPr>
      </w:pPr>
    </w:p>
    <w:p w14:paraId="309569DE" w14:textId="77777777" w:rsidR="00247FD1" w:rsidRPr="00C544CF" w:rsidRDefault="00247FD1" w:rsidP="00BA2679">
      <w:pPr>
        <w:spacing w:after="40"/>
        <w:rPr>
          <w:rFonts w:ascii="Arial" w:eastAsia="Arial Unicode MS" w:hAnsi="Arial" w:cs="Arial"/>
          <w:sz w:val="20"/>
          <w:szCs w:val="20"/>
        </w:rPr>
      </w:pPr>
    </w:p>
    <w:p w14:paraId="78DDF41C" w14:textId="77777777"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(b)</w:t>
      </w:r>
      <w:r w:rsidRPr="00C544CF">
        <w:rPr>
          <w:rFonts w:ascii="Arial" w:eastAsia="Arial Unicode MS" w:hAnsi="Arial" w:cs="Arial"/>
          <w:sz w:val="20"/>
          <w:szCs w:val="20"/>
        </w:rPr>
        <w:tab/>
        <w:t>Demais Obrigações a Curto Prazo</w:t>
      </w:r>
    </w:p>
    <w:p w14:paraId="75EAD8EB" w14:textId="14935197"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Em comparação ao </w:t>
      </w:r>
      <w:r w:rsidR="00B933DF">
        <w:rPr>
          <w:rFonts w:ascii="Arial" w:eastAsia="Arial Unicode MS" w:hAnsi="Arial" w:cs="Arial"/>
          <w:sz w:val="20"/>
          <w:szCs w:val="20"/>
        </w:rPr>
        <w:t>exercício</w:t>
      </w:r>
      <w:r w:rsidRPr="00C544CF">
        <w:rPr>
          <w:rFonts w:ascii="Arial" w:eastAsia="Arial Unicode MS" w:hAnsi="Arial" w:cs="Arial"/>
          <w:sz w:val="20"/>
          <w:szCs w:val="20"/>
        </w:rPr>
        <w:t xml:space="preserve"> anterior, o IFRS registrou </w:t>
      </w:r>
      <w:r w:rsidR="00247FD1">
        <w:rPr>
          <w:rFonts w:ascii="Arial" w:eastAsia="Arial Unicode MS" w:hAnsi="Arial" w:cs="Arial"/>
          <w:sz w:val="20"/>
          <w:szCs w:val="20"/>
        </w:rPr>
        <w:t>redução</w:t>
      </w:r>
      <w:r w:rsidRPr="00C544CF">
        <w:rPr>
          <w:rFonts w:ascii="Arial" w:eastAsia="Arial Unicode MS" w:hAnsi="Arial" w:cs="Arial"/>
          <w:sz w:val="20"/>
          <w:szCs w:val="20"/>
        </w:rPr>
        <w:t xml:space="preserve"> de R$ </w:t>
      </w:r>
      <w:r w:rsidR="00B933DF">
        <w:rPr>
          <w:rFonts w:ascii="Arial" w:eastAsia="Arial Unicode MS" w:hAnsi="Arial" w:cs="Arial"/>
          <w:sz w:val="20"/>
          <w:szCs w:val="20"/>
        </w:rPr>
        <w:t>3,65</w:t>
      </w:r>
      <w:r w:rsidR="001A0BC1">
        <w:rPr>
          <w:rFonts w:ascii="Arial" w:eastAsia="Arial Unicode MS" w:hAnsi="Arial" w:cs="Arial"/>
          <w:sz w:val="20"/>
          <w:szCs w:val="20"/>
        </w:rPr>
        <w:t xml:space="preserve"> milhões</w:t>
      </w:r>
      <w:r w:rsidRPr="00C544CF">
        <w:rPr>
          <w:rFonts w:ascii="Arial" w:eastAsia="Arial Unicode MS" w:hAnsi="Arial" w:cs="Arial"/>
          <w:sz w:val="20"/>
          <w:szCs w:val="20"/>
        </w:rPr>
        <w:t xml:space="preserve"> nas demais obrigações a curto prazo, equivalente a </w:t>
      </w:r>
      <w:r w:rsidR="00B933DF">
        <w:rPr>
          <w:rFonts w:ascii="Arial" w:eastAsia="Arial Unicode MS" w:hAnsi="Arial" w:cs="Arial"/>
          <w:sz w:val="20"/>
          <w:szCs w:val="20"/>
        </w:rPr>
        <w:t>8</w:t>
      </w:r>
      <w:r w:rsidRPr="00C544CF">
        <w:rPr>
          <w:rFonts w:ascii="Arial" w:eastAsia="Arial Unicode MS" w:hAnsi="Arial" w:cs="Arial"/>
          <w:sz w:val="20"/>
          <w:szCs w:val="20"/>
        </w:rPr>
        <w:t>%, em razão de compromissos assumidos pela própria manutenção das atividades fins do IFRS</w:t>
      </w:r>
      <w:r w:rsidR="00EF1643">
        <w:rPr>
          <w:rFonts w:ascii="Arial" w:eastAsia="Arial Unicode MS" w:hAnsi="Arial" w:cs="Arial"/>
          <w:sz w:val="20"/>
          <w:szCs w:val="20"/>
        </w:rPr>
        <w:t>. As</w:t>
      </w:r>
      <w:r w:rsidRPr="00C544CF">
        <w:rPr>
          <w:rFonts w:ascii="Arial" w:eastAsia="Arial Unicode MS" w:hAnsi="Arial" w:cs="Arial"/>
          <w:sz w:val="20"/>
          <w:szCs w:val="20"/>
        </w:rPr>
        <w:t xml:space="preserve"> transferências financeiras a comprovar - </w:t>
      </w:r>
      <w:proofErr w:type="gramStart"/>
      <w:r w:rsidRPr="00C544CF">
        <w:rPr>
          <w:rFonts w:ascii="Arial" w:eastAsia="Arial Unicode MS" w:hAnsi="Arial" w:cs="Arial"/>
          <w:sz w:val="20"/>
          <w:szCs w:val="20"/>
        </w:rPr>
        <w:t xml:space="preserve">TED, </w:t>
      </w:r>
      <w:r w:rsidR="00532E30">
        <w:rPr>
          <w:rFonts w:ascii="Arial" w:eastAsia="Arial Unicode MS" w:hAnsi="Arial" w:cs="Arial"/>
          <w:sz w:val="20"/>
          <w:szCs w:val="20"/>
        </w:rPr>
        <w:t xml:space="preserve"> passaram</w:t>
      </w:r>
      <w:proofErr w:type="gramEnd"/>
      <w:r w:rsidR="00532E30">
        <w:rPr>
          <w:rFonts w:ascii="Arial" w:eastAsia="Arial Unicode MS" w:hAnsi="Arial" w:cs="Arial"/>
          <w:sz w:val="20"/>
          <w:szCs w:val="20"/>
        </w:rPr>
        <w:t xml:space="preserve"> a ser registrados no Passivo a partir do Exercício de 2019 em contrapartida ao registro de Ativo na UG Descentralizadora, </w:t>
      </w:r>
      <w:r w:rsidRPr="00C544CF">
        <w:rPr>
          <w:rFonts w:ascii="Arial" w:eastAsia="Arial Unicode MS" w:hAnsi="Arial" w:cs="Arial"/>
          <w:sz w:val="20"/>
          <w:szCs w:val="20"/>
        </w:rPr>
        <w:t>conforme demonstrado na tabela de composição abaixo.</w:t>
      </w:r>
    </w:p>
    <w:p w14:paraId="503B65BB" w14:textId="49303C3F" w:rsidR="00B933DF" w:rsidRDefault="00B933DF" w:rsidP="00BA2679">
      <w:pPr>
        <w:spacing w:after="40"/>
        <w:rPr>
          <w:rFonts w:ascii="Arial" w:eastAsia="Arial Unicode MS" w:hAnsi="Arial" w:cs="Arial"/>
          <w:sz w:val="20"/>
          <w:szCs w:val="20"/>
        </w:rPr>
      </w:pPr>
      <w:r w:rsidRPr="00B933DF">
        <w:rPr>
          <w:rFonts w:ascii="Arial" w:eastAsia="Arial Unicode MS" w:hAnsi="Arial" w:cs="Arial"/>
          <w:noProof/>
          <w:sz w:val="20"/>
          <w:szCs w:val="20"/>
        </w:rPr>
        <w:drawing>
          <wp:inline distT="0" distB="0" distL="0" distR="0" wp14:anchorId="6175F314" wp14:editId="351030E3">
            <wp:extent cx="5384165" cy="2684780"/>
            <wp:effectExtent l="0" t="0" r="6985" b="127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84165" cy="2684780"/>
                    </a:xfrm>
                    <a:prstGeom prst="rect">
                      <a:avLst/>
                    </a:prstGeom>
                    <a:noFill/>
                    <a:ln>
                      <a:noFill/>
                    </a:ln>
                  </pic:spPr>
                </pic:pic>
              </a:graphicData>
            </a:graphic>
          </wp:inline>
        </w:drawing>
      </w:r>
    </w:p>
    <w:p w14:paraId="22EA2F04" w14:textId="1827B4A9" w:rsidR="00247FD1" w:rsidRDefault="00247FD1" w:rsidP="00BA2679">
      <w:pPr>
        <w:spacing w:after="40"/>
        <w:rPr>
          <w:rFonts w:ascii="Arial" w:eastAsia="Arial Unicode MS" w:hAnsi="Arial" w:cs="Arial"/>
          <w:noProof/>
          <w:sz w:val="20"/>
          <w:szCs w:val="20"/>
        </w:rPr>
      </w:pPr>
    </w:p>
    <w:p w14:paraId="464A83BF" w14:textId="77777777" w:rsidR="00F411CE" w:rsidRDefault="00F411CE" w:rsidP="00BA2679">
      <w:pPr>
        <w:spacing w:after="40"/>
        <w:rPr>
          <w:rFonts w:ascii="Arial" w:eastAsia="Arial Unicode MS" w:hAnsi="Arial" w:cs="Arial"/>
          <w:sz w:val="20"/>
          <w:szCs w:val="20"/>
        </w:rPr>
      </w:pPr>
    </w:p>
    <w:p w14:paraId="4278AE7A" w14:textId="77777777"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lastRenderedPageBreak/>
        <w:t xml:space="preserve"> (a)</w:t>
      </w:r>
      <w:r w:rsidRPr="00C544CF">
        <w:rPr>
          <w:rFonts w:ascii="Arial" w:eastAsia="Arial Unicode MS" w:hAnsi="Arial" w:cs="Arial"/>
          <w:sz w:val="20"/>
          <w:szCs w:val="20"/>
        </w:rPr>
        <w:tab/>
        <w:t>Consignações</w:t>
      </w:r>
    </w:p>
    <w:p w14:paraId="2ACA5C22" w14:textId="715B7DE4"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 xml:space="preserve">Compreende os valores entregues em confiança ou em consignações, geralmente na folha de pagamentos dos servidores ou nos pagamentos referente a compras de bens ou serviços constituindo, na sua maior parte, em </w:t>
      </w:r>
      <w:r w:rsidR="007509F9">
        <w:rPr>
          <w:rFonts w:ascii="Arial" w:eastAsia="Arial Unicode MS" w:hAnsi="Arial" w:cs="Arial"/>
          <w:sz w:val="20"/>
          <w:szCs w:val="20"/>
        </w:rPr>
        <w:t>3</w:t>
      </w:r>
      <w:r w:rsidR="00247FD1">
        <w:rPr>
          <w:rFonts w:ascii="Arial" w:eastAsia="Arial Unicode MS" w:hAnsi="Arial" w:cs="Arial"/>
          <w:sz w:val="20"/>
          <w:szCs w:val="20"/>
        </w:rPr>
        <w:t>0</w:t>
      </w:r>
      <w:r w:rsidR="007509F9">
        <w:rPr>
          <w:rFonts w:ascii="Arial" w:eastAsia="Arial Unicode MS" w:hAnsi="Arial" w:cs="Arial"/>
          <w:sz w:val="20"/>
          <w:szCs w:val="20"/>
        </w:rPr>
        <w:t xml:space="preserve"> de </w:t>
      </w:r>
      <w:r w:rsidR="00247FD1">
        <w:rPr>
          <w:rFonts w:ascii="Arial" w:eastAsia="Arial Unicode MS" w:hAnsi="Arial" w:cs="Arial"/>
          <w:sz w:val="20"/>
          <w:szCs w:val="20"/>
        </w:rPr>
        <w:t>junho</w:t>
      </w:r>
      <w:r w:rsidRPr="00C544CF">
        <w:rPr>
          <w:rFonts w:ascii="Arial" w:eastAsia="Arial Unicode MS" w:hAnsi="Arial" w:cs="Arial"/>
          <w:sz w:val="20"/>
          <w:szCs w:val="20"/>
        </w:rPr>
        <w:t>, empréstimos e financiamentos concedidos por terceiros, bem como retenções de parcelas de consórcios, retidos em folha de pagamento</w:t>
      </w:r>
      <w:r w:rsidR="007509F9">
        <w:rPr>
          <w:rFonts w:ascii="Arial" w:eastAsia="Arial Unicode MS" w:hAnsi="Arial" w:cs="Arial"/>
          <w:sz w:val="20"/>
          <w:szCs w:val="20"/>
        </w:rPr>
        <w:t>.</w:t>
      </w:r>
    </w:p>
    <w:p w14:paraId="303D47B7" w14:textId="7705D857"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(b)</w:t>
      </w:r>
      <w:r w:rsidRPr="00C544CF">
        <w:rPr>
          <w:rFonts w:ascii="Arial" w:eastAsia="Arial Unicode MS" w:hAnsi="Arial" w:cs="Arial"/>
          <w:sz w:val="20"/>
          <w:szCs w:val="20"/>
        </w:rPr>
        <w:tab/>
        <w:t xml:space="preserve">Depósitos </w:t>
      </w:r>
      <w:r w:rsidR="00B866FF">
        <w:rPr>
          <w:rFonts w:ascii="Arial" w:eastAsia="Arial Unicode MS" w:hAnsi="Arial" w:cs="Arial"/>
          <w:sz w:val="20"/>
          <w:szCs w:val="20"/>
        </w:rPr>
        <w:t>não judiciais</w:t>
      </w:r>
    </w:p>
    <w:p w14:paraId="39F4F645" w14:textId="77777777"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Compreende os valores das obrigações exigíveis contraídas com o recebimento de depósitos e/ou cauções vinculados a contra</w:t>
      </w:r>
      <w:r>
        <w:rPr>
          <w:rFonts w:ascii="Arial" w:eastAsia="Arial Unicode MS" w:hAnsi="Arial" w:cs="Arial"/>
          <w:sz w:val="20"/>
          <w:szCs w:val="20"/>
        </w:rPr>
        <w:t>tos, para garantia de operações.</w:t>
      </w:r>
    </w:p>
    <w:p w14:paraId="65778900" w14:textId="53DAFFFF"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w:t>
      </w:r>
      <w:r w:rsidR="00C475FD">
        <w:rPr>
          <w:rFonts w:ascii="Arial" w:eastAsia="Arial Unicode MS" w:hAnsi="Arial" w:cs="Arial"/>
          <w:sz w:val="20"/>
          <w:szCs w:val="20"/>
        </w:rPr>
        <w:t>c</w:t>
      </w:r>
      <w:r>
        <w:rPr>
          <w:rFonts w:ascii="Arial" w:eastAsia="Arial Unicode MS" w:hAnsi="Arial" w:cs="Arial"/>
          <w:sz w:val="20"/>
          <w:szCs w:val="20"/>
        </w:rPr>
        <w:t xml:space="preserve">) </w:t>
      </w:r>
      <w:r>
        <w:rPr>
          <w:rFonts w:ascii="Arial" w:eastAsia="Arial Unicode MS" w:hAnsi="Arial" w:cs="Arial"/>
          <w:sz w:val="20"/>
          <w:szCs w:val="20"/>
        </w:rPr>
        <w:tab/>
        <w:t>Diárias a Pagar</w:t>
      </w:r>
    </w:p>
    <w:p w14:paraId="35CFBC70" w14:textId="213419A7" w:rsidR="00BA2679" w:rsidRDefault="00BA2679" w:rsidP="00BA2679">
      <w:pPr>
        <w:spacing w:after="40"/>
        <w:rPr>
          <w:rFonts w:ascii="Arial" w:eastAsia="Arial Unicode MS" w:hAnsi="Arial" w:cs="Arial"/>
          <w:sz w:val="20"/>
          <w:szCs w:val="20"/>
        </w:rPr>
      </w:pPr>
      <w:r>
        <w:rPr>
          <w:rFonts w:ascii="Arial" w:eastAsia="Arial Unicode MS" w:hAnsi="Arial" w:cs="Arial"/>
          <w:sz w:val="20"/>
          <w:szCs w:val="20"/>
        </w:rPr>
        <w:t>Compreende o montante de diárias a pagar no âmbito do IFRS.</w:t>
      </w:r>
    </w:p>
    <w:p w14:paraId="66C8D702" w14:textId="57554016" w:rsidR="001A0BC1" w:rsidRDefault="001A0BC1" w:rsidP="00BA2679">
      <w:pPr>
        <w:spacing w:after="40"/>
        <w:rPr>
          <w:rFonts w:ascii="Arial" w:eastAsia="Arial Unicode MS" w:hAnsi="Arial" w:cs="Arial"/>
          <w:sz w:val="20"/>
          <w:szCs w:val="20"/>
        </w:rPr>
      </w:pPr>
      <w:r>
        <w:rPr>
          <w:rFonts w:ascii="Arial" w:eastAsia="Arial Unicode MS" w:hAnsi="Arial" w:cs="Arial"/>
          <w:sz w:val="20"/>
          <w:szCs w:val="20"/>
        </w:rPr>
        <w:t>(</w:t>
      </w:r>
      <w:r w:rsidR="00C475FD">
        <w:rPr>
          <w:rFonts w:ascii="Arial" w:eastAsia="Arial Unicode MS" w:hAnsi="Arial" w:cs="Arial"/>
          <w:sz w:val="20"/>
          <w:szCs w:val="20"/>
        </w:rPr>
        <w:t>d</w:t>
      </w:r>
      <w:r>
        <w:rPr>
          <w:rFonts w:ascii="Arial" w:eastAsia="Arial Unicode MS" w:hAnsi="Arial" w:cs="Arial"/>
          <w:sz w:val="20"/>
          <w:szCs w:val="20"/>
        </w:rPr>
        <w:t>)</w:t>
      </w:r>
      <w:r>
        <w:rPr>
          <w:rFonts w:ascii="Arial" w:eastAsia="Arial Unicode MS" w:hAnsi="Arial" w:cs="Arial"/>
          <w:sz w:val="20"/>
          <w:szCs w:val="20"/>
        </w:rPr>
        <w:tab/>
        <w:t>Precatórios de terceiros</w:t>
      </w:r>
    </w:p>
    <w:p w14:paraId="676FA24B" w14:textId="24D43517" w:rsidR="001A0BC1" w:rsidRPr="0034064D" w:rsidRDefault="001A0BC1" w:rsidP="00BA2679">
      <w:pPr>
        <w:spacing w:after="40"/>
        <w:rPr>
          <w:rFonts w:ascii="Arial" w:eastAsia="Arial Unicode MS" w:hAnsi="Arial" w:cs="Arial"/>
          <w:sz w:val="20"/>
          <w:szCs w:val="20"/>
        </w:rPr>
      </w:pPr>
      <w:r>
        <w:rPr>
          <w:rFonts w:ascii="Arial" w:eastAsia="Arial Unicode MS" w:hAnsi="Arial" w:cs="Arial"/>
          <w:sz w:val="20"/>
          <w:szCs w:val="20"/>
        </w:rPr>
        <w:t>São as obrigações referentes a precatórios</w:t>
      </w:r>
      <w:r w:rsidR="001E35C9">
        <w:rPr>
          <w:rFonts w:ascii="Arial" w:eastAsia="Arial Unicode MS" w:hAnsi="Arial" w:cs="Arial"/>
          <w:sz w:val="20"/>
          <w:szCs w:val="20"/>
        </w:rPr>
        <w:t xml:space="preserve"> alimentares e comuns a serem pagos no exercício 2021 pelo IFRS</w:t>
      </w:r>
      <w:r>
        <w:rPr>
          <w:rFonts w:ascii="Arial" w:eastAsia="Arial Unicode MS" w:hAnsi="Arial" w:cs="Arial"/>
          <w:sz w:val="20"/>
          <w:szCs w:val="20"/>
        </w:rPr>
        <w:t xml:space="preserve">, </w:t>
      </w:r>
      <w:r w:rsidR="001E35C9">
        <w:rPr>
          <w:rFonts w:ascii="Arial" w:eastAsia="Arial Unicode MS" w:hAnsi="Arial" w:cs="Arial"/>
          <w:sz w:val="20"/>
          <w:szCs w:val="20"/>
        </w:rPr>
        <w:t>conforme Processo Administrativo IFECTECRS.</w:t>
      </w:r>
    </w:p>
    <w:p w14:paraId="7D7CDCB1" w14:textId="19133E68" w:rsidR="00BA2679" w:rsidRPr="00C544CF"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w:t>
      </w:r>
      <w:r w:rsidR="00C475FD">
        <w:rPr>
          <w:rFonts w:ascii="Arial" w:eastAsia="Arial Unicode MS" w:hAnsi="Arial" w:cs="Arial"/>
          <w:sz w:val="20"/>
          <w:szCs w:val="20"/>
        </w:rPr>
        <w:t>e</w:t>
      </w:r>
      <w:r w:rsidRPr="00C544CF">
        <w:rPr>
          <w:rFonts w:ascii="Arial" w:eastAsia="Arial Unicode MS" w:hAnsi="Arial" w:cs="Arial"/>
          <w:sz w:val="20"/>
          <w:szCs w:val="20"/>
        </w:rPr>
        <w:t>)</w:t>
      </w:r>
      <w:r w:rsidRPr="00C544CF">
        <w:rPr>
          <w:rFonts w:ascii="Arial" w:eastAsia="Arial Unicode MS" w:hAnsi="Arial" w:cs="Arial"/>
          <w:sz w:val="20"/>
          <w:szCs w:val="20"/>
        </w:rPr>
        <w:tab/>
        <w:t>Incentivo a educação, cultura e outros</w:t>
      </w:r>
    </w:p>
    <w:p w14:paraId="3A2B617F" w14:textId="0E09C009" w:rsidR="00BA2679" w:rsidRDefault="00BA2679" w:rsidP="00BA2679">
      <w:pPr>
        <w:spacing w:after="40"/>
        <w:rPr>
          <w:rFonts w:ascii="Arial" w:eastAsia="Arial Unicode MS" w:hAnsi="Arial" w:cs="Arial"/>
          <w:sz w:val="20"/>
          <w:szCs w:val="20"/>
        </w:rPr>
      </w:pPr>
      <w:r w:rsidRPr="00C544CF">
        <w:rPr>
          <w:rFonts w:ascii="Arial" w:eastAsia="Arial Unicode MS" w:hAnsi="Arial" w:cs="Arial"/>
          <w:sz w:val="20"/>
          <w:szCs w:val="20"/>
        </w:rPr>
        <w:t>Compreende as obrigações com incentivos a educação, cultura, ciência, esporte, bem como bolsas de estudo para cursos de especialização, mestrado, doutorado, e para estagiários.</w:t>
      </w:r>
    </w:p>
    <w:p w14:paraId="2718CC73" w14:textId="4E09692A" w:rsidR="00157F04" w:rsidRDefault="00157F04" w:rsidP="00BA2679">
      <w:pPr>
        <w:spacing w:after="40"/>
        <w:rPr>
          <w:rFonts w:ascii="Arial" w:eastAsia="Arial Unicode MS" w:hAnsi="Arial" w:cs="Arial"/>
          <w:sz w:val="20"/>
          <w:szCs w:val="20"/>
        </w:rPr>
      </w:pPr>
      <w:r>
        <w:rPr>
          <w:rFonts w:ascii="Arial" w:eastAsia="Arial Unicode MS" w:hAnsi="Arial" w:cs="Arial"/>
          <w:sz w:val="20"/>
          <w:szCs w:val="20"/>
        </w:rPr>
        <w:t>(</w:t>
      </w:r>
      <w:r w:rsidR="00C475FD">
        <w:rPr>
          <w:rFonts w:ascii="Arial" w:eastAsia="Arial Unicode MS" w:hAnsi="Arial" w:cs="Arial"/>
          <w:sz w:val="20"/>
          <w:szCs w:val="20"/>
        </w:rPr>
        <w:t>f</w:t>
      </w:r>
      <w:r>
        <w:rPr>
          <w:rFonts w:ascii="Arial" w:eastAsia="Arial Unicode MS" w:hAnsi="Arial" w:cs="Arial"/>
          <w:sz w:val="20"/>
          <w:szCs w:val="20"/>
        </w:rPr>
        <w:t>)</w:t>
      </w:r>
      <w:r>
        <w:rPr>
          <w:rFonts w:ascii="Arial" w:eastAsia="Arial Unicode MS" w:hAnsi="Arial" w:cs="Arial"/>
          <w:sz w:val="20"/>
          <w:szCs w:val="20"/>
        </w:rPr>
        <w:tab/>
        <w:t>Auxílio a Pesquisadores</w:t>
      </w:r>
    </w:p>
    <w:p w14:paraId="2AFB9A67" w14:textId="67A21138" w:rsidR="00157F04" w:rsidRDefault="00157F04" w:rsidP="00BA2679">
      <w:pPr>
        <w:spacing w:after="40"/>
        <w:rPr>
          <w:rFonts w:ascii="Arial" w:eastAsia="Arial Unicode MS" w:hAnsi="Arial" w:cs="Arial"/>
          <w:sz w:val="20"/>
          <w:szCs w:val="20"/>
        </w:rPr>
      </w:pPr>
      <w:r>
        <w:rPr>
          <w:rFonts w:ascii="Arial" w:eastAsia="Arial Unicode MS" w:hAnsi="Arial" w:cs="Arial"/>
          <w:sz w:val="20"/>
          <w:szCs w:val="20"/>
        </w:rPr>
        <w:t>Compreende os valores a pagar concedidos na forma de auxílio a pesquisadores nos Campi Porto Alegre, Canoas, Rolante e Vacaria.</w:t>
      </w:r>
    </w:p>
    <w:p w14:paraId="170D7F16" w14:textId="498E6931" w:rsidR="00A00A64" w:rsidRDefault="001A0BC1" w:rsidP="00BA2679">
      <w:pPr>
        <w:spacing w:after="40"/>
        <w:rPr>
          <w:rFonts w:ascii="Arial" w:eastAsia="Arial Unicode MS" w:hAnsi="Arial" w:cs="Arial"/>
          <w:sz w:val="20"/>
          <w:szCs w:val="20"/>
        </w:rPr>
      </w:pPr>
      <w:r>
        <w:rPr>
          <w:rFonts w:ascii="Arial" w:eastAsia="Arial Unicode MS" w:hAnsi="Arial" w:cs="Arial"/>
          <w:sz w:val="20"/>
          <w:szCs w:val="20"/>
        </w:rPr>
        <w:t>(</w:t>
      </w:r>
      <w:r w:rsidR="007509F9">
        <w:rPr>
          <w:rFonts w:ascii="Arial" w:eastAsia="Arial Unicode MS" w:hAnsi="Arial" w:cs="Arial"/>
          <w:sz w:val="20"/>
          <w:szCs w:val="20"/>
        </w:rPr>
        <w:t>g</w:t>
      </w:r>
      <w:r w:rsidR="00A00A64">
        <w:rPr>
          <w:rFonts w:ascii="Arial" w:eastAsia="Arial Unicode MS" w:hAnsi="Arial" w:cs="Arial"/>
          <w:sz w:val="20"/>
          <w:szCs w:val="20"/>
        </w:rPr>
        <w:t>)</w:t>
      </w:r>
      <w:r w:rsidR="00A00A64">
        <w:rPr>
          <w:rFonts w:ascii="Arial" w:eastAsia="Arial Unicode MS" w:hAnsi="Arial" w:cs="Arial"/>
          <w:sz w:val="20"/>
          <w:szCs w:val="20"/>
        </w:rPr>
        <w:tab/>
      </w:r>
      <w:r w:rsidR="007509F9">
        <w:rPr>
          <w:rFonts w:ascii="Arial" w:eastAsia="Arial Unicode MS" w:hAnsi="Arial" w:cs="Arial"/>
          <w:sz w:val="20"/>
          <w:szCs w:val="20"/>
        </w:rPr>
        <w:t>Ordens bancárias canceladas</w:t>
      </w:r>
    </w:p>
    <w:p w14:paraId="19773531" w14:textId="42793129" w:rsidR="00A00A64" w:rsidRDefault="001A0BC1" w:rsidP="001A0BC1">
      <w:pPr>
        <w:spacing w:after="40"/>
        <w:rPr>
          <w:rFonts w:ascii="Arial" w:eastAsia="Arial Unicode MS" w:hAnsi="Arial" w:cs="Arial"/>
          <w:sz w:val="20"/>
          <w:szCs w:val="20"/>
        </w:rPr>
      </w:pPr>
      <w:r>
        <w:rPr>
          <w:rFonts w:ascii="Arial" w:eastAsia="Arial Unicode MS" w:hAnsi="Arial" w:cs="Arial"/>
          <w:sz w:val="20"/>
          <w:szCs w:val="20"/>
        </w:rPr>
        <w:t xml:space="preserve">Compreende </w:t>
      </w:r>
      <w:r w:rsidR="00A00A64">
        <w:rPr>
          <w:rFonts w:ascii="Arial" w:eastAsia="Arial Unicode MS" w:hAnsi="Arial" w:cs="Arial"/>
          <w:sz w:val="20"/>
          <w:szCs w:val="20"/>
        </w:rPr>
        <w:t xml:space="preserve">valor referente a </w:t>
      </w:r>
      <w:r w:rsidR="007509F9">
        <w:rPr>
          <w:rFonts w:ascii="Arial" w:eastAsia="Arial Unicode MS" w:hAnsi="Arial" w:cs="Arial"/>
          <w:sz w:val="20"/>
          <w:szCs w:val="20"/>
        </w:rPr>
        <w:t>ordem bancária cancelada e não regularizada pelo campus Viamão até o final do trimestre.</w:t>
      </w:r>
      <w:r w:rsidR="00A00A64">
        <w:rPr>
          <w:rFonts w:ascii="Arial" w:eastAsia="Arial Unicode MS" w:hAnsi="Arial" w:cs="Arial"/>
          <w:sz w:val="20"/>
          <w:szCs w:val="20"/>
        </w:rPr>
        <w:t xml:space="preserve"> </w:t>
      </w:r>
    </w:p>
    <w:p w14:paraId="7A9F2DE8" w14:textId="59D29714" w:rsidR="00AD38E4" w:rsidRPr="00C544CF" w:rsidRDefault="00AD38E4" w:rsidP="00AD38E4">
      <w:pPr>
        <w:spacing w:after="40"/>
        <w:rPr>
          <w:rFonts w:ascii="Arial" w:eastAsia="Arial Unicode MS" w:hAnsi="Arial" w:cs="Arial"/>
          <w:sz w:val="20"/>
          <w:szCs w:val="20"/>
        </w:rPr>
      </w:pPr>
      <w:r>
        <w:rPr>
          <w:rFonts w:ascii="Arial" w:eastAsia="Arial Unicode MS" w:hAnsi="Arial" w:cs="Arial"/>
          <w:sz w:val="20"/>
          <w:szCs w:val="20"/>
        </w:rPr>
        <w:t>(</w:t>
      </w:r>
      <w:r w:rsidR="00C475FD">
        <w:rPr>
          <w:rFonts w:ascii="Arial" w:eastAsia="Arial Unicode MS" w:hAnsi="Arial" w:cs="Arial"/>
          <w:sz w:val="20"/>
          <w:szCs w:val="20"/>
        </w:rPr>
        <w:t>h</w:t>
      </w:r>
      <w:r>
        <w:rPr>
          <w:rFonts w:ascii="Arial" w:eastAsia="Arial Unicode MS" w:hAnsi="Arial" w:cs="Arial"/>
          <w:sz w:val="20"/>
          <w:szCs w:val="20"/>
        </w:rPr>
        <w:t>)</w:t>
      </w:r>
      <w:r>
        <w:rPr>
          <w:rFonts w:ascii="Arial" w:eastAsia="Arial Unicode MS" w:hAnsi="Arial" w:cs="Arial"/>
          <w:sz w:val="20"/>
          <w:szCs w:val="20"/>
        </w:rPr>
        <w:tab/>
        <w:t>Obrigações Com Entidades F</w:t>
      </w:r>
      <w:r w:rsidRPr="00C544CF">
        <w:rPr>
          <w:rFonts w:ascii="Arial" w:eastAsia="Arial Unicode MS" w:hAnsi="Arial" w:cs="Arial"/>
          <w:sz w:val="20"/>
          <w:szCs w:val="20"/>
        </w:rPr>
        <w:t>ederais</w:t>
      </w:r>
    </w:p>
    <w:p w14:paraId="47B11FCE" w14:textId="77777777" w:rsidR="00AD38E4" w:rsidRDefault="00AD38E4" w:rsidP="00AD38E4">
      <w:pPr>
        <w:spacing w:after="40"/>
        <w:rPr>
          <w:rFonts w:ascii="Arial" w:eastAsia="Arial Unicode MS" w:hAnsi="Arial" w:cs="Arial"/>
          <w:sz w:val="20"/>
          <w:szCs w:val="20"/>
        </w:rPr>
      </w:pPr>
      <w:r w:rsidRPr="0034064D">
        <w:rPr>
          <w:rFonts w:ascii="Arial" w:eastAsia="Arial Unicode MS" w:hAnsi="Arial" w:cs="Arial"/>
          <w:sz w:val="20"/>
          <w:szCs w:val="20"/>
        </w:rPr>
        <w:t xml:space="preserve">Compreende as obrigações com pagamento de pessoal (salário, vale alimentação, encargos sociais) de empregados cedidos ao IFRS – campus Erechim e campus Sertão, pela </w:t>
      </w:r>
      <w:proofErr w:type="spellStart"/>
      <w:r w:rsidRPr="0034064D">
        <w:rPr>
          <w:rFonts w:ascii="Arial" w:eastAsia="Arial Unicode MS" w:hAnsi="Arial" w:cs="Arial"/>
          <w:sz w:val="20"/>
          <w:szCs w:val="20"/>
        </w:rPr>
        <w:t>Eletrosul</w:t>
      </w:r>
      <w:proofErr w:type="spellEnd"/>
      <w:r w:rsidRPr="0034064D">
        <w:rPr>
          <w:rFonts w:ascii="Arial" w:eastAsia="Arial Unicode MS" w:hAnsi="Arial" w:cs="Arial"/>
          <w:sz w:val="20"/>
          <w:szCs w:val="20"/>
        </w:rPr>
        <w:t xml:space="preserve">, </w:t>
      </w:r>
      <w:r>
        <w:rPr>
          <w:rFonts w:ascii="Arial" w:eastAsia="Arial Unicode MS" w:hAnsi="Arial" w:cs="Arial"/>
          <w:sz w:val="20"/>
          <w:szCs w:val="20"/>
        </w:rPr>
        <w:t>e Companhia de Geração Térmica de Energia Elétrica relativo 08/2020 e 09/2020, respectivamente.</w:t>
      </w:r>
    </w:p>
    <w:p w14:paraId="7AAED94D" w14:textId="72DC417A" w:rsidR="00EF79D0" w:rsidRDefault="00EF79D0" w:rsidP="00EF79D0">
      <w:pPr>
        <w:spacing w:after="40"/>
        <w:rPr>
          <w:rFonts w:ascii="Arial" w:eastAsia="Arial Unicode MS" w:hAnsi="Arial" w:cs="Arial"/>
          <w:sz w:val="20"/>
          <w:szCs w:val="20"/>
        </w:rPr>
      </w:pPr>
      <w:r>
        <w:rPr>
          <w:rFonts w:ascii="Arial" w:eastAsia="Arial Unicode MS" w:hAnsi="Arial" w:cs="Arial"/>
          <w:sz w:val="20"/>
          <w:szCs w:val="20"/>
        </w:rPr>
        <w:t>(</w:t>
      </w:r>
      <w:r w:rsidR="00C475FD">
        <w:rPr>
          <w:rFonts w:ascii="Arial" w:eastAsia="Arial Unicode MS" w:hAnsi="Arial" w:cs="Arial"/>
          <w:sz w:val="20"/>
          <w:szCs w:val="20"/>
        </w:rPr>
        <w:t>i</w:t>
      </w:r>
      <w:r>
        <w:rPr>
          <w:rFonts w:ascii="Arial" w:eastAsia="Arial Unicode MS" w:hAnsi="Arial" w:cs="Arial"/>
          <w:sz w:val="20"/>
          <w:szCs w:val="20"/>
        </w:rPr>
        <w:t>)</w:t>
      </w:r>
      <w:r>
        <w:rPr>
          <w:rFonts w:ascii="Arial" w:eastAsia="Arial Unicode MS" w:hAnsi="Arial" w:cs="Arial"/>
          <w:sz w:val="20"/>
          <w:szCs w:val="20"/>
        </w:rPr>
        <w:tab/>
        <w:t>Saque – Cartão de Pagamento do Governo Federal</w:t>
      </w:r>
    </w:p>
    <w:p w14:paraId="1424E88B" w14:textId="746FF459" w:rsidR="00247FD1" w:rsidRPr="00247FD1" w:rsidRDefault="00EF79D0" w:rsidP="006F3D9F">
      <w:pPr>
        <w:spacing w:after="40"/>
        <w:rPr>
          <w:rFonts w:ascii="Arial" w:eastAsia="Arial Unicode MS" w:hAnsi="Arial" w:cs="Arial"/>
          <w:sz w:val="20"/>
          <w:szCs w:val="20"/>
        </w:rPr>
      </w:pPr>
      <w:r>
        <w:rPr>
          <w:rFonts w:ascii="Arial" w:eastAsia="Arial Unicode MS" w:hAnsi="Arial" w:cs="Arial"/>
          <w:sz w:val="20"/>
          <w:szCs w:val="20"/>
        </w:rPr>
        <w:t>Compreende valor referente despesas com suprimento de fundos, pendentes de saque com uso do cartão de pagamento do Governo Federal.</w:t>
      </w:r>
    </w:p>
    <w:p w14:paraId="6A232217" w14:textId="68531228" w:rsidR="00BA2679" w:rsidRPr="008C22FD" w:rsidRDefault="007509F9" w:rsidP="00BA2679">
      <w:pPr>
        <w:spacing w:after="40"/>
        <w:rPr>
          <w:rFonts w:ascii="Arial" w:eastAsia="Arial Unicode MS" w:hAnsi="Arial" w:cs="Arial"/>
          <w:sz w:val="20"/>
          <w:szCs w:val="20"/>
        </w:rPr>
      </w:pPr>
      <w:r>
        <w:rPr>
          <w:rFonts w:ascii="Arial" w:eastAsia="Arial Unicode MS" w:hAnsi="Arial" w:cs="Arial"/>
          <w:sz w:val="20"/>
          <w:szCs w:val="20"/>
        </w:rPr>
        <w:t>(</w:t>
      </w:r>
      <w:r w:rsidR="00EF79D0">
        <w:rPr>
          <w:rFonts w:ascii="Arial" w:eastAsia="Arial Unicode MS" w:hAnsi="Arial" w:cs="Arial"/>
          <w:sz w:val="20"/>
          <w:szCs w:val="20"/>
        </w:rPr>
        <w:t>j</w:t>
      </w:r>
      <w:r w:rsidR="00BA2679">
        <w:rPr>
          <w:rFonts w:ascii="Arial" w:eastAsia="Arial Unicode MS" w:hAnsi="Arial" w:cs="Arial"/>
          <w:sz w:val="20"/>
          <w:szCs w:val="20"/>
        </w:rPr>
        <w:t xml:space="preserve">) </w:t>
      </w:r>
      <w:r w:rsidR="00BA2679">
        <w:rPr>
          <w:rFonts w:ascii="Arial" w:eastAsia="Arial Unicode MS" w:hAnsi="Arial" w:cs="Arial"/>
          <w:sz w:val="20"/>
          <w:szCs w:val="20"/>
        </w:rPr>
        <w:tab/>
      </w:r>
      <w:r w:rsidR="00BA2679" w:rsidRPr="008C22FD">
        <w:rPr>
          <w:rFonts w:ascii="Arial" w:eastAsia="Arial Unicode MS" w:hAnsi="Arial" w:cs="Arial"/>
          <w:sz w:val="20"/>
          <w:szCs w:val="20"/>
        </w:rPr>
        <w:t>Transferências financeiras a comprovar</w:t>
      </w:r>
    </w:p>
    <w:p w14:paraId="37AB505D" w14:textId="503C4DA9" w:rsidR="000218E5" w:rsidRDefault="00BA2679" w:rsidP="00BA2679">
      <w:pPr>
        <w:rPr>
          <w:rFonts w:ascii="Arial" w:hAnsi="Arial" w:cs="Arial"/>
          <w:sz w:val="20"/>
          <w:szCs w:val="20"/>
        </w:rPr>
      </w:pPr>
      <w:r w:rsidRPr="008C22FD">
        <w:rPr>
          <w:rFonts w:ascii="Arial" w:hAnsi="Arial" w:cs="Arial"/>
          <w:sz w:val="20"/>
          <w:szCs w:val="20"/>
        </w:rPr>
        <w:t>Compreende apropriações e pagamentos de recursos orçamentários e financeiros transferidos através de TED</w:t>
      </w:r>
      <w:r>
        <w:rPr>
          <w:rFonts w:ascii="Arial" w:hAnsi="Arial" w:cs="Arial"/>
          <w:sz w:val="20"/>
          <w:szCs w:val="20"/>
        </w:rPr>
        <w:t xml:space="preserve"> – Termo de Execução Descentralizada</w:t>
      </w:r>
      <w:r w:rsidRPr="008C22FD">
        <w:rPr>
          <w:rFonts w:ascii="Arial" w:hAnsi="Arial" w:cs="Arial"/>
          <w:sz w:val="20"/>
          <w:szCs w:val="20"/>
        </w:rPr>
        <w:t xml:space="preserve">, de diversos Órgãos, para serem aplicados </w:t>
      </w:r>
      <w:r>
        <w:rPr>
          <w:rFonts w:ascii="Arial" w:hAnsi="Arial" w:cs="Arial"/>
          <w:sz w:val="20"/>
          <w:szCs w:val="20"/>
        </w:rPr>
        <w:t>no IFRS em projetos específicos</w:t>
      </w:r>
      <w:r w:rsidR="00057E5B">
        <w:rPr>
          <w:rFonts w:ascii="Arial" w:hAnsi="Arial" w:cs="Arial"/>
          <w:sz w:val="20"/>
          <w:szCs w:val="20"/>
        </w:rPr>
        <w:t>, e por sua relevância está demonstrado no quadro a seguir:</w:t>
      </w:r>
    </w:p>
    <w:p w14:paraId="347C1ED1" w14:textId="55048CE8" w:rsidR="000C50D0" w:rsidRDefault="000C50D0" w:rsidP="00BA2679">
      <w:pPr>
        <w:rPr>
          <w:rFonts w:ascii="Arial" w:hAnsi="Arial" w:cs="Arial"/>
          <w:sz w:val="20"/>
          <w:szCs w:val="20"/>
        </w:rPr>
      </w:pPr>
      <w:r w:rsidRPr="000C50D0">
        <w:rPr>
          <w:rFonts w:ascii="Arial" w:hAnsi="Arial" w:cs="Arial"/>
          <w:noProof/>
          <w:sz w:val="20"/>
          <w:szCs w:val="20"/>
        </w:rPr>
        <w:lastRenderedPageBreak/>
        <w:drawing>
          <wp:inline distT="0" distB="0" distL="0" distR="0" wp14:anchorId="6769D6B2" wp14:editId="5350922C">
            <wp:extent cx="4730750" cy="9503410"/>
            <wp:effectExtent l="0" t="0" r="0" b="254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30750" cy="9503410"/>
                    </a:xfrm>
                    <a:prstGeom prst="rect">
                      <a:avLst/>
                    </a:prstGeom>
                    <a:noFill/>
                    <a:ln>
                      <a:noFill/>
                    </a:ln>
                  </pic:spPr>
                </pic:pic>
              </a:graphicData>
            </a:graphic>
          </wp:inline>
        </w:drawing>
      </w:r>
    </w:p>
    <w:p w14:paraId="4CB8A3C8" w14:textId="77777777" w:rsidR="00BA2679" w:rsidRPr="0034064D" w:rsidRDefault="00BA2679" w:rsidP="00BA2679">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lastRenderedPageBreak/>
        <w:t>Nota 10</w:t>
      </w:r>
      <w:r w:rsidRPr="0034064D">
        <w:rPr>
          <w:rFonts w:ascii="Arial" w:eastAsia="Arial Unicode MS" w:hAnsi="Arial" w:cs="Arial"/>
          <w:b/>
          <w:color w:val="C45911" w:themeColor="accent2" w:themeShade="BF"/>
          <w:sz w:val="24"/>
          <w:szCs w:val="24"/>
        </w:rPr>
        <w:t xml:space="preserve"> – Resultado Patrimonial</w:t>
      </w:r>
    </w:p>
    <w:p w14:paraId="62700B72" w14:textId="77777777"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A apuração do resultado patrimonial implica na confrontação das Variações Patrimoniais Aumentativas (</w:t>
      </w:r>
      <w:proofErr w:type="spellStart"/>
      <w:r w:rsidRPr="0034064D">
        <w:rPr>
          <w:rFonts w:ascii="Arial" w:eastAsia="Arial Unicode MS" w:hAnsi="Arial" w:cs="Arial"/>
          <w:sz w:val="20"/>
          <w:szCs w:val="20"/>
        </w:rPr>
        <w:t>VPA’s</w:t>
      </w:r>
      <w:proofErr w:type="spellEnd"/>
      <w:r w:rsidRPr="0034064D">
        <w:rPr>
          <w:rFonts w:ascii="Arial" w:eastAsia="Arial Unicode MS" w:hAnsi="Arial" w:cs="Arial"/>
          <w:sz w:val="20"/>
          <w:szCs w:val="20"/>
        </w:rPr>
        <w:t>) e das Variações Patrimoniais Diminutivas (</w:t>
      </w:r>
      <w:proofErr w:type="spellStart"/>
      <w:r w:rsidRPr="0034064D">
        <w:rPr>
          <w:rFonts w:ascii="Arial" w:eastAsia="Arial Unicode MS" w:hAnsi="Arial" w:cs="Arial"/>
          <w:sz w:val="20"/>
          <w:szCs w:val="20"/>
        </w:rPr>
        <w:t>VPD’s</w:t>
      </w:r>
      <w:proofErr w:type="spellEnd"/>
      <w:r w:rsidRPr="0034064D">
        <w:rPr>
          <w:rFonts w:ascii="Arial" w:eastAsia="Arial Unicode MS" w:hAnsi="Arial" w:cs="Arial"/>
          <w:sz w:val="20"/>
          <w:szCs w:val="20"/>
        </w:rPr>
        <w:t>).</w:t>
      </w:r>
    </w:p>
    <w:p w14:paraId="7F73F272" w14:textId="77777777"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As </w:t>
      </w:r>
      <w:proofErr w:type="spellStart"/>
      <w:r w:rsidRPr="0034064D">
        <w:rPr>
          <w:rFonts w:ascii="Arial" w:eastAsia="Arial Unicode MS" w:hAnsi="Arial" w:cs="Arial"/>
          <w:sz w:val="20"/>
          <w:szCs w:val="20"/>
        </w:rPr>
        <w:t>VPA’s</w:t>
      </w:r>
      <w:proofErr w:type="spellEnd"/>
      <w:r w:rsidRPr="0034064D">
        <w:rPr>
          <w:rFonts w:ascii="Arial" w:eastAsia="Arial Unicode MS" w:hAnsi="Arial" w:cs="Arial"/>
          <w:sz w:val="20"/>
          <w:szCs w:val="20"/>
        </w:rPr>
        <w:t xml:space="preserve"> são reconhecidas quando for provável que benefícios econômicos fluirão para o IFRS e quando puderem ser mensuradas confiavelmente, utilizando-se a lógica do regime de competência.</w:t>
      </w:r>
    </w:p>
    <w:p w14:paraId="1E28FE0C" w14:textId="77777777"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A apuração do resultado se dá pelo encerramento das contas de VPA e VPD, em contrapartida a uma conta de apuração. Após a apuração, o resultado é transferido para conta de </w:t>
      </w:r>
      <w:proofErr w:type="spellStart"/>
      <w:r w:rsidRPr="0034064D">
        <w:rPr>
          <w:rFonts w:ascii="Arial" w:eastAsia="Arial Unicode MS" w:hAnsi="Arial" w:cs="Arial"/>
          <w:sz w:val="20"/>
          <w:szCs w:val="20"/>
        </w:rPr>
        <w:t>Superavit</w:t>
      </w:r>
      <w:proofErr w:type="spellEnd"/>
      <w:r w:rsidRPr="0034064D">
        <w:rPr>
          <w:rFonts w:ascii="Arial" w:eastAsia="Arial Unicode MS" w:hAnsi="Arial" w:cs="Arial"/>
          <w:sz w:val="20"/>
          <w:szCs w:val="20"/>
        </w:rPr>
        <w:t>/</w:t>
      </w:r>
      <w:proofErr w:type="spellStart"/>
      <w:r w:rsidRPr="0034064D">
        <w:rPr>
          <w:rFonts w:ascii="Arial" w:eastAsia="Arial Unicode MS" w:hAnsi="Arial" w:cs="Arial"/>
          <w:sz w:val="20"/>
          <w:szCs w:val="20"/>
        </w:rPr>
        <w:t>Deficit</w:t>
      </w:r>
      <w:proofErr w:type="spellEnd"/>
      <w:r w:rsidRPr="0034064D">
        <w:rPr>
          <w:rFonts w:ascii="Arial" w:eastAsia="Arial Unicode MS" w:hAnsi="Arial" w:cs="Arial"/>
          <w:sz w:val="20"/>
          <w:szCs w:val="20"/>
        </w:rPr>
        <w:t xml:space="preserve"> do Exercício. O detalhamento do confronto entre VPA e VPD é apresentado na Demonstração das Variações Patrimoniais.</w:t>
      </w:r>
    </w:p>
    <w:p w14:paraId="25A6C4F0" w14:textId="73CE688B"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O Resultado Patrimonial apurado em </w:t>
      </w:r>
      <w:r w:rsidR="00DB781E">
        <w:rPr>
          <w:rFonts w:ascii="Arial" w:eastAsia="Arial Unicode MS" w:hAnsi="Arial" w:cs="Arial"/>
          <w:sz w:val="20"/>
          <w:szCs w:val="20"/>
        </w:rPr>
        <w:t>30/0</w:t>
      </w:r>
      <w:r w:rsidR="008B31CD">
        <w:rPr>
          <w:rFonts w:ascii="Arial" w:eastAsia="Arial Unicode MS" w:hAnsi="Arial" w:cs="Arial"/>
          <w:sz w:val="20"/>
          <w:szCs w:val="20"/>
        </w:rPr>
        <w:t>9</w:t>
      </w:r>
      <w:r w:rsidR="009505D2">
        <w:rPr>
          <w:rFonts w:ascii="Arial" w:eastAsia="Arial Unicode MS" w:hAnsi="Arial" w:cs="Arial"/>
          <w:sz w:val="20"/>
          <w:szCs w:val="20"/>
        </w:rPr>
        <w:t>/2020</w:t>
      </w:r>
      <w:r w:rsidRPr="0034064D">
        <w:rPr>
          <w:rFonts w:ascii="Arial" w:eastAsia="Arial Unicode MS" w:hAnsi="Arial" w:cs="Arial"/>
          <w:sz w:val="20"/>
          <w:szCs w:val="20"/>
        </w:rPr>
        <w:t xml:space="preserve"> foi </w:t>
      </w:r>
      <w:r w:rsidR="008B31CD">
        <w:rPr>
          <w:rFonts w:ascii="Arial" w:eastAsia="Arial Unicode MS" w:hAnsi="Arial" w:cs="Arial"/>
          <w:sz w:val="20"/>
          <w:szCs w:val="20"/>
        </w:rPr>
        <w:t>deficitário</w:t>
      </w:r>
      <w:r w:rsidRPr="0034064D">
        <w:rPr>
          <w:rFonts w:ascii="Arial" w:eastAsia="Arial Unicode MS" w:hAnsi="Arial" w:cs="Arial"/>
          <w:sz w:val="20"/>
          <w:szCs w:val="20"/>
        </w:rPr>
        <w:t xml:space="preserve"> em R$ </w:t>
      </w:r>
      <w:r w:rsidR="008B31CD">
        <w:rPr>
          <w:rFonts w:ascii="Arial" w:eastAsia="Arial Unicode MS" w:hAnsi="Arial" w:cs="Arial"/>
          <w:sz w:val="20"/>
          <w:szCs w:val="20"/>
        </w:rPr>
        <w:t>17,35</w:t>
      </w:r>
      <w:r w:rsidRPr="0034064D">
        <w:rPr>
          <w:rFonts w:ascii="Arial" w:eastAsia="Arial Unicode MS" w:hAnsi="Arial" w:cs="Arial"/>
          <w:sz w:val="20"/>
          <w:szCs w:val="20"/>
        </w:rPr>
        <w:t xml:space="preserve"> milhões e está demonstrado na tabela abaixo, ao se confrontar Variações Patrimoniais Aumentativas e Diminutivas.</w:t>
      </w:r>
    </w:p>
    <w:p w14:paraId="0A823FD4" w14:textId="7A7DA812" w:rsidR="008B31CD" w:rsidRDefault="008B31CD" w:rsidP="00BA2679">
      <w:pPr>
        <w:spacing w:after="40"/>
        <w:rPr>
          <w:rFonts w:ascii="Arial" w:eastAsia="Arial Unicode MS" w:hAnsi="Arial" w:cs="Arial"/>
          <w:sz w:val="20"/>
          <w:szCs w:val="20"/>
        </w:rPr>
      </w:pPr>
      <w:r w:rsidRPr="008B31CD">
        <w:rPr>
          <w:rFonts w:ascii="Arial" w:eastAsia="Arial Unicode MS" w:hAnsi="Arial" w:cs="Arial"/>
          <w:noProof/>
          <w:sz w:val="20"/>
          <w:szCs w:val="20"/>
        </w:rPr>
        <w:drawing>
          <wp:inline distT="0" distB="0" distL="0" distR="0" wp14:anchorId="48D886F1" wp14:editId="3B7B0BBA">
            <wp:extent cx="5201285" cy="1609090"/>
            <wp:effectExtent l="0" t="0" r="0"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01285" cy="1609090"/>
                    </a:xfrm>
                    <a:prstGeom prst="rect">
                      <a:avLst/>
                    </a:prstGeom>
                    <a:noFill/>
                    <a:ln>
                      <a:noFill/>
                    </a:ln>
                  </pic:spPr>
                </pic:pic>
              </a:graphicData>
            </a:graphic>
          </wp:inline>
        </w:drawing>
      </w:r>
    </w:p>
    <w:p w14:paraId="52F846EE" w14:textId="466C0BA4" w:rsidR="00D30E8F" w:rsidRDefault="00D30E8F" w:rsidP="00BA2679">
      <w:pPr>
        <w:spacing w:after="40"/>
        <w:rPr>
          <w:rFonts w:ascii="Arial" w:eastAsia="Arial Unicode MS" w:hAnsi="Arial" w:cs="Arial"/>
          <w:sz w:val="20"/>
          <w:szCs w:val="20"/>
        </w:rPr>
      </w:pPr>
    </w:p>
    <w:p w14:paraId="4CCC8659" w14:textId="53FD725F"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Observa-se que, no resultado Patrimonial do Período, houve um</w:t>
      </w:r>
      <w:r w:rsidR="00F044FB">
        <w:rPr>
          <w:rFonts w:ascii="Arial" w:eastAsia="Arial Unicode MS" w:hAnsi="Arial" w:cs="Arial"/>
          <w:sz w:val="20"/>
          <w:szCs w:val="20"/>
        </w:rPr>
        <w:t>a melhora</w:t>
      </w:r>
      <w:r w:rsidRPr="0034064D">
        <w:rPr>
          <w:rFonts w:ascii="Arial" w:eastAsia="Arial Unicode MS" w:hAnsi="Arial" w:cs="Arial"/>
          <w:sz w:val="20"/>
          <w:szCs w:val="20"/>
        </w:rPr>
        <w:t xml:space="preserve"> de resultado, quando comparado ao mesm</w:t>
      </w:r>
      <w:r w:rsidR="000C3A47">
        <w:rPr>
          <w:rFonts w:ascii="Arial" w:eastAsia="Arial Unicode MS" w:hAnsi="Arial" w:cs="Arial"/>
          <w:sz w:val="20"/>
          <w:szCs w:val="20"/>
        </w:rPr>
        <w:t>o período do exercício anterior.</w:t>
      </w:r>
      <w:r w:rsidRPr="0034064D">
        <w:rPr>
          <w:rFonts w:ascii="Arial" w:eastAsia="Arial Unicode MS" w:hAnsi="Arial" w:cs="Arial"/>
          <w:sz w:val="20"/>
          <w:szCs w:val="20"/>
        </w:rPr>
        <w:t xml:space="preserve"> Até o </w:t>
      </w:r>
      <w:r w:rsidR="008B31CD">
        <w:rPr>
          <w:rFonts w:ascii="Arial" w:eastAsia="Arial Unicode MS" w:hAnsi="Arial" w:cs="Arial"/>
          <w:sz w:val="20"/>
          <w:szCs w:val="20"/>
        </w:rPr>
        <w:t>terceiro</w:t>
      </w:r>
      <w:r w:rsidR="00FD63E4">
        <w:rPr>
          <w:rFonts w:ascii="Arial" w:eastAsia="Arial Unicode MS" w:hAnsi="Arial" w:cs="Arial"/>
          <w:sz w:val="20"/>
          <w:szCs w:val="20"/>
        </w:rPr>
        <w:t xml:space="preserve"> trimestre</w:t>
      </w:r>
      <w:r w:rsidRPr="0034064D">
        <w:rPr>
          <w:rFonts w:ascii="Arial" w:eastAsia="Arial Unicode MS" w:hAnsi="Arial" w:cs="Arial"/>
          <w:sz w:val="20"/>
          <w:szCs w:val="20"/>
        </w:rPr>
        <w:t xml:space="preserve"> de 201</w:t>
      </w:r>
      <w:r w:rsidR="00D30E8F">
        <w:rPr>
          <w:rFonts w:ascii="Arial" w:eastAsia="Arial Unicode MS" w:hAnsi="Arial" w:cs="Arial"/>
          <w:sz w:val="20"/>
          <w:szCs w:val="20"/>
        </w:rPr>
        <w:t>9</w:t>
      </w:r>
      <w:r w:rsidRPr="0034064D">
        <w:rPr>
          <w:rFonts w:ascii="Arial" w:eastAsia="Arial Unicode MS" w:hAnsi="Arial" w:cs="Arial"/>
          <w:sz w:val="20"/>
          <w:szCs w:val="20"/>
        </w:rPr>
        <w:t xml:space="preserve">, o resultado foi </w:t>
      </w:r>
      <w:r w:rsidR="00D30E8F">
        <w:rPr>
          <w:rFonts w:ascii="Arial" w:eastAsia="Arial Unicode MS" w:hAnsi="Arial" w:cs="Arial"/>
          <w:sz w:val="20"/>
          <w:szCs w:val="20"/>
        </w:rPr>
        <w:t xml:space="preserve">negativo em </w:t>
      </w:r>
      <w:r w:rsidRPr="0034064D">
        <w:rPr>
          <w:rFonts w:ascii="Arial" w:eastAsia="Arial Unicode MS" w:hAnsi="Arial" w:cs="Arial"/>
          <w:sz w:val="20"/>
          <w:szCs w:val="20"/>
        </w:rPr>
        <w:t xml:space="preserve">R$ </w:t>
      </w:r>
      <w:r w:rsidR="008B31CD">
        <w:rPr>
          <w:rFonts w:ascii="Arial" w:eastAsia="Arial Unicode MS" w:hAnsi="Arial" w:cs="Arial"/>
          <w:sz w:val="20"/>
          <w:szCs w:val="20"/>
        </w:rPr>
        <w:t>67,93</w:t>
      </w:r>
      <w:r w:rsidRPr="0034064D">
        <w:rPr>
          <w:rFonts w:ascii="Arial" w:eastAsia="Arial Unicode MS" w:hAnsi="Arial" w:cs="Arial"/>
          <w:sz w:val="20"/>
          <w:szCs w:val="20"/>
        </w:rPr>
        <w:t xml:space="preserve"> milhões, ao passo que, no mesmo período de 20</w:t>
      </w:r>
      <w:r w:rsidR="00D30E8F">
        <w:rPr>
          <w:rFonts w:ascii="Arial" w:eastAsia="Arial Unicode MS" w:hAnsi="Arial" w:cs="Arial"/>
          <w:sz w:val="20"/>
          <w:szCs w:val="20"/>
        </w:rPr>
        <w:t>20</w:t>
      </w:r>
      <w:r w:rsidRPr="0034064D">
        <w:rPr>
          <w:rFonts w:ascii="Arial" w:eastAsia="Arial Unicode MS" w:hAnsi="Arial" w:cs="Arial"/>
          <w:sz w:val="20"/>
          <w:szCs w:val="20"/>
        </w:rPr>
        <w:t xml:space="preserve">, o resultado foi </w:t>
      </w:r>
      <w:r w:rsidR="008B31CD">
        <w:rPr>
          <w:rFonts w:ascii="Arial" w:eastAsia="Arial Unicode MS" w:hAnsi="Arial" w:cs="Arial"/>
          <w:sz w:val="20"/>
          <w:szCs w:val="20"/>
        </w:rPr>
        <w:t>negativo</w:t>
      </w:r>
      <w:r w:rsidRPr="0034064D">
        <w:rPr>
          <w:rFonts w:ascii="Arial" w:eastAsia="Arial Unicode MS" w:hAnsi="Arial" w:cs="Arial"/>
          <w:sz w:val="20"/>
          <w:szCs w:val="20"/>
        </w:rPr>
        <w:t xml:space="preserve"> em R$ </w:t>
      </w:r>
      <w:r w:rsidR="008B31CD">
        <w:rPr>
          <w:rFonts w:ascii="Arial" w:eastAsia="Arial Unicode MS" w:hAnsi="Arial" w:cs="Arial"/>
          <w:sz w:val="20"/>
          <w:szCs w:val="20"/>
        </w:rPr>
        <w:t>17,35</w:t>
      </w:r>
      <w:r w:rsidRPr="0034064D">
        <w:rPr>
          <w:rFonts w:ascii="Arial" w:eastAsia="Arial Unicode MS" w:hAnsi="Arial" w:cs="Arial"/>
          <w:sz w:val="20"/>
          <w:szCs w:val="20"/>
        </w:rPr>
        <w:t xml:space="preserve"> milhões, implicando </w:t>
      </w:r>
      <w:r>
        <w:rPr>
          <w:rFonts w:ascii="Arial" w:eastAsia="Arial Unicode MS" w:hAnsi="Arial" w:cs="Arial"/>
          <w:sz w:val="20"/>
          <w:szCs w:val="20"/>
        </w:rPr>
        <w:t xml:space="preserve">em </w:t>
      </w:r>
      <w:r w:rsidRPr="0034064D">
        <w:rPr>
          <w:rFonts w:ascii="Arial" w:eastAsia="Arial Unicode MS" w:hAnsi="Arial" w:cs="Arial"/>
          <w:sz w:val="20"/>
          <w:szCs w:val="20"/>
        </w:rPr>
        <w:t xml:space="preserve">um </w:t>
      </w:r>
      <w:r w:rsidR="00FD63E4">
        <w:rPr>
          <w:rFonts w:ascii="Arial" w:eastAsia="Arial Unicode MS" w:hAnsi="Arial" w:cs="Arial"/>
          <w:sz w:val="20"/>
          <w:szCs w:val="20"/>
        </w:rPr>
        <w:t>acréscimo</w:t>
      </w:r>
      <w:r>
        <w:rPr>
          <w:rFonts w:ascii="Arial" w:eastAsia="Arial Unicode MS" w:hAnsi="Arial" w:cs="Arial"/>
          <w:sz w:val="20"/>
          <w:szCs w:val="20"/>
        </w:rPr>
        <w:t xml:space="preserve"> </w:t>
      </w:r>
      <w:r w:rsidRPr="0034064D">
        <w:rPr>
          <w:rFonts w:ascii="Arial" w:eastAsia="Arial Unicode MS" w:hAnsi="Arial" w:cs="Arial"/>
          <w:sz w:val="20"/>
          <w:szCs w:val="20"/>
        </w:rPr>
        <w:t xml:space="preserve">na ordem de R$ </w:t>
      </w:r>
      <w:r w:rsidR="00FD63E4">
        <w:rPr>
          <w:rFonts w:ascii="Arial" w:eastAsia="Arial Unicode MS" w:hAnsi="Arial" w:cs="Arial"/>
          <w:sz w:val="20"/>
          <w:szCs w:val="20"/>
        </w:rPr>
        <w:t>5</w:t>
      </w:r>
      <w:r w:rsidR="008B31CD">
        <w:rPr>
          <w:rFonts w:ascii="Arial" w:eastAsia="Arial Unicode MS" w:hAnsi="Arial" w:cs="Arial"/>
          <w:sz w:val="20"/>
          <w:szCs w:val="20"/>
        </w:rPr>
        <w:t>0</w:t>
      </w:r>
      <w:r w:rsidRPr="0034064D">
        <w:rPr>
          <w:rFonts w:ascii="Arial" w:eastAsia="Arial Unicode MS" w:hAnsi="Arial" w:cs="Arial"/>
          <w:sz w:val="20"/>
          <w:szCs w:val="20"/>
        </w:rPr>
        <w:t xml:space="preserve"> milhões. Dentre as principais variações, destacam-se:</w:t>
      </w:r>
    </w:p>
    <w:p w14:paraId="5D4AD3FB" w14:textId="24E69895"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I.</w:t>
      </w:r>
      <w:r w:rsidRPr="0034064D">
        <w:rPr>
          <w:rFonts w:ascii="Arial" w:eastAsia="Arial Unicode MS" w:hAnsi="Arial" w:cs="Arial"/>
          <w:sz w:val="20"/>
          <w:szCs w:val="20"/>
        </w:rPr>
        <w:tab/>
        <w:t xml:space="preserve">Aumento dos gastos com Pessoal e encargos no montante de R$ </w:t>
      </w:r>
      <w:r w:rsidR="00E542DC">
        <w:rPr>
          <w:rFonts w:ascii="Arial" w:eastAsia="Arial Unicode MS" w:hAnsi="Arial" w:cs="Arial"/>
          <w:sz w:val="20"/>
          <w:szCs w:val="20"/>
        </w:rPr>
        <w:t>20</w:t>
      </w:r>
      <w:r w:rsidRPr="0034064D">
        <w:rPr>
          <w:rFonts w:ascii="Arial" w:eastAsia="Arial Unicode MS" w:hAnsi="Arial" w:cs="Arial"/>
          <w:sz w:val="20"/>
          <w:szCs w:val="20"/>
        </w:rPr>
        <w:t xml:space="preserve"> milhões (</w:t>
      </w:r>
      <w:r w:rsidR="00FB47E5">
        <w:rPr>
          <w:rFonts w:ascii="Arial" w:eastAsia="Arial Unicode MS" w:hAnsi="Arial" w:cs="Arial"/>
          <w:sz w:val="20"/>
          <w:szCs w:val="20"/>
        </w:rPr>
        <w:t>7,</w:t>
      </w:r>
      <w:r w:rsidR="00E542DC">
        <w:rPr>
          <w:rFonts w:ascii="Arial" w:eastAsia="Arial Unicode MS" w:hAnsi="Arial" w:cs="Arial"/>
          <w:sz w:val="20"/>
          <w:szCs w:val="20"/>
        </w:rPr>
        <w:t>24</w:t>
      </w:r>
      <w:r w:rsidRPr="0034064D">
        <w:rPr>
          <w:rFonts w:ascii="Arial" w:eastAsia="Arial Unicode MS" w:hAnsi="Arial" w:cs="Arial"/>
          <w:sz w:val="20"/>
          <w:szCs w:val="20"/>
        </w:rPr>
        <w:t>%);</w:t>
      </w:r>
    </w:p>
    <w:p w14:paraId="1AB3213F" w14:textId="3C610E50" w:rsidR="00BA2679" w:rsidRPr="0034064D" w:rsidRDefault="00BA2679" w:rsidP="00BA2679">
      <w:pPr>
        <w:spacing w:after="40"/>
        <w:rPr>
          <w:rFonts w:ascii="Arial" w:eastAsia="Arial Unicode MS" w:hAnsi="Arial" w:cs="Arial"/>
          <w:sz w:val="20"/>
          <w:szCs w:val="20"/>
        </w:rPr>
      </w:pPr>
      <w:r>
        <w:rPr>
          <w:rFonts w:ascii="Arial" w:eastAsia="Arial Unicode MS" w:hAnsi="Arial" w:cs="Arial"/>
          <w:sz w:val="20"/>
          <w:szCs w:val="20"/>
        </w:rPr>
        <w:t>II.</w:t>
      </w:r>
      <w:r>
        <w:rPr>
          <w:rFonts w:ascii="Arial" w:eastAsia="Arial Unicode MS" w:hAnsi="Arial" w:cs="Arial"/>
          <w:sz w:val="20"/>
          <w:szCs w:val="20"/>
        </w:rPr>
        <w:tab/>
        <w:t xml:space="preserve">Aumento dos gastos com Benefícios Previdenciários e Assistenciais em R$ </w:t>
      </w:r>
      <w:r w:rsidR="00FB47E5">
        <w:rPr>
          <w:rFonts w:ascii="Arial" w:eastAsia="Arial Unicode MS" w:hAnsi="Arial" w:cs="Arial"/>
          <w:sz w:val="20"/>
          <w:szCs w:val="20"/>
        </w:rPr>
        <w:t>2,</w:t>
      </w:r>
      <w:r w:rsidR="00E542DC">
        <w:rPr>
          <w:rFonts w:ascii="Arial" w:eastAsia="Arial Unicode MS" w:hAnsi="Arial" w:cs="Arial"/>
          <w:sz w:val="20"/>
          <w:szCs w:val="20"/>
        </w:rPr>
        <w:t>81</w:t>
      </w:r>
      <w:r w:rsidR="007B2AD1">
        <w:rPr>
          <w:rFonts w:ascii="Arial" w:eastAsia="Arial Unicode MS" w:hAnsi="Arial" w:cs="Arial"/>
          <w:sz w:val="20"/>
          <w:szCs w:val="20"/>
        </w:rPr>
        <w:t xml:space="preserve"> milhões</w:t>
      </w:r>
      <w:r>
        <w:rPr>
          <w:rFonts w:ascii="Arial" w:eastAsia="Arial Unicode MS" w:hAnsi="Arial" w:cs="Arial"/>
          <w:sz w:val="20"/>
          <w:szCs w:val="20"/>
        </w:rPr>
        <w:t xml:space="preserve"> (</w:t>
      </w:r>
      <w:r w:rsidR="00E542DC">
        <w:rPr>
          <w:rFonts w:ascii="Arial" w:eastAsia="Arial Unicode MS" w:hAnsi="Arial" w:cs="Arial"/>
          <w:sz w:val="20"/>
          <w:szCs w:val="20"/>
        </w:rPr>
        <w:t>12,05</w:t>
      </w:r>
      <w:r>
        <w:rPr>
          <w:rFonts w:ascii="Arial" w:eastAsia="Arial Unicode MS" w:hAnsi="Arial" w:cs="Arial"/>
          <w:sz w:val="20"/>
          <w:szCs w:val="20"/>
        </w:rPr>
        <w:t>%);</w:t>
      </w:r>
    </w:p>
    <w:p w14:paraId="650F384A" w14:textId="0720AF11"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II</w:t>
      </w:r>
      <w:r>
        <w:rPr>
          <w:rFonts w:ascii="Arial" w:eastAsia="Arial Unicode MS" w:hAnsi="Arial" w:cs="Arial"/>
          <w:sz w:val="20"/>
          <w:szCs w:val="20"/>
        </w:rPr>
        <w:t>I</w:t>
      </w:r>
      <w:r w:rsidRPr="0034064D">
        <w:rPr>
          <w:rFonts w:ascii="Arial" w:eastAsia="Arial Unicode MS" w:hAnsi="Arial" w:cs="Arial"/>
          <w:sz w:val="20"/>
          <w:szCs w:val="20"/>
        </w:rPr>
        <w:t>.</w:t>
      </w:r>
      <w:r w:rsidRPr="0034064D">
        <w:rPr>
          <w:rFonts w:ascii="Arial" w:eastAsia="Arial Unicode MS" w:hAnsi="Arial" w:cs="Arial"/>
          <w:sz w:val="20"/>
          <w:szCs w:val="20"/>
        </w:rPr>
        <w:tab/>
      </w:r>
      <w:r w:rsidR="00B802A3">
        <w:rPr>
          <w:rFonts w:ascii="Arial" w:eastAsia="Arial Unicode MS" w:hAnsi="Arial" w:cs="Arial"/>
          <w:sz w:val="20"/>
          <w:szCs w:val="20"/>
        </w:rPr>
        <w:t>Decréscimo</w:t>
      </w:r>
      <w:r w:rsidRPr="0034064D">
        <w:rPr>
          <w:rFonts w:ascii="Arial" w:eastAsia="Arial Unicode MS" w:hAnsi="Arial" w:cs="Arial"/>
          <w:sz w:val="20"/>
          <w:szCs w:val="20"/>
        </w:rPr>
        <w:t xml:space="preserve"> </w:t>
      </w:r>
      <w:r>
        <w:rPr>
          <w:rFonts w:ascii="Arial" w:eastAsia="Arial Unicode MS" w:hAnsi="Arial" w:cs="Arial"/>
          <w:sz w:val="20"/>
          <w:szCs w:val="20"/>
        </w:rPr>
        <w:t xml:space="preserve">na Desvalorização </w:t>
      </w:r>
      <w:r w:rsidR="007B2AD1">
        <w:rPr>
          <w:rFonts w:ascii="Arial" w:eastAsia="Arial Unicode MS" w:hAnsi="Arial" w:cs="Arial"/>
          <w:sz w:val="20"/>
          <w:szCs w:val="20"/>
        </w:rPr>
        <w:t xml:space="preserve">e Perda </w:t>
      </w:r>
      <w:r w:rsidR="00A7003B">
        <w:rPr>
          <w:rFonts w:ascii="Arial" w:eastAsia="Arial Unicode MS" w:hAnsi="Arial" w:cs="Arial"/>
          <w:sz w:val="20"/>
          <w:szCs w:val="20"/>
        </w:rPr>
        <w:t>de Ativos</w:t>
      </w:r>
      <w:r>
        <w:rPr>
          <w:rFonts w:ascii="Arial" w:eastAsia="Arial Unicode MS" w:hAnsi="Arial" w:cs="Arial"/>
          <w:sz w:val="20"/>
          <w:szCs w:val="20"/>
        </w:rPr>
        <w:t xml:space="preserve"> </w:t>
      </w:r>
      <w:r w:rsidRPr="0034064D">
        <w:rPr>
          <w:rFonts w:ascii="Arial" w:eastAsia="Arial Unicode MS" w:hAnsi="Arial" w:cs="Arial"/>
          <w:sz w:val="20"/>
          <w:szCs w:val="20"/>
        </w:rPr>
        <w:t xml:space="preserve">em </w:t>
      </w:r>
      <w:r w:rsidR="00B802A3">
        <w:rPr>
          <w:rFonts w:ascii="Arial" w:eastAsia="Arial Unicode MS" w:hAnsi="Arial" w:cs="Arial"/>
          <w:sz w:val="20"/>
          <w:szCs w:val="20"/>
        </w:rPr>
        <w:t>(-</w:t>
      </w:r>
      <w:proofErr w:type="gramStart"/>
      <w:r w:rsidR="00B802A3">
        <w:rPr>
          <w:rFonts w:ascii="Arial" w:eastAsia="Arial Unicode MS" w:hAnsi="Arial" w:cs="Arial"/>
          <w:sz w:val="20"/>
          <w:szCs w:val="20"/>
        </w:rPr>
        <w:t xml:space="preserve">)  </w:t>
      </w:r>
      <w:r w:rsidRPr="0034064D">
        <w:rPr>
          <w:rFonts w:ascii="Arial" w:eastAsia="Arial Unicode MS" w:hAnsi="Arial" w:cs="Arial"/>
          <w:sz w:val="20"/>
          <w:szCs w:val="20"/>
        </w:rPr>
        <w:t>R</w:t>
      </w:r>
      <w:proofErr w:type="gramEnd"/>
      <w:r w:rsidRPr="0034064D">
        <w:rPr>
          <w:rFonts w:ascii="Arial" w:eastAsia="Arial Unicode MS" w:hAnsi="Arial" w:cs="Arial"/>
          <w:sz w:val="20"/>
          <w:szCs w:val="20"/>
        </w:rPr>
        <w:t xml:space="preserve">$ </w:t>
      </w:r>
      <w:r w:rsidR="00E542DC">
        <w:rPr>
          <w:rFonts w:ascii="Arial" w:eastAsia="Arial Unicode MS" w:hAnsi="Arial" w:cs="Arial"/>
          <w:sz w:val="20"/>
          <w:szCs w:val="20"/>
        </w:rPr>
        <w:t>56,52</w:t>
      </w:r>
      <w:r w:rsidRPr="0034064D">
        <w:rPr>
          <w:rFonts w:ascii="Arial" w:eastAsia="Arial Unicode MS" w:hAnsi="Arial" w:cs="Arial"/>
          <w:sz w:val="20"/>
          <w:szCs w:val="20"/>
        </w:rPr>
        <w:t xml:space="preserve"> milhões (</w:t>
      </w:r>
      <w:r w:rsidR="00E542DC">
        <w:rPr>
          <w:rFonts w:ascii="Arial" w:eastAsia="Arial Unicode MS" w:hAnsi="Arial" w:cs="Arial"/>
          <w:sz w:val="20"/>
          <w:szCs w:val="20"/>
        </w:rPr>
        <w:t>91,97</w:t>
      </w:r>
      <w:r w:rsidRPr="0034064D">
        <w:rPr>
          <w:rFonts w:ascii="Arial" w:eastAsia="Arial Unicode MS" w:hAnsi="Arial" w:cs="Arial"/>
          <w:sz w:val="20"/>
          <w:szCs w:val="20"/>
        </w:rPr>
        <w:t>%)</w:t>
      </w:r>
      <w:r w:rsidR="00A7003B">
        <w:rPr>
          <w:rFonts w:ascii="Arial" w:eastAsia="Arial Unicode MS" w:hAnsi="Arial" w:cs="Arial"/>
          <w:sz w:val="20"/>
          <w:szCs w:val="20"/>
        </w:rPr>
        <w:t>.</w:t>
      </w:r>
    </w:p>
    <w:p w14:paraId="13EF56E3" w14:textId="78FF3D91"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Abaixo, é apresentado o resultado da Demonstração das Variações Patrimoniais:</w:t>
      </w:r>
    </w:p>
    <w:p w14:paraId="72E9D8A3" w14:textId="6A9AE079" w:rsidR="00164FB4" w:rsidRDefault="00164FB4" w:rsidP="00BA2679">
      <w:pPr>
        <w:spacing w:after="40"/>
        <w:rPr>
          <w:rFonts w:ascii="Arial" w:eastAsia="Arial Unicode MS" w:hAnsi="Arial" w:cs="Arial"/>
          <w:sz w:val="20"/>
          <w:szCs w:val="20"/>
        </w:rPr>
      </w:pPr>
      <w:r w:rsidRPr="00164FB4">
        <w:rPr>
          <w:rFonts w:ascii="Arial" w:eastAsia="Arial Unicode MS" w:hAnsi="Arial" w:cs="Arial"/>
          <w:noProof/>
          <w:sz w:val="20"/>
          <w:szCs w:val="20"/>
        </w:rPr>
        <w:drawing>
          <wp:inline distT="0" distB="0" distL="0" distR="0" wp14:anchorId="1FEB6923" wp14:editId="58DD3F81">
            <wp:extent cx="6479540" cy="2930525"/>
            <wp:effectExtent l="0" t="0" r="0" b="3175"/>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79540" cy="2930525"/>
                    </a:xfrm>
                    <a:prstGeom prst="rect">
                      <a:avLst/>
                    </a:prstGeom>
                    <a:noFill/>
                    <a:ln>
                      <a:noFill/>
                    </a:ln>
                  </pic:spPr>
                </pic:pic>
              </a:graphicData>
            </a:graphic>
          </wp:inline>
        </w:drawing>
      </w:r>
    </w:p>
    <w:p w14:paraId="34B29725" w14:textId="797C9929" w:rsidR="00C259E3" w:rsidRDefault="00C259E3" w:rsidP="00BA2679">
      <w:pPr>
        <w:spacing w:after="40"/>
        <w:rPr>
          <w:rFonts w:ascii="Arial" w:eastAsia="Arial Unicode MS" w:hAnsi="Arial" w:cs="Arial"/>
          <w:sz w:val="20"/>
          <w:szCs w:val="20"/>
        </w:rPr>
      </w:pPr>
    </w:p>
    <w:p w14:paraId="0C8677A5" w14:textId="77777777" w:rsidR="000C3A47" w:rsidRDefault="000C3A47" w:rsidP="00BA2679">
      <w:pPr>
        <w:spacing w:after="40"/>
        <w:rPr>
          <w:rFonts w:ascii="Arial" w:eastAsia="Arial Unicode MS" w:hAnsi="Arial" w:cs="Arial"/>
          <w:sz w:val="20"/>
          <w:szCs w:val="20"/>
        </w:rPr>
        <w:sectPr w:rsidR="000C3A47" w:rsidSect="00BF1A98">
          <w:type w:val="continuous"/>
          <w:pgSz w:w="11906" w:h="16838"/>
          <w:pgMar w:top="1021" w:right="851" w:bottom="851" w:left="851" w:header="709" w:footer="0" w:gutter="0"/>
          <w:cols w:space="708"/>
          <w:docGrid w:linePitch="360"/>
        </w:sectPr>
      </w:pPr>
    </w:p>
    <w:p w14:paraId="5557D168" w14:textId="77777777" w:rsidR="00612A6E"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Dentre as Variações Patrimoniais Aumentativas destacamos o resultado positivo </w:t>
      </w:r>
      <w:r w:rsidR="00C94180">
        <w:rPr>
          <w:rFonts w:ascii="Arial" w:eastAsia="Arial Unicode MS" w:hAnsi="Arial" w:cs="Arial"/>
          <w:sz w:val="20"/>
          <w:szCs w:val="20"/>
        </w:rPr>
        <w:t>das</w:t>
      </w:r>
      <w:r w:rsidRPr="0034064D">
        <w:rPr>
          <w:rFonts w:ascii="Arial" w:eastAsia="Arial Unicode MS" w:hAnsi="Arial" w:cs="Arial"/>
          <w:sz w:val="20"/>
          <w:szCs w:val="20"/>
        </w:rPr>
        <w:t xml:space="preserve"> </w:t>
      </w:r>
      <w:r>
        <w:rPr>
          <w:rFonts w:ascii="Arial" w:eastAsia="Arial Unicode MS" w:hAnsi="Arial" w:cs="Arial"/>
          <w:sz w:val="20"/>
          <w:szCs w:val="20"/>
        </w:rPr>
        <w:t>Transferências e Delegações Recebidas</w:t>
      </w:r>
      <w:r w:rsidRPr="0034064D">
        <w:rPr>
          <w:rFonts w:ascii="Arial" w:eastAsia="Arial Unicode MS" w:hAnsi="Arial" w:cs="Arial"/>
          <w:sz w:val="20"/>
          <w:szCs w:val="20"/>
        </w:rPr>
        <w:t xml:space="preserve">, em um montante de R$ </w:t>
      </w:r>
      <w:r w:rsidR="00E542DC">
        <w:rPr>
          <w:rFonts w:ascii="Arial" w:eastAsia="Arial Unicode MS" w:hAnsi="Arial" w:cs="Arial"/>
          <w:sz w:val="20"/>
          <w:szCs w:val="20"/>
        </w:rPr>
        <w:t>14,29</w:t>
      </w:r>
      <w:r w:rsidRPr="0034064D">
        <w:rPr>
          <w:rFonts w:ascii="Arial" w:eastAsia="Arial Unicode MS" w:hAnsi="Arial" w:cs="Arial"/>
          <w:sz w:val="20"/>
          <w:szCs w:val="20"/>
        </w:rPr>
        <w:t xml:space="preserve"> </w:t>
      </w:r>
      <w:proofErr w:type="spellStart"/>
      <w:r w:rsidRPr="0034064D">
        <w:rPr>
          <w:rFonts w:ascii="Arial" w:eastAsia="Arial Unicode MS" w:hAnsi="Arial" w:cs="Arial"/>
          <w:sz w:val="20"/>
          <w:szCs w:val="20"/>
        </w:rPr>
        <w:t>mlhões</w:t>
      </w:r>
      <w:proofErr w:type="spellEnd"/>
      <w:r w:rsidRPr="0034064D">
        <w:rPr>
          <w:rFonts w:ascii="Arial" w:eastAsia="Arial Unicode MS" w:hAnsi="Arial" w:cs="Arial"/>
          <w:sz w:val="20"/>
          <w:szCs w:val="20"/>
        </w:rPr>
        <w:t xml:space="preserve"> (</w:t>
      </w:r>
      <w:r w:rsidR="00E542DC">
        <w:rPr>
          <w:rFonts w:ascii="Arial" w:eastAsia="Arial Unicode MS" w:hAnsi="Arial" w:cs="Arial"/>
          <w:sz w:val="20"/>
          <w:szCs w:val="20"/>
        </w:rPr>
        <w:t>4,03</w:t>
      </w:r>
      <w:r w:rsidR="00671CCC">
        <w:rPr>
          <w:rFonts w:ascii="Arial" w:eastAsia="Arial Unicode MS" w:hAnsi="Arial" w:cs="Arial"/>
          <w:sz w:val="20"/>
          <w:szCs w:val="20"/>
        </w:rPr>
        <w:t>%</w:t>
      </w:r>
      <w:r w:rsidRPr="0034064D">
        <w:rPr>
          <w:rFonts w:ascii="Arial" w:eastAsia="Arial Unicode MS" w:hAnsi="Arial" w:cs="Arial"/>
          <w:sz w:val="20"/>
          <w:szCs w:val="20"/>
        </w:rPr>
        <w:t>)</w:t>
      </w:r>
      <w:r w:rsidR="00C94180">
        <w:rPr>
          <w:rFonts w:ascii="Arial" w:eastAsia="Arial Unicode MS" w:hAnsi="Arial" w:cs="Arial"/>
          <w:sz w:val="20"/>
          <w:szCs w:val="20"/>
        </w:rPr>
        <w:t>,</w:t>
      </w:r>
      <w:r w:rsidRPr="0034064D">
        <w:rPr>
          <w:rFonts w:ascii="Arial" w:eastAsia="Arial Unicode MS" w:hAnsi="Arial" w:cs="Arial"/>
          <w:sz w:val="20"/>
          <w:szCs w:val="20"/>
        </w:rPr>
        <w:t xml:space="preserve"> pelo repasse da Secretaria de Planejamento e Orçamento, correspondentes ao orçamento anual, quando comparado ao mesm</w:t>
      </w:r>
      <w:r>
        <w:rPr>
          <w:rFonts w:ascii="Arial" w:eastAsia="Arial Unicode MS" w:hAnsi="Arial" w:cs="Arial"/>
          <w:sz w:val="20"/>
          <w:szCs w:val="20"/>
        </w:rPr>
        <w:t xml:space="preserve">o período do exercício anterior, e a </w:t>
      </w:r>
      <w:r w:rsidR="00E542DC">
        <w:rPr>
          <w:rFonts w:ascii="Arial" w:eastAsia="Arial Unicode MS" w:hAnsi="Arial" w:cs="Arial"/>
          <w:sz w:val="20"/>
          <w:szCs w:val="20"/>
        </w:rPr>
        <w:t xml:space="preserve"> de </w:t>
      </w:r>
      <w:r>
        <w:rPr>
          <w:rFonts w:ascii="Arial" w:eastAsia="Arial Unicode MS" w:hAnsi="Arial" w:cs="Arial"/>
          <w:sz w:val="20"/>
          <w:szCs w:val="20"/>
        </w:rPr>
        <w:t xml:space="preserve">diminuição na Valorização e ganhos com Ativos </w:t>
      </w:r>
      <w:r w:rsidR="00612A6E">
        <w:rPr>
          <w:rFonts w:ascii="Arial" w:eastAsia="Arial Unicode MS" w:hAnsi="Arial" w:cs="Arial"/>
          <w:sz w:val="20"/>
          <w:szCs w:val="20"/>
        </w:rPr>
        <w:t>e Desincorporação de Passivos, como segue:</w:t>
      </w:r>
    </w:p>
    <w:p w14:paraId="276F9CA1" w14:textId="77777777" w:rsidR="00612A6E" w:rsidRDefault="00612A6E" w:rsidP="00BA2679">
      <w:pPr>
        <w:spacing w:after="40"/>
        <w:rPr>
          <w:rFonts w:ascii="Arial" w:eastAsia="Arial Unicode MS" w:hAnsi="Arial" w:cs="Arial"/>
          <w:sz w:val="20"/>
          <w:szCs w:val="20"/>
        </w:rPr>
      </w:pPr>
      <w:r>
        <w:rPr>
          <w:rFonts w:ascii="Arial" w:eastAsia="Arial Unicode MS" w:hAnsi="Arial" w:cs="Arial"/>
          <w:sz w:val="20"/>
          <w:szCs w:val="20"/>
        </w:rPr>
        <w:t xml:space="preserve">Pela baixa de passivo referente cancelamento </w:t>
      </w:r>
      <w:proofErr w:type="gramStart"/>
      <w:r>
        <w:rPr>
          <w:rFonts w:ascii="Arial" w:eastAsia="Arial Unicode MS" w:hAnsi="Arial" w:cs="Arial"/>
          <w:sz w:val="20"/>
          <w:szCs w:val="20"/>
        </w:rPr>
        <w:t>conta</w:t>
      </w:r>
      <w:proofErr w:type="gramEnd"/>
      <w:r>
        <w:rPr>
          <w:rFonts w:ascii="Arial" w:eastAsia="Arial Unicode MS" w:hAnsi="Arial" w:cs="Arial"/>
          <w:sz w:val="20"/>
          <w:szCs w:val="20"/>
        </w:rPr>
        <w:t xml:space="preserve"> </w:t>
      </w:r>
      <w:proofErr w:type="spellStart"/>
      <w:r>
        <w:rPr>
          <w:rFonts w:ascii="Arial" w:eastAsia="Arial Unicode MS" w:hAnsi="Arial" w:cs="Arial"/>
          <w:sz w:val="20"/>
          <w:szCs w:val="20"/>
        </w:rPr>
        <w:t>conta</w:t>
      </w:r>
      <w:proofErr w:type="spellEnd"/>
      <w:r>
        <w:rPr>
          <w:rFonts w:ascii="Arial" w:eastAsia="Arial Unicode MS" w:hAnsi="Arial" w:cs="Arial"/>
          <w:sz w:val="20"/>
          <w:szCs w:val="20"/>
        </w:rPr>
        <w:t xml:space="preserve"> DMAE/POA em virtude processo administrativo solicitando revisão consumo conta de água;</w:t>
      </w:r>
    </w:p>
    <w:p w14:paraId="7EED7116" w14:textId="0B6A00F1" w:rsidR="00612A6E" w:rsidRDefault="00277932" w:rsidP="00BA2679">
      <w:pPr>
        <w:spacing w:after="40"/>
        <w:rPr>
          <w:rFonts w:ascii="Arial" w:eastAsia="Arial Unicode MS" w:hAnsi="Arial" w:cs="Arial"/>
          <w:sz w:val="20"/>
          <w:szCs w:val="20"/>
        </w:rPr>
      </w:pPr>
      <w:r>
        <w:rPr>
          <w:rFonts w:ascii="Arial" w:eastAsia="Arial Unicode MS" w:hAnsi="Arial" w:cs="Arial"/>
          <w:sz w:val="20"/>
          <w:szCs w:val="20"/>
        </w:rPr>
        <w:t xml:space="preserve">Pela comprovação do </w:t>
      </w:r>
      <w:proofErr w:type="spellStart"/>
      <w:r>
        <w:rPr>
          <w:rFonts w:ascii="Arial" w:eastAsia="Arial Unicode MS" w:hAnsi="Arial" w:cs="Arial"/>
          <w:sz w:val="20"/>
          <w:szCs w:val="20"/>
        </w:rPr>
        <w:t>TEDs</w:t>
      </w:r>
      <w:proofErr w:type="spellEnd"/>
      <w:r>
        <w:rPr>
          <w:rFonts w:ascii="Arial" w:eastAsia="Arial Unicode MS" w:hAnsi="Arial" w:cs="Arial"/>
          <w:sz w:val="20"/>
          <w:szCs w:val="20"/>
        </w:rPr>
        <w:t xml:space="preserve"> 687517</w:t>
      </w:r>
      <w:r w:rsidR="00E37033">
        <w:rPr>
          <w:rFonts w:ascii="Arial" w:eastAsia="Arial Unicode MS" w:hAnsi="Arial" w:cs="Arial"/>
          <w:sz w:val="20"/>
          <w:szCs w:val="20"/>
        </w:rPr>
        <w:t>Coord. Geral Orçamento Construção Bloco Administrativo</w:t>
      </w:r>
      <w:r w:rsidR="00942C57">
        <w:rPr>
          <w:rFonts w:ascii="Arial" w:eastAsia="Arial Unicode MS" w:hAnsi="Arial" w:cs="Arial"/>
          <w:sz w:val="20"/>
          <w:szCs w:val="20"/>
        </w:rPr>
        <w:t>;</w:t>
      </w:r>
    </w:p>
    <w:p w14:paraId="15924051" w14:textId="3246A7F6" w:rsidR="00183A74" w:rsidRDefault="00612A6E" w:rsidP="00BA2679">
      <w:pPr>
        <w:spacing w:after="40"/>
        <w:rPr>
          <w:rFonts w:ascii="Arial" w:eastAsia="Arial Unicode MS" w:hAnsi="Arial" w:cs="Arial"/>
          <w:sz w:val="20"/>
          <w:szCs w:val="20"/>
        </w:rPr>
      </w:pPr>
      <w:r>
        <w:rPr>
          <w:rFonts w:ascii="Arial" w:eastAsia="Arial Unicode MS" w:hAnsi="Arial" w:cs="Arial"/>
          <w:sz w:val="20"/>
          <w:szCs w:val="20"/>
        </w:rPr>
        <w:lastRenderedPageBreak/>
        <w:t xml:space="preserve">Pela comprovação do TED </w:t>
      </w:r>
      <w:r w:rsidR="00E37033">
        <w:rPr>
          <w:rFonts w:ascii="Arial" w:eastAsia="Arial Unicode MS" w:hAnsi="Arial" w:cs="Arial"/>
          <w:sz w:val="20"/>
          <w:szCs w:val="20"/>
        </w:rPr>
        <w:t>687033 Coord. Geral Orçamento – Manutenção Edificações</w:t>
      </w:r>
      <w:r w:rsidR="00942C57">
        <w:rPr>
          <w:rFonts w:ascii="Arial" w:eastAsia="Arial Unicode MS" w:hAnsi="Arial" w:cs="Arial"/>
          <w:sz w:val="20"/>
          <w:szCs w:val="20"/>
        </w:rPr>
        <w:t>;</w:t>
      </w:r>
    </w:p>
    <w:p w14:paraId="2B99C889" w14:textId="77777777" w:rsidR="00942C57" w:rsidRDefault="00942C57" w:rsidP="00BA2679">
      <w:pPr>
        <w:spacing w:after="40"/>
        <w:rPr>
          <w:rFonts w:ascii="Arial" w:eastAsia="Arial Unicode MS" w:hAnsi="Arial" w:cs="Arial"/>
          <w:sz w:val="20"/>
          <w:szCs w:val="20"/>
        </w:rPr>
      </w:pPr>
      <w:r>
        <w:rPr>
          <w:rFonts w:ascii="Arial" w:eastAsia="Arial Unicode MS" w:hAnsi="Arial" w:cs="Arial"/>
          <w:sz w:val="20"/>
          <w:szCs w:val="20"/>
        </w:rPr>
        <w:t xml:space="preserve">Pela comprovação do TED </w:t>
      </w:r>
      <w:r w:rsidR="00354A3F">
        <w:rPr>
          <w:rFonts w:ascii="Arial" w:eastAsia="Arial Unicode MS" w:hAnsi="Arial" w:cs="Arial"/>
          <w:sz w:val="20"/>
          <w:szCs w:val="20"/>
        </w:rPr>
        <w:t>697251 Instituto Federal Farroupilha – Atender 5 vagas para capacitação curso instalações hidráulicas</w:t>
      </w:r>
      <w:r>
        <w:rPr>
          <w:rFonts w:ascii="Arial" w:eastAsia="Arial Unicode MS" w:hAnsi="Arial" w:cs="Arial"/>
          <w:sz w:val="20"/>
          <w:szCs w:val="20"/>
        </w:rPr>
        <w:t>;</w:t>
      </w:r>
    </w:p>
    <w:p w14:paraId="5D501D8C" w14:textId="2DE85EB1" w:rsidR="00BA2679" w:rsidRDefault="00942C57" w:rsidP="00BA2679">
      <w:pPr>
        <w:spacing w:after="40"/>
        <w:rPr>
          <w:rFonts w:ascii="Arial" w:eastAsia="Arial Unicode MS" w:hAnsi="Arial" w:cs="Arial"/>
          <w:sz w:val="20"/>
          <w:szCs w:val="20"/>
        </w:rPr>
      </w:pPr>
      <w:r>
        <w:rPr>
          <w:rFonts w:ascii="Arial" w:eastAsia="Arial Unicode MS" w:hAnsi="Arial" w:cs="Arial"/>
          <w:sz w:val="20"/>
          <w:szCs w:val="20"/>
        </w:rPr>
        <w:t>Pela D</w:t>
      </w:r>
      <w:r w:rsidR="00BA2679">
        <w:rPr>
          <w:rFonts w:ascii="Arial" w:eastAsia="Arial Unicode MS" w:hAnsi="Arial" w:cs="Arial"/>
          <w:sz w:val="20"/>
          <w:szCs w:val="20"/>
        </w:rPr>
        <w:t>esincorporação de Passivos</w:t>
      </w:r>
      <w:r w:rsidR="00354A3F">
        <w:rPr>
          <w:rFonts w:ascii="Arial" w:eastAsia="Arial Unicode MS" w:hAnsi="Arial" w:cs="Arial"/>
          <w:sz w:val="20"/>
          <w:szCs w:val="20"/>
        </w:rPr>
        <w:t xml:space="preserve"> referente a transferência de passivo da entidade para o TRF4 para pagamento de precatórios alimentares e precatórios comuns 2020</w:t>
      </w:r>
      <w:r w:rsidR="00BA2679">
        <w:rPr>
          <w:rFonts w:ascii="Arial" w:eastAsia="Arial Unicode MS" w:hAnsi="Arial" w:cs="Arial"/>
          <w:sz w:val="20"/>
          <w:szCs w:val="20"/>
        </w:rPr>
        <w:t>, equi</w:t>
      </w:r>
      <w:r w:rsidR="00BA2679" w:rsidRPr="0034064D">
        <w:rPr>
          <w:rFonts w:ascii="Arial" w:eastAsia="Arial Unicode MS" w:hAnsi="Arial" w:cs="Arial"/>
          <w:sz w:val="20"/>
          <w:szCs w:val="20"/>
        </w:rPr>
        <w:t xml:space="preserve">valente a R$ </w:t>
      </w:r>
      <w:r w:rsidR="00354A3F">
        <w:rPr>
          <w:rFonts w:ascii="Arial" w:eastAsia="Arial Unicode MS" w:hAnsi="Arial" w:cs="Arial"/>
          <w:sz w:val="20"/>
          <w:szCs w:val="20"/>
        </w:rPr>
        <w:t>4,06</w:t>
      </w:r>
      <w:r w:rsidR="00BA2679" w:rsidRPr="0034064D">
        <w:rPr>
          <w:rFonts w:ascii="Arial" w:eastAsia="Arial Unicode MS" w:hAnsi="Arial" w:cs="Arial"/>
          <w:sz w:val="20"/>
          <w:szCs w:val="20"/>
        </w:rPr>
        <w:t xml:space="preserve"> milhões</w:t>
      </w:r>
      <w:r w:rsidR="00BA2679">
        <w:rPr>
          <w:rFonts w:ascii="Arial" w:eastAsia="Arial Unicode MS" w:hAnsi="Arial" w:cs="Arial"/>
          <w:sz w:val="20"/>
          <w:szCs w:val="20"/>
        </w:rPr>
        <w:t>, (-</w:t>
      </w:r>
      <w:r w:rsidR="00354A3F">
        <w:rPr>
          <w:rFonts w:ascii="Arial" w:eastAsia="Arial Unicode MS" w:hAnsi="Arial" w:cs="Arial"/>
          <w:sz w:val="20"/>
          <w:szCs w:val="20"/>
        </w:rPr>
        <w:t>22,33</w:t>
      </w:r>
      <w:r w:rsidR="00D90931">
        <w:rPr>
          <w:rFonts w:ascii="Arial" w:eastAsia="Arial Unicode MS" w:hAnsi="Arial" w:cs="Arial"/>
          <w:sz w:val="20"/>
          <w:szCs w:val="20"/>
        </w:rPr>
        <w:t>%</w:t>
      </w:r>
      <w:r w:rsidR="00C94180">
        <w:rPr>
          <w:rFonts w:ascii="Arial" w:eastAsia="Arial Unicode MS" w:hAnsi="Arial" w:cs="Arial"/>
          <w:sz w:val="20"/>
          <w:szCs w:val="20"/>
        </w:rPr>
        <w:t>)</w:t>
      </w:r>
      <w:r>
        <w:rPr>
          <w:rFonts w:ascii="Arial" w:eastAsia="Arial Unicode MS" w:hAnsi="Arial" w:cs="Arial"/>
          <w:sz w:val="20"/>
          <w:szCs w:val="20"/>
        </w:rPr>
        <w:t>;</w:t>
      </w:r>
    </w:p>
    <w:p w14:paraId="46858A09" w14:textId="34A517CC" w:rsidR="00942C57" w:rsidRDefault="00942C57" w:rsidP="00BA2679">
      <w:pPr>
        <w:spacing w:after="40"/>
        <w:rPr>
          <w:rFonts w:ascii="Arial" w:eastAsia="Arial Unicode MS" w:hAnsi="Arial" w:cs="Arial"/>
          <w:sz w:val="20"/>
          <w:szCs w:val="20"/>
        </w:rPr>
      </w:pPr>
      <w:r>
        <w:rPr>
          <w:rFonts w:ascii="Arial" w:eastAsia="Arial Unicode MS" w:hAnsi="Arial" w:cs="Arial"/>
          <w:sz w:val="20"/>
          <w:szCs w:val="20"/>
        </w:rPr>
        <w:t>Pela devolução de recursos financeiros ao Instituto Federal de São Paulo para manutenção dos sistemas portfólio IFRS e parcerias;</w:t>
      </w:r>
    </w:p>
    <w:p w14:paraId="3C8ECA65" w14:textId="59DC0882" w:rsidR="00942C57" w:rsidRDefault="00942C57" w:rsidP="00BA2679">
      <w:pPr>
        <w:spacing w:after="40"/>
        <w:rPr>
          <w:rFonts w:ascii="Arial" w:eastAsia="Arial Unicode MS" w:hAnsi="Arial" w:cs="Arial"/>
          <w:sz w:val="20"/>
          <w:szCs w:val="20"/>
        </w:rPr>
      </w:pPr>
      <w:r>
        <w:rPr>
          <w:rFonts w:ascii="Arial" w:eastAsia="Arial Unicode MS" w:hAnsi="Arial" w:cs="Arial"/>
          <w:sz w:val="20"/>
          <w:szCs w:val="20"/>
        </w:rPr>
        <w:t>Pela devolução de recursos excedentes (recebido em duplicidade) à Coordenadoria Geral de Supervisão e Gestão Orçamentária;</w:t>
      </w:r>
    </w:p>
    <w:p w14:paraId="693F4D9F" w14:textId="1D792062" w:rsidR="00942C57" w:rsidRDefault="00942C57" w:rsidP="00BA2679">
      <w:pPr>
        <w:spacing w:after="40"/>
        <w:rPr>
          <w:rFonts w:ascii="Arial" w:eastAsia="Arial Unicode MS" w:hAnsi="Arial" w:cs="Arial"/>
          <w:sz w:val="20"/>
          <w:szCs w:val="20"/>
        </w:rPr>
      </w:pPr>
      <w:r>
        <w:rPr>
          <w:rFonts w:ascii="Arial" w:eastAsia="Arial Unicode MS" w:hAnsi="Arial" w:cs="Arial"/>
          <w:sz w:val="20"/>
          <w:szCs w:val="20"/>
        </w:rPr>
        <w:t>Pela comprovação do TED 694255 Fundação Coordenadoria de Aperfeiçoamento de Pessoal Nível Superior.</w:t>
      </w:r>
    </w:p>
    <w:p w14:paraId="4ADC0DB8" w14:textId="77777777" w:rsidR="00942C57" w:rsidRPr="0034064D" w:rsidRDefault="00942C57" w:rsidP="00BA2679">
      <w:pPr>
        <w:spacing w:after="40"/>
        <w:rPr>
          <w:rFonts w:ascii="Arial" w:eastAsia="Arial Unicode MS" w:hAnsi="Arial" w:cs="Arial"/>
          <w:sz w:val="20"/>
          <w:szCs w:val="20"/>
        </w:rPr>
      </w:pPr>
    </w:p>
    <w:p w14:paraId="658A6976" w14:textId="5CD758CC"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Isto posto, conclui-se que, até </w:t>
      </w:r>
      <w:r w:rsidR="006F648B">
        <w:rPr>
          <w:rFonts w:ascii="Arial" w:eastAsia="Arial Unicode MS" w:hAnsi="Arial" w:cs="Arial"/>
          <w:sz w:val="20"/>
          <w:szCs w:val="20"/>
        </w:rPr>
        <w:t>setembro</w:t>
      </w:r>
      <w:r w:rsidRPr="0034064D">
        <w:rPr>
          <w:rFonts w:ascii="Arial" w:eastAsia="Arial Unicode MS" w:hAnsi="Arial" w:cs="Arial"/>
          <w:sz w:val="20"/>
          <w:szCs w:val="20"/>
        </w:rPr>
        <w:t>/20</w:t>
      </w:r>
      <w:r w:rsidR="00671CCC">
        <w:rPr>
          <w:rFonts w:ascii="Arial" w:eastAsia="Arial Unicode MS" w:hAnsi="Arial" w:cs="Arial"/>
          <w:sz w:val="20"/>
          <w:szCs w:val="20"/>
        </w:rPr>
        <w:t>20</w:t>
      </w:r>
      <w:r w:rsidRPr="0034064D">
        <w:rPr>
          <w:rFonts w:ascii="Arial" w:eastAsia="Arial Unicode MS" w:hAnsi="Arial" w:cs="Arial"/>
          <w:sz w:val="20"/>
          <w:szCs w:val="20"/>
        </w:rPr>
        <w:t xml:space="preserve">, houve um </w:t>
      </w:r>
      <w:r>
        <w:rPr>
          <w:rFonts w:ascii="Arial" w:eastAsia="Arial Unicode MS" w:hAnsi="Arial" w:cs="Arial"/>
          <w:sz w:val="20"/>
          <w:szCs w:val="20"/>
        </w:rPr>
        <w:t>de</w:t>
      </w:r>
      <w:r w:rsidRPr="0034064D">
        <w:rPr>
          <w:rFonts w:ascii="Arial" w:eastAsia="Arial Unicode MS" w:hAnsi="Arial" w:cs="Arial"/>
          <w:sz w:val="20"/>
          <w:szCs w:val="20"/>
        </w:rPr>
        <w:t xml:space="preserve">créscimo do resultado patrimonial, quando comparado ao mesmo período do exercício anterior, equivalente a R$ </w:t>
      </w:r>
      <w:r w:rsidR="006F648B">
        <w:rPr>
          <w:rFonts w:ascii="Arial" w:eastAsia="Arial Unicode MS" w:hAnsi="Arial" w:cs="Arial"/>
          <w:sz w:val="20"/>
          <w:szCs w:val="20"/>
        </w:rPr>
        <w:t>17,35</w:t>
      </w:r>
      <w:r w:rsidR="00B7382B">
        <w:rPr>
          <w:rFonts w:ascii="Arial" w:eastAsia="Arial Unicode MS" w:hAnsi="Arial" w:cs="Arial"/>
          <w:sz w:val="20"/>
          <w:szCs w:val="20"/>
        </w:rPr>
        <w:t xml:space="preserve"> </w:t>
      </w:r>
      <w:r w:rsidR="000A1C3D">
        <w:rPr>
          <w:rFonts w:ascii="Arial" w:eastAsia="Arial Unicode MS" w:hAnsi="Arial" w:cs="Arial"/>
          <w:sz w:val="20"/>
          <w:szCs w:val="20"/>
        </w:rPr>
        <w:t xml:space="preserve"> milhões,</w:t>
      </w:r>
      <w:r w:rsidRPr="0034064D">
        <w:rPr>
          <w:rFonts w:ascii="Arial" w:eastAsia="Arial Unicode MS" w:hAnsi="Arial" w:cs="Arial"/>
          <w:sz w:val="20"/>
          <w:szCs w:val="20"/>
        </w:rPr>
        <w:t xml:space="preserve"> impactado principalmente pelas contas de </w:t>
      </w:r>
      <w:r>
        <w:rPr>
          <w:rFonts w:ascii="Arial" w:eastAsia="Arial Unicode MS" w:hAnsi="Arial" w:cs="Arial"/>
          <w:sz w:val="20"/>
          <w:szCs w:val="20"/>
        </w:rPr>
        <w:t>Desvalorização e perda de ativos</w:t>
      </w:r>
      <w:r w:rsidR="009C444E">
        <w:rPr>
          <w:rFonts w:ascii="Arial" w:eastAsia="Arial Unicode MS" w:hAnsi="Arial" w:cs="Arial"/>
          <w:sz w:val="20"/>
          <w:szCs w:val="20"/>
        </w:rPr>
        <w:t xml:space="preserve"> (representada principalmente pelos valores de TED – Termo de Execução Descentralizada a comprovar</w:t>
      </w:r>
      <w:r w:rsidR="006F648B">
        <w:rPr>
          <w:rFonts w:ascii="Arial" w:eastAsia="Arial Unicode MS" w:hAnsi="Arial" w:cs="Arial"/>
          <w:sz w:val="20"/>
          <w:szCs w:val="20"/>
        </w:rPr>
        <w:t>,</w:t>
      </w:r>
      <w:r w:rsidR="009C444E">
        <w:rPr>
          <w:rFonts w:ascii="Arial" w:eastAsia="Arial Unicode MS" w:hAnsi="Arial" w:cs="Arial"/>
          <w:sz w:val="20"/>
          <w:szCs w:val="20"/>
        </w:rPr>
        <w:t xml:space="preserve"> liberação dos respectivos recursos financeiros para atender as despesas executadas com recurso</w:t>
      </w:r>
      <w:r w:rsidR="006F648B">
        <w:rPr>
          <w:rFonts w:ascii="Arial" w:eastAsia="Arial Unicode MS" w:hAnsi="Arial" w:cs="Arial"/>
          <w:sz w:val="20"/>
          <w:szCs w:val="20"/>
        </w:rPr>
        <w:t xml:space="preserve">s de diversos </w:t>
      </w:r>
      <w:r w:rsidR="009C444E">
        <w:rPr>
          <w:rFonts w:ascii="Arial" w:eastAsia="Arial Unicode MS" w:hAnsi="Arial" w:cs="Arial"/>
          <w:sz w:val="20"/>
          <w:szCs w:val="20"/>
        </w:rPr>
        <w:t xml:space="preserve"> </w:t>
      </w:r>
      <w:proofErr w:type="spellStart"/>
      <w:r w:rsidR="009C444E">
        <w:rPr>
          <w:rFonts w:ascii="Arial" w:eastAsia="Arial Unicode MS" w:hAnsi="Arial" w:cs="Arial"/>
          <w:sz w:val="20"/>
          <w:szCs w:val="20"/>
        </w:rPr>
        <w:t>TED</w:t>
      </w:r>
      <w:r w:rsidR="006F648B">
        <w:rPr>
          <w:rFonts w:ascii="Arial" w:eastAsia="Arial Unicode MS" w:hAnsi="Arial" w:cs="Arial"/>
          <w:sz w:val="20"/>
          <w:szCs w:val="20"/>
        </w:rPr>
        <w:t>’s</w:t>
      </w:r>
      <w:proofErr w:type="spellEnd"/>
      <w:r w:rsidR="00770AFC">
        <w:rPr>
          <w:rFonts w:ascii="Arial" w:eastAsia="Arial Unicode MS" w:hAnsi="Arial" w:cs="Arial"/>
          <w:sz w:val="20"/>
          <w:szCs w:val="20"/>
        </w:rPr>
        <w:t xml:space="preserve"> e repasse para atender ações plano de trabalho anual simplificado de recursos do FNDE</w:t>
      </w:r>
      <w:r w:rsidR="009C444E">
        <w:rPr>
          <w:rFonts w:ascii="Arial" w:eastAsia="Arial Unicode MS" w:hAnsi="Arial" w:cs="Arial"/>
          <w:sz w:val="20"/>
          <w:szCs w:val="20"/>
        </w:rPr>
        <w:t>)</w:t>
      </w:r>
      <w:r w:rsidR="00770AFC">
        <w:rPr>
          <w:rFonts w:ascii="Arial" w:eastAsia="Arial Unicode MS" w:hAnsi="Arial" w:cs="Arial"/>
          <w:sz w:val="20"/>
          <w:szCs w:val="20"/>
        </w:rPr>
        <w:t>.</w:t>
      </w:r>
    </w:p>
    <w:p w14:paraId="09FCB966" w14:textId="6D5504B2" w:rsidR="00BA2679" w:rsidRPr="0034064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Os grupos relacionados ao desempenho valorativo de ativos (Valorização e Ganhos com Ativos e Desvalorização e Perda de Ativos), quando associados (Resultado Valorativo de Ativos), apresentaram um </w:t>
      </w:r>
      <w:r>
        <w:rPr>
          <w:rFonts w:ascii="Arial" w:eastAsia="Arial Unicode MS" w:hAnsi="Arial" w:cs="Arial"/>
          <w:sz w:val="20"/>
          <w:szCs w:val="20"/>
        </w:rPr>
        <w:t>decréscimo</w:t>
      </w:r>
      <w:r w:rsidRPr="0034064D">
        <w:rPr>
          <w:rFonts w:ascii="Arial" w:eastAsia="Arial Unicode MS" w:hAnsi="Arial" w:cs="Arial"/>
          <w:sz w:val="20"/>
          <w:szCs w:val="20"/>
        </w:rPr>
        <w:t xml:space="preserve"> na ordem de </w:t>
      </w:r>
      <w:r w:rsidR="00F24902">
        <w:rPr>
          <w:rFonts w:ascii="Arial" w:eastAsia="Arial Unicode MS" w:hAnsi="Arial" w:cs="Arial"/>
          <w:sz w:val="20"/>
          <w:szCs w:val="20"/>
        </w:rPr>
        <w:t>-12</w:t>
      </w:r>
      <w:r w:rsidR="00961EAA">
        <w:rPr>
          <w:rFonts w:ascii="Arial" w:eastAsia="Arial Unicode MS" w:hAnsi="Arial" w:cs="Arial"/>
          <w:sz w:val="20"/>
          <w:szCs w:val="20"/>
        </w:rPr>
        <w:t>2</w:t>
      </w:r>
      <w:r>
        <w:rPr>
          <w:rFonts w:ascii="Arial" w:eastAsia="Arial Unicode MS" w:hAnsi="Arial" w:cs="Arial"/>
          <w:sz w:val="20"/>
          <w:szCs w:val="20"/>
        </w:rPr>
        <w:t>%, o que representa uma diminuição</w:t>
      </w:r>
      <w:r w:rsidRPr="0034064D">
        <w:rPr>
          <w:rFonts w:ascii="Arial" w:eastAsia="Arial Unicode MS" w:hAnsi="Arial" w:cs="Arial"/>
          <w:sz w:val="20"/>
          <w:szCs w:val="20"/>
        </w:rPr>
        <w:t xml:space="preserve"> do resultado em cerca de R$ </w:t>
      </w:r>
      <w:r w:rsidR="00F24902">
        <w:rPr>
          <w:rFonts w:ascii="Arial" w:eastAsia="Arial Unicode MS" w:hAnsi="Arial" w:cs="Arial"/>
          <w:sz w:val="20"/>
          <w:szCs w:val="20"/>
        </w:rPr>
        <w:t>5</w:t>
      </w:r>
      <w:r w:rsidR="00961EAA">
        <w:rPr>
          <w:rFonts w:ascii="Arial" w:eastAsia="Arial Unicode MS" w:hAnsi="Arial" w:cs="Arial"/>
          <w:sz w:val="20"/>
          <w:szCs w:val="20"/>
        </w:rPr>
        <w:t>1,</w:t>
      </w:r>
      <w:proofErr w:type="gramStart"/>
      <w:r w:rsidR="00961EAA">
        <w:rPr>
          <w:rFonts w:ascii="Arial" w:eastAsia="Arial Unicode MS" w:hAnsi="Arial" w:cs="Arial"/>
          <w:sz w:val="20"/>
          <w:szCs w:val="20"/>
        </w:rPr>
        <w:t>34</w:t>
      </w:r>
      <w:r w:rsidR="00F43244">
        <w:rPr>
          <w:rFonts w:ascii="Arial" w:eastAsia="Arial Unicode MS" w:hAnsi="Arial" w:cs="Arial"/>
          <w:sz w:val="20"/>
          <w:szCs w:val="20"/>
        </w:rPr>
        <w:t xml:space="preserve"> </w:t>
      </w:r>
      <w:r w:rsidRPr="0034064D">
        <w:rPr>
          <w:rFonts w:ascii="Arial" w:eastAsia="Arial Unicode MS" w:hAnsi="Arial" w:cs="Arial"/>
          <w:sz w:val="20"/>
          <w:szCs w:val="20"/>
        </w:rPr>
        <w:t xml:space="preserve"> milhões</w:t>
      </w:r>
      <w:proofErr w:type="gramEnd"/>
      <w:r w:rsidRPr="0034064D">
        <w:rPr>
          <w:rFonts w:ascii="Arial" w:eastAsia="Arial Unicode MS" w:hAnsi="Arial" w:cs="Arial"/>
          <w:sz w:val="20"/>
          <w:szCs w:val="20"/>
        </w:rPr>
        <w:t>.</w:t>
      </w:r>
    </w:p>
    <w:p w14:paraId="3F613640" w14:textId="63F704F6"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Abaixo, encontram-se as tabelas comparativas do resultado valorativo de ativos apurados até </w:t>
      </w:r>
      <w:r w:rsidR="00961EAA">
        <w:rPr>
          <w:rFonts w:ascii="Arial" w:eastAsia="Arial Unicode MS" w:hAnsi="Arial" w:cs="Arial"/>
          <w:sz w:val="20"/>
          <w:szCs w:val="20"/>
        </w:rPr>
        <w:t>setembro</w:t>
      </w:r>
      <w:r w:rsidR="00F43244">
        <w:rPr>
          <w:rFonts w:ascii="Arial" w:eastAsia="Arial Unicode MS" w:hAnsi="Arial" w:cs="Arial"/>
          <w:sz w:val="20"/>
          <w:szCs w:val="20"/>
        </w:rPr>
        <w:t>/2020</w:t>
      </w:r>
      <w:r w:rsidRPr="0034064D">
        <w:rPr>
          <w:rFonts w:ascii="Arial" w:eastAsia="Arial Unicode MS" w:hAnsi="Arial" w:cs="Arial"/>
          <w:sz w:val="20"/>
          <w:szCs w:val="20"/>
        </w:rPr>
        <w:t>, comparados ao mesmo período do ano anterior, bem como das variações comparativas relacionadas aos períodos mencionados.</w:t>
      </w:r>
    </w:p>
    <w:p w14:paraId="0A1DA7EA" w14:textId="046FFCAE" w:rsidR="00961EAA" w:rsidRDefault="00961EAA" w:rsidP="00BA2679">
      <w:pPr>
        <w:spacing w:after="40"/>
        <w:rPr>
          <w:rFonts w:ascii="Arial" w:eastAsia="Arial Unicode MS" w:hAnsi="Arial" w:cs="Arial"/>
          <w:sz w:val="20"/>
          <w:szCs w:val="20"/>
        </w:rPr>
      </w:pPr>
      <w:r w:rsidRPr="00961EAA">
        <w:rPr>
          <w:rFonts w:ascii="Arial" w:eastAsia="Arial Unicode MS" w:hAnsi="Arial" w:cs="Arial"/>
          <w:noProof/>
          <w:sz w:val="20"/>
          <w:szCs w:val="20"/>
        </w:rPr>
        <w:drawing>
          <wp:inline distT="0" distB="0" distL="0" distR="0" wp14:anchorId="21C6C293" wp14:editId="1137E238">
            <wp:extent cx="5706110" cy="2582545"/>
            <wp:effectExtent l="0" t="0" r="8890" b="825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06110" cy="2582545"/>
                    </a:xfrm>
                    <a:prstGeom prst="rect">
                      <a:avLst/>
                    </a:prstGeom>
                    <a:noFill/>
                    <a:ln>
                      <a:noFill/>
                    </a:ln>
                  </pic:spPr>
                </pic:pic>
              </a:graphicData>
            </a:graphic>
          </wp:inline>
        </w:drawing>
      </w:r>
    </w:p>
    <w:p w14:paraId="573D547C" w14:textId="3B2C3C9B" w:rsidR="00F635D2" w:rsidRDefault="00F635D2" w:rsidP="00BA2679">
      <w:pPr>
        <w:spacing w:after="40"/>
        <w:rPr>
          <w:rFonts w:ascii="Arial" w:eastAsia="Arial Unicode MS" w:hAnsi="Arial" w:cs="Arial"/>
          <w:sz w:val="20"/>
          <w:szCs w:val="20"/>
        </w:rPr>
      </w:pPr>
      <w:r w:rsidRPr="00F635D2">
        <w:rPr>
          <w:rFonts w:ascii="Arial" w:eastAsia="Arial Unicode MS" w:hAnsi="Arial" w:cs="Arial"/>
          <w:noProof/>
          <w:sz w:val="20"/>
          <w:szCs w:val="20"/>
        </w:rPr>
        <w:drawing>
          <wp:inline distT="0" distB="0" distL="0" distR="0" wp14:anchorId="4DD7E78C" wp14:editId="321A6F4A">
            <wp:extent cx="3964940" cy="1631315"/>
            <wp:effectExtent l="0" t="0" r="0" b="698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64940" cy="1631315"/>
                    </a:xfrm>
                    <a:prstGeom prst="rect">
                      <a:avLst/>
                    </a:prstGeom>
                    <a:noFill/>
                    <a:ln>
                      <a:noFill/>
                    </a:ln>
                  </pic:spPr>
                </pic:pic>
              </a:graphicData>
            </a:graphic>
          </wp:inline>
        </w:drawing>
      </w:r>
    </w:p>
    <w:p w14:paraId="5A12CFAA" w14:textId="58B0DB4D" w:rsidR="00F24902" w:rsidRDefault="00F24902" w:rsidP="00BA2679">
      <w:pPr>
        <w:spacing w:after="40"/>
        <w:rPr>
          <w:rFonts w:ascii="Arial" w:eastAsia="Arial Unicode MS" w:hAnsi="Arial" w:cs="Arial"/>
          <w:sz w:val="20"/>
          <w:szCs w:val="20"/>
        </w:rPr>
      </w:pPr>
    </w:p>
    <w:p w14:paraId="4B057207" w14:textId="04099D50" w:rsidR="00BF6634" w:rsidRDefault="00BF6634" w:rsidP="00BA2679">
      <w:pPr>
        <w:spacing w:after="40"/>
        <w:rPr>
          <w:rFonts w:ascii="Arial" w:eastAsia="Arial Unicode MS" w:hAnsi="Arial" w:cs="Arial"/>
          <w:sz w:val="20"/>
          <w:szCs w:val="20"/>
        </w:rPr>
        <w:sectPr w:rsidR="00BF6634" w:rsidSect="00E576AD">
          <w:type w:val="continuous"/>
          <w:pgSz w:w="11906" w:h="16838"/>
          <w:pgMar w:top="1021" w:right="851" w:bottom="851" w:left="851" w:header="709" w:footer="0" w:gutter="0"/>
          <w:cols w:space="708"/>
          <w:docGrid w:linePitch="360"/>
        </w:sectPr>
      </w:pPr>
    </w:p>
    <w:p w14:paraId="5D6BA2A4" w14:textId="4BFFCE69" w:rsidR="008532AD"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O item </w:t>
      </w:r>
      <w:r w:rsidR="00C70E2F">
        <w:rPr>
          <w:rFonts w:ascii="Arial" w:eastAsia="Arial Unicode MS" w:hAnsi="Arial" w:cs="Arial"/>
          <w:sz w:val="20"/>
          <w:szCs w:val="20"/>
        </w:rPr>
        <w:t xml:space="preserve">positivo </w:t>
      </w:r>
      <w:r w:rsidRPr="0034064D">
        <w:rPr>
          <w:rFonts w:ascii="Arial" w:eastAsia="Arial Unicode MS" w:hAnsi="Arial" w:cs="Arial"/>
          <w:sz w:val="20"/>
          <w:szCs w:val="20"/>
        </w:rPr>
        <w:t xml:space="preserve">do Resultado Valorativo de Ativos mais relevante está relacionado à </w:t>
      </w:r>
      <w:r w:rsidR="00F43244">
        <w:rPr>
          <w:rFonts w:ascii="Arial" w:eastAsia="Arial Unicode MS" w:hAnsi="Arial" w:cs="Arial"/>
          <w:sz w:val="20"/>
          <w:szCs w:val="20"/>
        </w:rPr>
        <w:t>Ganhos com Desincorporações de Passivos</w:t>
      </w:r>
      <w:r w:rsidRPr="0034064D">
        <w:rPr>
          <w:rFonts w:ascii="Arial" w:eastAsia="Arial Unicode MS" w:hAnsi="Arial" w:cs="Arial"/>
          <w:sz w:val="20"/>
          <w:szCs w:val="20"/>
        </w:rPr>
        <w:t xml:space="preserve">, no montante de R$ </w:t>
      </w:r>
      <w:r w:rsidR="00F24902">
        <w:rPr>
          <w:rFonts w:ascii="Arial" w:eastAsia="Arial Unicode MS" w:hAnsi="Arial" w:cs="Arial"/>
          <w:sz w:val="20"/>
          <w:szCs w:val="20"/>
        </w:rPr>
        <w:t>14,</w:t>
      </w:r>
      <w:r w:rsidR="00890FE3">
        <w:rPr>
          <w:rFonts w:ascii="Arial" w:eastAsia="Arial Unicode MS" w:hAnsi="Arial" w:cs="Arial"/>
          <w:sz w:val="20"/>
          <w:szCs w:val="20"/>
        </w:rPr>
        <w:t>20</w:t>
      </w:r>
      <w:r w:rsidR="00F43244">
        <w:rPr>
          <w:rFonts w:ascii="Arial" w:eastAsia="Arial Unicode MS" w:hAnsi="Arial" w:cs="Arial"/>
          <w:sz w:val="20"/>
          <w:szCs w:val="20"/>
        </w:rPr>
        <w:t xml:space="preserve"> </w:t>
      </w:r>
      <w:r w:rsidRPr="0034064D">
        <w:rPr>
          <w:rFonts w:ascii="Arial" w:eastAsia="Arial Unicode MS" w:hAnsi="Arial" w:cs="Arial"/>
          <w:sz w:val="20"/>
          <w:szCs w:val="20"/>
        </w:rPr>
        <w:t xml:space="preserve">milhões até o </w:t>
      </w:r>
      <w:r w:rsidR="00890FE3">
        <w:rPr>
          <w:rFonts w:ascii="Arial" w:eastAsia="Arial Unicode MS" w:hAnsi="Arial" w:cs="Arial"/>
          <w:sz w:val="20"/>
          <w:szCs w:val="20"/>
        </w:rPr>
        <w:t>terceiro</w:t>
      </w:r>
      <w:r>
        <w:rPr>
          <w:rFonts w:ascii="Arial" w:eastAsia="Arial Unicode MS" w:hAnsi="Arial" w:cs="Arial"/>
          <w:sz w:val="20"/>
          <w:szCs w:val="20"/>
        </w:rPr>
        <w:t xml:space="preserve"> trimestre de 20</w:t>
      </w:r>
      <w:r w:rsidR="00F43244">
        <w:rPr>
          <w:rFonts w:ascii="Arial" w:eastAsia="Arial Unicode MS" w:hAnsi="Arial" w:cs="Arial"/>
          <w:sz w:val="20"/>
          <w:szCs w:val="20"/>
        </w:rPr>
        <w:t>20</w:t>
      </w:r>
      <w:r w:rsidRPr="0034064D">
        <w:rPr>
          <w:rFonts w:ascii="Arial" w:eastAsia="Arial Unicode MS" w:hAnsi="Arial" w:cs="Arial"/>
          <w:sz w:val="20"/>
          <w:szCs w:val="20"/>
        </w:rPr>
        <w:t>. Tais valores são demonstrados na figura que segue e correspondem</w:t>
      </w:r>
      <w:r w:rsidR="008532AD">
        <w:rPr>
          <w:rFonts w:ascii="Arial" w:eastAsia="Arial Unicode MS" w:hAnsi="Arial" w:cs="Arial"/>
          <w:sz w:val="20"/>
          <w:szCs w:val="20"/>
        </w:rPr>
        <w:t xml:space="preserve"> </w:t>
      </w:r>
      <w:r w:rsidR="00E10096">
        <w:rPr>
          <w:rFonts w:ascii="Arial" w:eastAsia="Arial Unicode MS" w:hAnsi="Arial" w:cs="Arial"/>
          <w:sz w:val="20"/>
          <w:szCs w:val="20"/>
        </w:rPr>
        <w:t>em</w:t>
      </w:r>
      <w:r w:rsidR="008532AD">
        <w:rPr>
          <w:rFonts w:ascii="Arial" w:eastAsia="Arial Unicode MS" w:hAnsi="Arial" w:cs="Arial"/>
          <w:sz w:val="20"/>
          <w:szCs w:val="20"/>
        </w:rPr>
        <w:t xml:space="preserve"> </w:t>
      </w:r>
      <w:r w:rsidR="00B7382B">
        <w:rPr>
          <w:rFonts w:ascii="Arial" w:eastAsia="Arial Unicode MS" w:hAnsi="Arial" w:cs="Arial"/>
          <w:sz w:val="20"/>
          <w:szCs w:val="20"/>
        </w:rPr>
        <w:t>16</w:t>
      </w:r>
      <w:r w:rsidR="008532AD">
        <w:rPr>
          <w:rFonts w:ascii="Arial" w:eastAsia="Arial Unicode MS" w:hAnsi="Arial" w:cs="Arial"/>
          <w:sz w:val="20"/>
          <w:szCs w:val="20"/>
        </w:rPr>
        <w:t>%</w:t>
      </w:r>
      <w:r w:rsidRPr="0034064D">
        <w:rPr>
          <w:rFonts w:ascii="Arial" w:eastAsia="Arial Unicode MS" w:hAnsi="Arial" w:cs="Arial"/>
          <w:sz w:val="20"/>
          <w:szCs w:val="20"/>
        </w:rPr>
        <w:t xml:space="preserve">, </w:t>
      </w:r>
      <w:r w:rsidR="008532AD">
        <w:rPr>
          <w:rFonts w:ascii="Arial" w:eastAsia="Arial Unicode MS" w:hAnsi="Arial" w:cs="Arial"/>
          <w:sz w:val="20"/>
          <w:szCs w:val="20"/>
        </w:rPr>
        <w:t xml:space="preserve">a prestação de contas de recursos dos </w:t>
      </w:r>
      <w:proofErr w:type="spellStart"/>
      <w:r w:rsidR="008532AD">
        <w:rPr>
          <w:rFonts w:ascii="Arial" w:eastAsia="Arial Unicode MS" w:hAnsi="Arial" w:cs="Arial"/>
          <w:sz w:val="20"/>
          <w:szCs w:val="20"/>
        </w:rPr>
        <w:t>TEDs</w:t>
      </w:r>
      <w:proofErr w:type="spellEnd"/>
      <w:r w:rsidR="008532AD">
        <w:rPr>
          <w:rFonts w:ascii="Arial" w:eastAsia="Arial Unicode MS" w:hAnsi="Arial" w:cs="Arial"/>
          <w:sz w:val="20"/>
          <w:szCs w:val="20"/>
        </w:rPr>
        <w:t xml:space="preserve"> 687517, 687033</w:t>
      </w:r>
      <w:r w:rsidR="00E10096">
        <w:rPr>
          <w:rFonts w:ascii="Arial" w:eastAsia="Arial Unicode MS" w:hAnsi="Arial" w:cs="Arial"/>
          <w:sz w:val="20"/>
          <w:szCs w:val="20"/>
        </w:rPr>
        <w:t>,</w:t>
      </w:r>
      <w:r w:rsidR="008532AD">
        <w:rPr>
          <w:rFonts w:ascii="Arial" w:eastAsia="Arial Unicode MS" w:hAnsi="Arial" w:cs="Arial"/>
          <w:sz w:val="20"/>
          <w:szCs w:val="20"/>
        </w:rPr>
        <w:t xml:space="preserve"> 697251</w:t>
      </w:r>
      <w:r w:rsidR="00E10096">
        <w:rPr>
          <w:rFonts w:ascii="Arial" w:eastAsia="Arial Unicode MS" w:hAnsi="Arial" w:cs="Arial"/>
          <w:sz w:val="20"/>
          <w:szCs w:val="20"/>
        </w:rPr>
        <w:t xml:space="preserve"> e</w:t>
      </w:r>
      <w:r w:rsidR="008532AD">
        <w:rPr>
          <w:rFonts w:ascii="Arial" w:eastAsia="Arial Unicode MS" w:hAnsi="Arial" w:cs="Arial"/>
          <w:sz w:val="20"/>
          <w:szCs w:val="20"/>
        </w:rPr>
        <w:t xml:space="preserve"> </w:t>
      </w:r>
      <w:r w:rsidR="00E10096">
        <w:rPr>
          <w:rFonts w:ascii="Arial" w:eastAsia="Arial Unicode MS" w:hAnsi="Arial" w:cs="Arial"/>
          <w:sz w:val="20"/>
          <w:szCs w:val="20"/>
        </w:rPr>
        <w:t>694255,</w:t>
      </w:r>
      <w:r w:rsidR="008532AD">
        <w:rPr>
          <w:rFonts w:ascii="Arial" w:eastAsia="Arial Unicode MS" w:hAnsi="Arial" w:cs="Arial"/>
          <w:sz w:val="20"/>
          <w:szCs w:val="20"/>
        </w:rPr>
        <w:t>baixados pelos respectivos Órgãos repassadores</w:t>
      </w:r>
      <w:r w:rsidR="00206672">
        <w:rPr>
          <w:rFonts w:ascii="Arial" w:eastAsia="Arial Unicode MS" w:hAnsi="Arial" w:cs="Arial"/>
          <w:sz w:val="20"/>
          <w:szCs w:val="20"/>
        </w:rPr>
        <w:t xml:space="preserve"> quais sejam, </w:t>
      </w:r>
      <w:r w:rsidR="008532AD">
        <w:rPr>
          <w:rFonts w:ascii="Arial" w:eastAsia="Arial Unicode MS" w:hAnsi="Arial" w:cs="Arial"/>
          <w:sz w:val="20"/>
          <w:szCs w:val="20"/>
        </w:rPr>
        <w:t>Coordenadoria Geral de Supervisão Gestão e Orçamento e Instituto Federal Farroupilha</w:t>
      </w:r>
      <w:r w:rsidR="00E10096">
        <w:rPr>
          <w:rFonts w:ascii="Arial" w:eastAsia="Arial Unicode MS" w:hAnsi="Arial" w:cs="Arial"/>
          <w:sz w:val="20"/>
          <w:szCs w:val="20"/>
        </w:rPr>
        <w:t>;</w:t>
      </w:r>
      <w:r w:rsidR="00B7382B">
        <w:rPr>
          <w:rFonts w:ascii="Arial" w:eastAsia="Arial Unicode MS" w:hAnsi="Arial" w:cs="Arial"/>
          <w:sz w:val="20"/>
          <w:szCs w:val="20"/>
        </w:rPr>
        <w:t xml:space="preserve"> 8</w:t>
      </w:r>
      <w:r w:rsidR="00E10096">
        <w:rPr>
          <w:rFonts w:ascii="Arial" w:eastAsia="Arial Unicode MS" w:hAnsi="Arial" w:cs="Arial"/>
          <w:sz w:val="20"/>
          <w:szCs w:val="20"/>
        </w:rPr>
        <w:t>3</w:t>
      </w:r>
      <w:r w:rsidR="00B7382B">
        <w:rPr>
          <w:rFonts w:ascii="Arial" w:eastAsia="Arial Unicode MS" w:hAnsi="Arial" w:cs="Arial"/>
          <w:sz w:val="20"/>
          <w:szCs w:val="20"/>
        </w:rPr>
        <w:t xml:space="preserve">% referentes a transferência de </w:t>
      </w:r>
      <w:r w:rsidR="00B7382B">
        <w:rPr>
          <w:rFonts w:ascii="Arial" w:eastAsia="Arial Unicode MS" w:hAnsi="Arial" w:cs="Arial"/>
          <w:sz w:val="20"/>
          <w:szCs w:val="20"/>
        </w:rPr>
        <w:lastRenderedPageBreak/>
        <w:t>passivo da entidade para o TRF4 para pagamento de precatórios alimentares e precatórios comuns 2020</w:t>
      </w:r>
      <w:r w:rsidR="00E10096">
        <w:rPr>
          <w:rFonts w:ascii="Arial" w:eastAsia="Arial Unicode MS" w:hAnsi="Arial" w:cs="Arial"/>
          <w:sz w:val="20"/>
          <w:szCs w:val="20"/>
        </w:rPr>
        <w:t xml:space="preserve"> e 1% referentes a devoluções de recursos recebidos em duplicidade.</w:t>
      </w:r>
    </w:p>
    <w:p w14:paraId="571FD5D3" w14:textId="77777777" w:rsidR="00E10096" w:rsidRDefault="00E10096" w:rsidP="00BA2679">
      <w:pPr>
        <w:spacing w:after="40"/>
        <w:rPr>
          <w:rFonts w:ascii="Arial" w:eastAsia="Arial Unicode MS" w:hAnsi="Arial" w:cs="Arial"/>
          <w:sz w:val="20"/>
          <w:szCs w:val="20"/>
        </w:rPr>
      </w:pPr>
    </w:p>
    <w:p w14:paraId="7ED9F690" w14:textId="650DA27F" w:rsidR="008532AD" w:rsidRDefault="008532AD" w:rsidP="00BA2679">
      <w:pPr>
        <w:spacing w:after="40"/>
        <w:rPr>
          <w:rFonts w:ascii="Arial" w:eastAsia="Arial Unicode MS" w:hAnsi="Arial" w:cs="Arial"/>
          <w:sz w:val="20"/>
          <w:szCs w:val="20"/>
        </w:rPr>
      </w:pPr>
      <w:r>
        <w:rPr>
          <w:rFonts w:ascii="Arial" w:eastAsia="Arial Unicode MS" w:hAnsi="Arial" w:cs="Arial"/>
          <w:sz w:val="20"/>
          <w:szCs w:val="20"/>
        </w:rPr>
        <w:t>Ganhos com Desincorporação de Passivos</w:t>
      </w:r>
    </w:p>
    <w:p w14:paraId="1C7B1139" w14:textId="177C2802" w:rsidR="00E10096" w:rsidRDefault="00E10096" w:rsidP="00BA2679">
      <w:pPr>
        <w:spacing w:after="40"/>
        <w:rPr>
          <w:rFonts w:ascii="Arial" w:eastAsia="Arial Unicode MS" w:hAnsi="Arial" w:cs="Arial"/>
          <w:sz w:val="20"/>
          <w:szCs w:val="20"/>
        </w:rPr>
      </w:pPr>
      <w:r>
        <w:rPr>
          <w:noProof/>
        </w:rPr>
        <w:drawing>
          <wp:inline distT="0" distB="0" distL="0" distR="0" wp14:anchorId="11178EF3" wp14:editId="4FD3B8EC">
            <wp:extent cx="4867276" cy="2343150"/>
            <wp:effectExtent l="0" t="0" r="0" b="0"/>
            <wp:docPr id="75" name="Gráfico 75">
              <a:extLst xmlns:a="http://schemas.openxmlformats.org/drawingml/2006/main">
                <a:ext uri="{FF2B5EF4-FFF2-40B4-BE49-F238E27FC236}">
                  <a16:creationId xmlns:a16="http://schemas.microsoft.com/office/drawing/2014/main" id="{5ECC5EEA-9065-41AE-9F40-DF9C66605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764FE81" w14:textId="3A39A572" w:rsidR="00B7382B" w:rsidRDefault="00B7382B" w:rsidP="00BA2679">
      <w:pPr>
        <w:spacing w:after="40"/>
        <w:rPr>
          <w:rFonts w:ascii="Arial" w:eastAsia="Arial Unicode MS" w:hAnsi="Arial" w:cs="Arial"/>
          <w:sz w:val="20"/>
          <w:szCs w:val="20"/>
        </w:rPr>
      </w:pPr>
    </w:p>
    <w:p w14:paraId="4E0DDD1F" w14:textId="189F685E" w:rsidR="00BA2679" w:rsidRDefault="00481706"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Houve, também, </w:t>
      </w:r>
      <w:r w:rsidR="006B1AC8">
        <w:rPr>
          <w:rFonts w:ascii="Arial" w:eastAsia="Arial Unicode MS" w:hAnsi="Arial" w:cs="Arial"/>
          <w:sz w:val="20"/>
          <w:szCs w:val="20"/>
        </w:rPr>
        <w:t>aumento</w:t>
      </w:r>
      <w:r w:rsidRPr="0034064D">
        <w:rPr>
          <w:rFonts w:ascii="Arial" w:eastAsia="Arial Unicode MS" w:hAnsi="Arial" w:cs="Arial"/>
          <w:sz w:val="20"/>
          <w:szCs w:val="20"/>
        </w:rPr>
        <w:t xml:space="preserve"> nas </w:t>
      </w:r>
      <w:proofErr w:type="spellStart"/>
      <w:r w:rsidRPr="0034064D">
        <w:rPr>
          <w:rFonts w:ascii="Arial" w:eastAsia="Arial Unicode MS" w:hAnsi="Arial" w:cs="Arial"/>
          <w:sz w:val="20"/>
          <w:szCs w:val="20"/>
        </w:rPr>
        <w:t>VPD’s</w:t>
      </w:r>
      <w:proofErr w:type="spellEnd"/>
      <w:r w:rsidRPr="0034064D">
        <w:rPr>
          <w:rFonts w:ascii="Arial" w:eastAsia="Arial Unicode MS" w:hAnsi="Arial" w:cs="Arial"/>
          <w:sz w:val="20"/>
          <w:szCs w:val="20"/>
        </w:rPr>
        <w:t xml:space="preserve"> tributárias, Impostos, Taxas e Contribuições de Melhoria, na ordem de </w:t>
      </w:r>
      <w:r w:rsidR="003B1292">
        <w:rPr>
          <w:rFonts w:ascii="Arial" w:eastAsia="Arial Unicode MS" w:hAnsi="Arial" w:cs="Arial"/>
          <w:sz w:val="20"/>
          <w:szCs w:val="20"/>
        </w:rPr>
        <w:t>17</w:t>
      </w:r>
      <w:r w:rsidRPr="0034064D">
        <w:rPr>
          <w:rFonts w:ascii="Arial" w:eastAsia="Arial Unicode MS" w:hAnsi="Arial" w:cs="Arial"/>
          <w:sz w:val="20"/>
          <w:szCs w:val="20"/>
        </w:rPr>
        <w:t xml:space="preserve">%, com destaque para </w:t>
      </w:r>
      <w:r>
        <w:rPr>
          <w:rFonts w:ascii="Arial" w:eastAsia="Arial Unicode MS" w:hAnsi="Arial" w:cs="Arial"/>
          <w:sz w:val="20"/>
          <w:szCs w:val="20"/>
        </w:rPr>
        <w:t>Taxas</w:t>
      </w:r>
      <w:r w:rsidR="004461AC">
        <w:rPr>
          <w:rFonts w:ascii="Arial" w:eastAsia="Arial Unicode MS" w:hAnsi="Arial" w:cs="Arial"/>
          <w:sz w:val="20"/>
          <w:szCs w:val="20"/>
        </w:rPr>
        <w:t xml:space="preserve"> Inter Orçamento Fiscal e Seguridade Social</w:t>
      </w:r>
      <w:r w:rsidRPr="0034064D">
        <w:rPr>
          <w:rFonts w:ascii="Arial" w:eastAsia="Arial Unicode MS" w:hAnsi="Arial" w:cs="Arial"/>
          <w:sz w:val="20"/>
          <w:szCs w:val="20"/>
        </w:rPr>
        <w:t xml:space="preserve">, </w:t>
      </w:r>
      <w:r w:rsidR="004461AC">
        <w:rPr>
          <w:rFonts w:ascii="Arial" w:eastAsia="Arial Unicode MS" w:hAnsi="Arial" w:cs="Arial"/>
          <w:sz w:val="20"/>
          <w:szCs w:val="20"/>
        </w:rPr>
        <w:t xml:space="preserve">representando </w:t>
      </w:r>
      <w:r w:rsidR="003B1292">
        <w:rPr>
          <w:rFonts w:ascii="Arial" w:eastAsia="Arial Unicode MS" w:hAnsi="Arial" w:cs="Arial"/>
          <w:sz w:val="20"/>
          <w:szCs w:val="20"/>
        </w:rPr>
        <w:t>53</w:t>
      </w:r>
      <w:r w:rsidR="004461AC">
        <w:rPr>
          <w:rFonts w:ascii="Arial" w:eastAsia="Arial Unicode MS" w:hAnsi="Arial" w:cs="Arial"/>
          <w:sz w:val="20"/>
          <w:szCs w:val="20"/>
        </w:rPr>
        <w:t xml:space="preserve">% da taxa de crescimento e </w:t>
      </w:r>
      <w:r>
        <w:rPr>
          <w:rFonts w:ascii="Arial" w:eastAsia="Arial Unicode MS" w:hAnsi="Arial" w:cs="Arial"/>
          <w:sz w:val="20"/>
          <w:szCs w:val="20"/>
        </w:rPr>
        <w:t xml:space="preserve">correspondendo a R$ </w:t>
      </w:r>
      <w:r w:rsidR="003D1FBC">
        <w:rPr>
          <w:rFonts w:ascii="Arial" w:eastAsia="Arial Unicode MS" w:hAnsi="Arial" w:cs="Arial"/>
          <w:sz w:val="20"/>
          <w:szCs w:val="20"/>
        </w:rPr>
        <w:t>1</w:t>
      </w:r>
      <w:r w:rsidR="004461AC">
        <w:rPr>
          <w:rFonts w:ascii="Arial" w:eastAsia="Arial Unicode MS" w:hAnsi="Arial" w:cs="Arial"/>
          <w:sz w:val="20"/>
          <w:szCs w:val="20"/>
        </w:rPr>
        <w:t>5</w:t>
      </w:r>
      <w:r>
        <w:rPr>
          <w:rFonts w:ascii="Arial" w:eastAsia="Arial Unicode MS" w:hAnsi="Arial" w:cs="Arial"/>
          <w:sz w:val="20"/>
          <w:szCs w:val="20"/>
        </w:rPr>
        <w:t xml:space="preserve"> mil, </w:t>
      </w:r>
      <w:r w:rsidRPr="0034064D">
        <w:rPr>
          <w:rFonts w:ascii="Arial" w:eastAsia="Arial Unicode MS" w:hAnsi="Arial" w:cs="Arial"/>
          <w:sz w:val="20"/>
          <w:szCs w:val="20"/>
        </w:rPr>
        <w:t>conforme a tabela a seguir.</w:t>
      </w:r>
      <w:r w:rsidR="00DE38EC">
        <w:rPr>
          <w:rFonts w:ascii="Arial" w:eastAsia="Arial Unicode MS" w:hAnsi="Arial" w:cs="Arial"/>
          <w:sz w:val="20"/>
          <w:szCs w:val="20"/>
        </w:rPr>
        <w:t xml:space="preserve"> </w:t>
      </w:r>
      <w:r w:rsidR="003B1292">
        <w:rPr>
          <w:rFonts w:ascii="Arial" w:eastAsia="Arial Unicode MS" w:hAnsi="Arial" w:cs="Arial"/>
          <w:sz w:val="20"/>
          <w:szCs w:val="20"/>
        </w:rPr>
        <w:t>A combinação de acréscimos e deduções nas demais</w:t>
      </w:r>
      <w:r w:rsidR="004461AC">
        <w:rPr>
          <w:rFonts w:ascii="Arial" w:eastAsia="Arial Unicode MS" w:hAnsi="Arial" w:cs="Arial"/>
          <w:sz w:val="20"/>
          <w:szCs w:val="20"/>
        </w:rPr>
        <w:t xml:space="preserve"> outras fontes levaram a um resultado final de </w:t>
      </w:r>
      <w:r w:rsidR="003B1292">
        <w:rPr>
          <w:rFonts w:ascii="Arial" w:eastAsia="Arial Unicode MS" w:hAnsi="Arial" w:cs="Arial"/>
          <w:sz w:val="20"/>
          <w:szCs w:val="20"/>
        </w:rPr>
        <w:t>R$ 9</w:t>
      </w:r>
      <w:r w:rsidR="004461AC">
        <w:rPr>
          <w:rFonts w:ascii="Arial" w:eastAsia="Arial Unicode MS" w:hAnsi="Arial" w:cs="Arial"/>
          <w:sz w:val="20"/>
          <w:szCs w:val="20"/>
        </w:rPr>
        <w:t xml:space="preserve"> mil. </w:t>
      </w:r>
    </w:p>
    <w:p w14:paraId="42A9C9EA" w14:textId="40CF9976" w:rsidR="003B1292" w:rsidRDefault="003B1292" w:rsidP="00BA2679">
      <w:pPr>
        <w:spacing w:after="40"/>
        <w:rPr>
          <w:rFonts w:ascii="Arial" w:eastAsia="Arial Unicode MS" w:hAnsi="Arial" w:cs="Arial"/>
          <w:sz w:val="20"/>
          <w:szCs w:val="20"/>
        </w:rPr>
      </w:pPr>
      <w:r w:rsidRPr="003B1292">
        <w:rPr>
          <w:rFonts w:ascii="Arial" w:eastAsia="Arial Unicode MS" w:hAnsi="Arial" w:cs="Arial"/>
          <w:noProof/>
          <w:sz w:val="20"/>
          <w:szCs w:val="20"/>
        </w:rPr>
        <w:drawing>
          <wp:inline distT="0" distB="0" distL="0" distR="0" wp14:anchorId="0856350F" wp14:editId="1A18B475">
            <wp:extent cx="5384165" cy="2903855"/>
            <wp:effectExtent l="0" t="0" r="6985" b="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84165" cy="2903855"/>
                    </a:xfrm>
                    <a:prstGeom prst="rect">
                      <a:avLst/>
                    </a:prstGeom>
                    <a:noFill/>
                    <a:ln>
                      <a:noFill/>
                    </a:ln>
                  </pic:spPr>
                </pic:pic>
              </a:graphicData>
            </a:graphic>
          </wp:inline>
        </w:drawing>
      </w:r>
    </w:p>
    <w:p w14:paraId="6261F658" w14:textId="77777777" w:rsidR="00206672" w:rsidRDefault="00206672" w:rsidP="00BA2679">
      <w:pPr>
        <w:spacing w:after="40"/>
        <w:rPr>
          <w:rFonts w:ascii="Arial" w:eastAsia="Arial Unicode MS" w:hAnsi="Arial" w:cs="Arial"/>
          <w:sz w:val="20"/>
          <w:szCs w:val="20"/>
        </w:rPr>
      </w:pPr>
    </w:p>
    <w:p w14:paraId="70B0665B" w14:textId="119F51D3"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Outras Variações Patrimoniais Diminutivas tiveram variação </w:t>
      </w:r>
      <w:r w:rsidR="006B1AC8">
        <w:rPr>
          <w:rFonts w:ascii="Arial" w:eastAsia="Arial Unicode MS" w:hAnsi="Arial" w:cs="Arial"/>
          <w:sz w:val="20"/>
          <w:szCs w:val="20"/>
        </w:rPr>
        <w:t>positiva</w:t>
      </w:r>
      <w:r w:rsidR="000B1C2F">
        <w:rPr>
          <w:rFonts w:ascii="Arial" w:eastAsia="Arial Unicode MS" w:hAnsi="Arial" w:cs="Arial"/>
          <w:sz w:val="20"/>
          <w:szCs w:val="20"/>
        </w:rPr>
        <w:t xml:space="preserve"> </w:t>
      </w:r>
      <w:r w:rsidRPr="0034064D">
        <w:rPr>
          <w:rFonts w:ascii="Arial" w:eastAsia="Arial Unicode MS" w:hAnsi="Arial" w:cs="Arial"/>
          <w:sz w:val="20"/>
          <w:szCs w:val="20"/>
        </w:rPr>
        <w:t xml:space="preserve">com impacto no Resultado Patrimonial do IFRS, na ordem de </w:t>
      </w:r>
      <w:r w:rsidR="009536DF">
        <w:rPr>
          <w:rFonts w:ascii="Arial" w:eastAsia="Arial Unicode MS" w:hAnsi="Arial" w:cs="Arial"/>
          <w:sz w:val="20"/>
          <w:szCs w:val="20"/>
        </w:rPr>
        <w:t>8</w:t>
      </w:r>
      <w:r w:rsidRPr="0034064D">
        <w:rPr>
          <w:rFonts w:ascii="Arial" w:eastAsia="Arial Unicode MS" w:hAnsi="Arial" w:cs="Arial"/>
          <w:sz w:val="20"/>
          <w:szCs w:val="20"/>
        </w:rPr>
        <w:t xml:space="preserve">%. Conforme demonstrado a seguir, estão diretamente relacionadas à </w:t>
      </w:r>
      <w:r w:rsidR="009536DF">
        <w:rPr>
          <w:rFonts w:ascii="Arial" w:eastAsia="Arial Unicode MS" w:hAnsi="Arial" w:cs="Arial"/>
          <w:sz w:val="20"/>
          <w:szCs w:val="20"/>
        </w:rPr>
        <w:t>Auxílio a Pesquisadores</w:t>
      </w:r>
      <w:r w:rsidRPr="0034064D">
        <w:rPr>
          <w:rFonts w:ascii="Arial" w:eastAsia="Arial Unicode MS" w:hAnsi="Arial" w:cs="Arial"/>
          <w:sz w:val="20"/>
          <w:szCs w:val="20"/>
        </w:rPr>
        <w:t xml:space="preserve">, no montante de R$ </w:t>
      </w:r>
      <w:r w:rsidR="009536DF">
        <w:rPr>
          <w:rFonts w:ascii="Arial" w:eastAsia="Arial Unicode MS" w:hAnsi="Arial" w:cs="Arial"/>
          <w:sz w:val="20"/>
          <w:szCs w:val="20"/>
        </w:rPr>
        <w:t>1,02</w:t>
      </w:r>
      <w:r w:rsidR="00F07FA7">
        <w:rPr>
          <w:rFonts w:ascii="Arial" w:eastAsia="Arial Unicode MS" w:hAnsi="Arial" w:cs="Arial"/>
          <w:sz w:val="20"/>
          <w:szCs w:val="20"/>
        </w:rPr>
        <w:t xml:space="preserve"> milhões</w:t>
      </w:r>
      <w:r w:rsidRPr="0034064D">
        <w:rPr>
          <w:rFonts w:ascii="Arial" w:eastAsia="Arial Unicode MS" w:hAnsi="Arial" w:cs="Arial"/>
          <w:sz w:val="20"/>
          <w:szCs w:val="20"/>
        </w:rPr>
        <w:t xml:space="preserve">, </w:t>
      </w:r>
      <w:r w:rsidR="009536DF">
        <w:rPr>
          <w:rFonts w:ascii="Arial" w:eastAsia="Arial Unicode MS" w:hAnsi="Arial" w:cs="Arial"/>
          <w:sz w:val="20"/>
          <w:szCs w:val="20"/>
        </w:rPr>
        <w:t xml:space="preserve">representando 10% do montante deste grupo, </w:t>
      </w:r>
      <w:r w:rsidRPr="0034064D">
        <w:rPr>
          <w:rFonts w:ascii="Arial" w:eastAsia="Arial Unicode MS" w:hAnsi="Arial" w:cs="Arial"/>
          <w:sz w:val="20"/>
          <w:szCs w:val="20"/>
        </w:rPr>
        <w:t xml:space="preserve">com variação </w:t>
      </w:r>
      <w:r w:rsidR="00F07FA7">
        <w:rPr>
          <w:rFonts w:ascii="Arial" w:eastAsia="Arial Unicode MS" w:hAnsi="Arial" w:cs="Arial"/>
          <w:sz w:val="20"/>
          <w:szCs w:val="20"/>
        </w:rPr>
        <w:t>crescente</w:t>
      </w:r>
      <w:r w:rsidR="000B1C2F">
        <w:rPr>
          <w:rFonts w:ascii="Arial" w:eastAsia="Arial Unicode MS" w:hAnsi="Arial" w:cs="Arial"/>
          <w:sz w:val="20"/>
          <w:szCs w:val="20"/>
        </w:rPr>
        <w:t xml:space="preserve"> </w:t>
      </w:r>
      <w:r w:rsidRPr="0034064D">
        <w:rPr>
          <w:rFonts w:ascii="Arial" w:eastAsia="Arial Unicode MS" w:hAnsi="Arial" w:cs="Arial"/>
          <w:sz w:val="20"/>
          <w:szCs w:val="20"/>
        </w:rPr>
        <w:t xml:space="preserve">na ordem de </w:t>
      </w:r>
      <w:r w:rsidR="009536DF">
        <w:rPr>
          <w:rFonts w:ascii="Arial" w:eastAsia="Arial Unicode MS" w:hAnsi="Arial" w:cs="Arial"/>
          <w:sz w:val="20"/>
          <w:szCs w:val="20"/>
        </w:rPr>
        <w:t>138</w:t>
      </w:r>
      <w:r w:rsidR="001035F5">
        <w:rPr>
          <w:rFonts w:ascii="Arial" w:eastAsia="Arial Unicode MS" w:hAnsi="Arial" w:cs="Arial"/>
          <w:sz w:val="20"/>
          <w:szCs w:val="20"/>
        </w:rPr>
        <w:t>4</w:t>
      </w:r>
      <w:r>
        <w:rPr>
          <w:rFonts w:ascii="Arial" w:eastAsia="Arial Unicode MS" w:hAnsi="Arial" w:cs="Arial"/>
          <w:sz w:val="20"/>
          <w:szCs w:val="20"/>
        </w:rPr>
        <w:t xml:space="preserve">%, equivalentes a R$ </w:t>
      </w:r>
      <w:r w:rsidR="009536DF">
        <w:rPr>
          <w:rFonts w:ascii="Arial" w:eastAsia="Arial Unicode MS" w:hAnsi="Arial" w:cs="Arial"/>
          <w:sz w:val="20"/>
          <w:szCs w:val="20"/>
        </w:rPr>
        <w:t>950</w:t>
      </w:r>
      <w:r w:rsidR="001035F5">
        <w:rPr>
          <w:rFonts w:ascii="Arial" w:eastAsia="Arial Unicode MS" w:hAnsi="Arial" w:cs="Arial"/>
          <w:sz w:val="20"/>
          <w:szCs w:val="20"/>
        </w:rPr>
        <w:t xml:space="preserve"> mil</w:t>
      </w:r>
      <w:r>
        <w:rPr>
          <w:rFonts w:ascii="Arial" w:eastAsia="Arial Unicode MS" w:hAnsi="Arial" w:cs="Arial"/>
          <w:sz w:val="20"/>
          <w:szCs w:val="20"/>
        </w:rPr>
        <w:t xml:space="preserve">. </w:t>
      </w:r>
      <w:r w:rsidR="00C90513">
        <w:rPr>
          <w:rFonts w:ascii="Arial" w:eastAsia="Arial Unicode MS" w:hAnsi="Arial" w:cs="Arial"/>
          <w:sz w:val="20"/>
          <w:szCs w:val="20"/>
        </w:rPr>
        <w:t xml:space="preserve">Outra variação que devemos destacar é a de </w:t>
      </w:r>
      <w:r w:rsidR="009536DF">
        <w:rPr>
          <w:rFonts w:ascii="Arial" w:eastAsia="Arial Unicode MS" w:hAnsi="Arial" w:cs="Arial"/>
          <w:sz w:val="20"/>
          <w:szCs w:val="20"/>
        </w:rPr>
        <w:t>Bolsas de Estudos no País, em que pese não haver crescimento, atingiu praticamente o mesmo patamar de aplicação do mesmo período do exercício anterior na ordem de R$ 8,79 milhões, correspondendo a 89% do montante deste grupo.</w:t>
      </w:r>
      <w:r w:rsidR="00C90513">
        <w:rPr>
          <w:rFonts w:ascii="Arial" w:eastAsia="Arial Unicode MS" w:hAnsi="Arial" w:cs="Arial"/>
          <w:sz w:val="20"/>
          <w:szCs w:val="20"/>
        </w:rPr>
        <w:t xml:space="preserve"> </w:t>
      </w:r>
      <w:r>
        <w:rPr>
          <w:rFonts w:ascii="Arial" w:eastAsia="Arial Unicode MS" w:hAnsi="Arial" w:cs="Arial"/>
          <w:sz w:val="20"/>
          <w:szCs w:val="20"/>
        </w:rPr>
        <w:t xml:space="preserve">Outras </w:t>
      </w:r>
      <w:proofErr w:type="spellStart"/>
      <w:r>
        <w:rPr>
          <w:rFonts w:ascii="Arial" w:eastAsia="Arial Unicode MS" w:hAnsi="Arial" w:cs="Arial"/>
          <w:sz w:val="20"/>
          <w:szCs w:val="20"/>
        </w:rPr>
        <w:t>VPDs</w:t>
      </w:r>
      <w:proofErr w:type="spellEnd"/>
      <w:r>
        <w:rPr>
          <w:rFonts w:ascii="Arial" w:eastAsia="Arial Unicode MS" w:hAnsi="Arial" w:cs="Arial"/>
          <w:sz w:val="20"/>
          <w:szCs w:val="20"/>
        </w:rPr>
        <w:t xml:space="preserve"> tiveram </w:t>
      </w:r>
      <w:r w:rsidR="00C90513">
        <w:rPr>
          <w:rFonts w:ascii="Arial" w:eastAsia="Arial Unicode MS" w:hAnsi="Arial" w:cs="Arial"/>
          <w:sz w:val="20"/>
          <w:szCs w:val="20"/>
        </w:rPr>
        <w:t>decréscimo</w:t>
      </w:r>
      <w:r>
        <w:rPr>
          <w:rFonts w:ascii="Arial" w:eastAsia="Arial Unicode MS" w:hAnsi="Arial" w:cs="Arial"/>
          <w:sz w:val="20"/>
          <w:szCs w:val="20"/>
        </w:rPr>
        <w:t xml:space="preserve"> em relação ao mesmo trimestre do período anterior, </w:t>
      </w:r>
      <w:r w:rsidR="00C90513">
        <w:rPr>
          <w:rFonts w:ascii="Arial" w:eastAsia="Arial Unicode MS" w:hAnsi="Arial" w:cs="Arial"/>
          <w:sz w:val="20"/>
          <w:szCs w:val="20"/>
        </w:rPr>
        <w:t>e suas repercussões foram absorvidas pelo crescimento d</w:t>
      </w:r>
      <w:r w:rsidR="006F3D9F">
        <w:rPr>
          <w:rFonts w:ascii="Arial" w:eastAsia="Arial Unicode MS" w:hAnsi="Arial" w:cs="Arial"/>
          <w:sz w:val="20"/>
          <w:szCs w:val="20"/>
        </w:rPr>
        <w:t>o</w:t>
      </w:r>
      <w:r w:rsidR="00C90513">
        <w:rPr>
          <w:rFonts w:ascii="Arial" w:eastAsia="Arial Unicode MS" w:hAnsi="Arial" w:cs="Arial"/>
          <w:sz w:val="20"/>
          <w:szCs w:val="20"/>
        </w:rPr>
        <w:t xml:space="preserve">s itens destacados anteriormente. </w:t>
      </w:r>
    </w:p>
    <w:p w14:paraId="05B96FC8" w14:textId="165D7CB4" w:rsidR="009536DF" w:rsidRDefault="009536DF" w:rsidP="00BA2679">
      <w:pPr>
        <w:spacing w:after="40"/>
        <w:rPr>
          <w:rFonts w:ascii="Arial" w:eastAsia="Arial Unicode MS" w:hAnsi="Arial" w:cs="Arial"/>
          <w:sz w:val="20"/>
          <w:szCs w:val="20"/>
        </w:rPr>
      </w:pPr>
      <w:r w:rsidRPr="009536DF">
        <w:rPr>
          <w:rFonts w:ascii="Arial" w:eastAsia="Arial Unicode MS" w:hAnsi="Arial" w:cs="Arial"/>
          <w:noProof/>
          <w:sz w:val="20"/>
          <w:szCs w:val="20"/>
        </w:rPr>
        <w:lastRenderedPageBreak/>
        <w:drawing>
          <wp:inline distT="0" distB="0" distL="0" distR="0" wp14:anchorId="7AB7E137" wp14:editId="05688907">
            <wp:extent cx="5201285" cy="2582545"/>
            <wp:effectExtent l="0" t="0" r="0" b="825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01285" cy="2582545"/>
                    </a:xfrm>
                    <a:prstGeom prst="rect">
                      <a:avLst/>
                    </a:prstGeom>
                    <a:noFill/>
                    <a:ln>
                      <a:noFill/>
                    </a:ln>
                  </pic:spPr>
                </pic:pic>
              </a:graphicData>
            </a:graphic>
          </wp:inline>
        </w:drawing>
      </w:r>
    </w:p>
    <w:p w14:paraId="560547E0" w14:textId="48C0210F" w:rsidR="00C90513" w:rsidRDefault="00C90513" w:rsidP="00BA2679">
      <w:pPr>
        <w:spacing w:after="40"/>
        <w:rPr>
          <w:rFonts w:ascii="Arial" w:eastAsia="Arial Unicode MS" w:hAnsi="Arial" w:cs="Arial"/>
          <w:sz w:val="20"/>
          <w:szCs w:val="20"/>
        </w:rPr>
      </w:pPr>
    </w:p>
    <w:p w14:paraId="37C9E8D4" w14:textId="6B8C0486" w:rsidR="00BA2679" w:rsidRDefault="00BA2679" w:rsidP="00BA2679">
      <w:pPr>
        <w:spacing w:after="40"/>
        <w:rPr>
          <w:rFonts w:ascii="Arial" w:eastAsia="Arial Unicode MS" w:hAnsi="Arial" w:cs="Arial"/>
          <w:sz w:val="20"/>
          <w:szCs w:val="20"/>
        </w:rPr>
      </w:pPr>
      <w:r w:rsidRPr="0034064D">
        <w:rPr>
          <w:rFonts w:ascii="Arial" w:eastAsia="Arial Unicode MS" w:hAnsi="Arial" w:cs="Arial"/>
          <w:sz w:val="20"/>
          <w:szCs w:val="20"/>
        </w:rPr>
        <w:t xml:space="preserve">Na </w:t>
      </w:r>
      <w:r>
        <w:rPr>
          <w:rFonts w:ascii="Arial" w:eastAsia="Arial Unicode MS" w:hAnsi="Arial" w:cs="Arial"/>
          <w:sz w:val="20"/>
          <w:szCs w:val="20"/>
        </w:rPr>
        <w:t>tabela a seguir</w:t>
      </w:r>
      <w:r w:rsidRPr="0034064D">
        <w:rPr>
          <w:rFonts w:ascii="Arial" w:eastAsia="Arial Unicode MS" w:hAnsi="Arial" w:cs="Arial"/>
          <w:sz w:val="20"/>
          <w:szCs w:val="20"/>
        </w:rPr>
        <w:t xml:space="preserve">, apresenta-se a distribuição </w:t>
      </w:r>
      <w:r w:rsidR="006C0788">
        <w:rPr>
          <w:rFonts w:ascii="Arial" w:eastAsia="Arial Unicode MS" w:hAnsi="Arial" w:cs="Arial"/>
          <w:sz w:val="20"/>
          <w:szCs w:val="20"/>
        </w:rPr>
        <w:t xml:space="preserve">de </w:t>
      </w:r>
      <w:r w:rsidR="003936A6">
        <w:rPr>
          <w:rFonts w:ascii="Arial" w:eastAsia="Arial Unicode MS" w:hAnsi="Arial" w:cs="Arial"/>
          <w:sz w:val="20"/>
          <w:szCs w:val="20"/>
        </w:rPr>
        <w:t>Auxílios a Pesquisadores</w:t>
      </w:r>
      <w:r w:rsidRPr="0034064D">
        <w:rPr>
          <w:rFonts w:ascii="Arial" w:eastAsia="Arial Unicode MS" w:hAnsi="Arial" w:cs="Arial"/>
          <w:sz w:val="20"/>
          <w:szCs w:val="20"/>
        </w:rPr>
        <w:t>, por Unidade Gestora do IFRS.</w:t>
      </w:r>
    </w:p>
    <w:p w14:paraId="2A2C2262" w14:textId="4A94BBC7" w:rsidR="0089261B" w:rsidRDefault="001558C6" w:rsidP="00BA2679">
      <w:pPr>
        <w:spacing w:after="40"/>
        <w:rPr>
          <w:rFonts w:ascii="Arial" w:eastAsia="Arial Unicode MS" w:hAnsi="Arial" w:cs="Arial"/>
          <w:sz w:val="20"/>
          <w:szCs w:val="20"/>
        </w:rPr>
      </w:pPr>
      <w:r w:rsidRPr="001558C6">
        <w:rPr>
          <w:rFonts w:ascii="Arial" w:eastAsia="Arial Unicode MS" w:hAnsi="Arial" w:cs="Arial"/>
          <w:noProof/>
          <w:sz w:val="20"/>
          <w:szCs w:val="20"/>
        </w:rPr>
        <w:drawing>
          <wp:inline distT="0" distB="0" distL="0" distR="0" wp14:anchorId="785EE37F" wp14:editId="199A2BF3">
            <wp:extent cx="5142865" cy="3855085"/>
            <wp:effectExtent l="0" t="0" r="635"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42865" cy="3855085"/>
                    </a:xfrm>
                    <a:prstGeom prst="rect">
                      <a:avLst/>
                    </a:prstGeom>
                    <a:noFill/>
                    <a:ln>
                      <a:noFill/>
                    </a:ln>
                  </pic:spPr>
                </pic:pic>
              </a:graphicData>
            </a:graphic>
          </wp:inline>
        </w:drawing>
      </w:r>
    </w:p>
    <w:p w14:paraId="5FA58B45" w14:textId="77777777" w:rsidR="00743C04" w:rsidRPr="0034064D" w:rsidRDefault="00743C04" w:rsidP="00BA2679">
      <w:pPr>
        <w:spacing w:after="40"/>
        <w:rPr>
          <w:rFonts w:ascii="Arial" w:eastAsia="Arial Unicode MS" w:hAnsi="Arial" w:cs="Arial"/>
          <w:sz w:val="20"/>
          <w:szCs w:val="20"/>
        </w:rPr>
      </w:pPr>
    </w:p>
    <w:p w14:paraId="23D8836E" w14:textId="77777777" w:rsidR="00FA50D8" w:rsidRPr="0034064D" w:rsidRDefault="00FA50D8" w:rsidP="00FA50D8">
      <w:pPr>
        <w:spacing w:after="240"/>
        <w:ind w:firstLine="284"/>
        <w:rPr>
          <w:rFonts w:ascii="Arial" w:eastAsia="Arial Unicode MS" w:hAnsi="Arial" w:cs="Arial"/>
          <w:b/>
          <w:color w:val="C45911" w:themeColor="accent2" w:themeShade="BF"/>
          <w:sz w:val="24"/>
          <w:szCs w:val="24"/>
        </w:rPr>
      </w:pPr>
      <w:r>
        <w:rPr>
          <w:rFonts w:ascii="Arial" w:eastAsia="Arial Unicode MS" w:hAnsi="Arial" w:cs="Arial"/>
          <w:b/>
          <w:color w:val="C45911" w:themeColor="accent2" w:themeShade="BF"/>
          <w:sz w:val="24"/>
          <w:szCs w:val="24"/>
        </w:rPr>
        <w:t>Nota 11</w:t>
      </w:r>
      <w:r w:rsidRPr="0034064D">
        <w:rPr>
          <w:rFonts w:ascii="Arial" w:eastAsia="Arial Unicode MS" w:hAnsi="Arial" w:cs="Arial"/>
          <w:b/>
          <w:color w:val="C45911" w:themeColor="accent2" w:themeShade="BF"/>
          <w:sz w:val="24"/>
          <w:szCs w:val="24"/>
        </w:rPr>
        <w:t xml:space="preserve"> – Resultado Orçamentário</w:t>
      </w:r>
    </w:p>
    <w:p w14:paraId="4436C9CF"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O resultado orçamentário é originado a partir da confrontação entre receitas arrecadadas e as despesas legalmente empenhadas no período, tendo em vista critério estabelecido pelo art. 35 da Lei nº 4.320/1964.</w:t>
      </w:r>
    </w:p>
    <w:p w14:paraId="04E8E28B" w14:textId="478650C5"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Até o </w:t>
      </w:r>
      <w:r w:rsidR="00A0799D">
        <w:rPr>
          <w:rFonts w:ascii="Arial" w:eastAsia="Arial Unicode MS" w:hAnsi="Arial" w:cs="Arial"/>
          <w:sz w:val="20"/>
          <w:szCs w:val="20"/>
        </w:rPr>
        <w:t>terceiro</w:t>
      </w:r>
      <w:r w:rsidRPr="0034064D">
        <w:rPr>
          <w:rFonts w:ascii="Arial" w:eastAsia="Arial Unicode MS" w:hAnsi="Arial" w:cs="Arial"/>
          <w:sz w:val="20"/>
          <w:szCs w:val="20"/>
        </w:rPr>
        <w:t xml:space="preserve"> trimestre de 20</w:t>
      </w:r>
      <w:r w:rsidR="002B7F19">
        <w:rPr>
          <w:rFonts w:ascii="Arial" w:eastAsia="Arial Unicode MS" w:hAnsi="Arial" w:cs="Arial"/>
          <w:sz w:val="20"/>
          <w:szCs w:val="20"/>
        </w:rPr>
        <w:t>20</w:t>
      </w:r>
      <w:r w:rsidRPr="0034064D">
        <w:rPr>
          <w:rFonts w:ascii="Arial" w:eastAsia="Arial Unicode MS" w:hAnsi="Arial" w:cs="Arial"/>
          <w:sz w:val="20"/>
          <w:szCs w:val="20"/>
        </w:rPr>
        <w:t xml:space="preserve"> as receitas realizadas montaram a quantia aproximada de </w:t>
      </w:r>
      <w:r w:rsidRPr="008613BD">
        <w:rPr>
          <w:rFonts w:ascii="Arial" w:eastAsia="Arial Unicode MS" w:hAnsi="Arial" w:cs="Arial"/>
          <w:sz w:val="20"/>
          <w:szCs w:val="20"/>
        </w:rPr>
        <w:t xml:space="preserve">R$ </w:t>
      </w:r>
      <w:r w:rsidR="00A0799D">
        <w:rPr>
          <w:rFonts w:ascii="Arial" w:eastAsia="Arial Unicode MS" w:hAnsi="Arial" w:cs="Arial"/>
          <w:sz w:val="20"/>
          <w:szCs w:val="20"/>
        </w:rPr>
        <w:t>659</w:t>
      </w:r>
      <w:r w:rsidR="002B7F19">
        <w:rPr>
          <w:rFonts w:ascii="Arial" w:eastAsia="Arial Unicode MS" w:hAnsi="Arial" w:cs="Arial"/>
          <w:sz w:val="20"/>
          <w:szCs w:val="20"/>
        </w:rPr>
        <w:t xml:space="preserve"> mil</w:t>
      </w:r>
      <w:r w:rsidRPr="0034064D">
        <w:rPr>
          <w:rFonts w:ascii="Arial" w:eastAsia="Arial Unicode MS" w:hAnsi="Arial" w:cs="Arial"/>
          <w:sz w:val="20"/>
          <w:szCs w:val="20"/>
        </w:rPr>
        <w:t xml:space="preserve">, enquanto que as despesas empenhadas perfizeram o montante de </w:t>
      </w:r>
      <w:r w:rsidRPr="008613BD">
        <w:rPr>
          <w:rFonts w:ascii="Arial" w:eastAsia="Arial Unicode MS" w:hAnsi="Arial" w:cs="Arial"/>
          <w:sz w:val="20"/>
          <w:szCs w:val="20"/>
        </w:rPr>
        <w:t xml:space="preserve">R$ </w:t>
      </w:r>
      <w:r w:rsidR="00A0799D">
        <w:rPr>
          <w:rFonts w:ascii="Arial" w:eastAsia="Arial Unicode MS" w:hAnsi="Arial" w:cs="Arial"/>
          <w:sz w:val="20"/>
          <w:szCs w:val="20"/>
        </w:rPr>
        <w:t>440</w:t>
      </w:r>
      <w:r>
        <w:rPr>
          <w:rFonts w:ascii="Arial" w:eastAsia="Arial Unicode MS" w:hAnsi="Arial" w:cs="Arial"/>
          <w:sz w:val="20"/>
          <w:szCs w:val="20"/>
        </w:rPr>
        <w:t xml:space="preserve"> </w:t>
      </w:r>
      <w:r w:rsidRPr="008613BD">
        <w:rPr>
          <w:rFonts w:ascii="Arial" w:eastAsia="Arial Unicode MS" w:hAnsi="Arial" w:cs="Arial"/>
          <w:sz w:val="20"/>
          <w:szCs w:val="20"/>
        </w:rPr>
        <w:t>milhões</w:t>
      </w:r>
      <w:r w:rsidRPr="0034064D">
        <w:rPr>
          <w:rFonts w:ascii="Arial" w:eastAsia="Arial Unicode MS" w:hAnsi="Arial" w:cs="Arial"/>
          <w:sz w:val="20"/>
          <w:szCs w:val="20"/>
        </w:rPr>
        <w:t>.</w:t>
      </w:r>
    </w:p>
    <w:p w14:paraId="7547A7E3" w14:textId="41262160"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De acordo com informações extraídas do Balanço Orçamentário, o empenho d</w:t>
      </w:r>
      <w:r>
        <w:rPr>
          <w:rFonts w:ascii="Arial" w:eastAsia="Arial Unicode MS" w:hAnsi="Arial" w:cs="Arial"/>
          <w:sz w:val="20"/>
          <w:szCs w:val="20"/>
        </w:rPr>
        <w:t>e</w:t>
      </w:r>
      <w:r w:rsidRPr="0034064D">
        <w:rPr>
          <w:rFonts w:ascii="Arial" w:eastAsia="Arial Unicode MS" w:hAnsi="Arial" w:cs="Arial"/>
          <w:sz w:val="20"/>
          <w:szCs w:val="20"/>
        </w:rPr>
        <w:t xml:space="preserve"> despesas </w:t>
      </w:r>
      <w:r>
        <w:rPr>
          <w:rFonts w:ascii="Arial" w:eastAsia="Arial Unicode MS" w:hAnsi="Arial" w:cs="Arial"/>
          <w:sz w:val="20"/>
          <w:szCs w:val="20"/>
        </w:rPr>
        <w:t xml:space="preserve">correspondeu a </w:t>
      </w:r>
      <w:r w:rsidR="00A0799D">
        <w:rPr>
          <w:rFonts w:ascii="Arial" w:eastAsia="Arial Unicode MS" w:hAnsi="Arial" w:cs="Arial"/>
          <w:sz w:val="20"/>
          <w:szCs w:val="20"/>
        </w:rPr>
        <w:t>93</w:t>
      </w:r>
      <w:r>
        <w:rPr>
          <w:rFonts w:ascii="Arial" w:eastAsia="Arial Unicode MS" w:hAnsi="Arial" w:cs="Arial"/>
          <w:sz w:val="20"/>
          <w:szCs w:val="20"/>
        </w:rPr>
        <w:t>% d</w:t>
      </w:r>
      <w:r w:rsidRPr="0034064D">
        <w:rPr>
          <w:rFonts w:ascii="Arial" w:eastAsia="Arial Unicode MS" w:hAnsi="Arial" w:cs="Arial"/>
          <w:sz w:val="20"/>
          <w:szCs w:val="20"/>
        </w:rPr>
        <w:t>a dotação atualizada, no exercício de 20</w:t>
      </w:r>
      <w:r w:rsidR="0019740A">
        <w:rPr>
          <w:rFonts w:ascii="Arial" w:eastAsia="Arial Unicode MS" w:hAnsi="Arial" w:cs="Arial"/>
          <w:sz w:val="20"/>
          <w:szCs w:val="20"/>
        </w:rPr>
        <w:t>20</w:t>
      </w:r>
      <w:r w:rsidRPr="0034064D">
        <w:rPr>
          <w:rFonts w:ascii="Arial" w:eastAsia="Arial Unicode MS" w:hAnsi="Arial" w:cs="Arial"/>
          <w:sz w:val="20"/>
          <w:szCs w:val="20"/>
        </w:rPr>
        <w:t xml:space="preserve"> lembrando que, </w:t>
      </w:r>
      <w:r>
        <w:rPr>
          <w:rFonts w:ascii="Arial" w:eastAsia="Arial Unicode MS" w:hAnsi="Arial" w:cs="Arial"/>
          <w:sz w:val="20"/>
          <w:szCs w:val="20"/>
        </w:rPr>
        <w:t xml:space="preserve">até o </w:t>
      </w:r>
      <w:r w:rsidR="00A0799D">
        <w:rPr>
          <w:rFonts w:ascii="Arial" w:eastAsia="Arial Unicode MS" w:hAnsi="Arial" w:cs="Arial"/>
          <w:sz w:val="20"/>
          <w:szCs w:val="20"/>
        </w:rPr>
        <w:t>terceiro</w:t>
      </w:r>
      <w:r w:rsidRPr="0034064D">
        <w:rPr>
          <w:rFonts w:ascii="Arial" w:eastAsia="Arial Unicode MS" w:hAnsi="Arial" w:cs="Arial"/>
          <w:sz w:val="20"/>
          <w:szCs w:val="20"/>
        </w:rPr>
        <w:t xml:space="preserve"> trimestre, </w:t>
      </w:r>
      <w:r w:rsidR="00A0799D">
        <w:rPr>
          <w:rFonts w:ascii="Arial" w:eastAsia="Arial Unicode MS" w:hAnsi="Arial" w:cs="Arial"/>
          <w:sz w:val="20"/>
          <w:szCs w:val="20"/>
        </w:rPr>
        <w:t>72</w:t>
      </w:r>
      <w:r w:rsidRPr="0034064D">
        <w:rPr>
          <w:rFonts w:ascii="Arial" w:eastAsia="Arial Unicode MS" w:hAnsi="Arial" w:cs="Arial"/>
          <w:sz w:val="20"/>
          <w:szCs w:val="20"/>
        </w:rPr>
        <w:t>% desses empenhos já haviam sido realizados.</w:t>
      </w:r>
    </w:p>
    <w:p w14:paraId="5900B4E9" w14:textId="533A9941"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A realização de receitas até o </w:t>
      </w:r>
      <w:r w:rsidR="00A0799D">
        <w:rPr>
          <w:rFonts w:ascii="Arial" w:eastAsia="Arial Unicode MS" w:hAnsi="Arial" w:cs="Arial"/>
          <w:sz w:val="20"/>
          <w:szCs w:val="20"/>
        </w:rPr>
        <w:t>terceiro</w:t>
      </w:r>
      <w:r w:rsidRPr="0034064D">
        <w:rPr>
          <w:rFonts w:ascii="Arial" w:eastAsia="Arial Unicode MS" w:hAnsi="Arial" w:cs="Arial"/>
          <w:sz w:val="20"/>
          <w:szCs w:val="20"/>
        </w:rPr>
        <w:t xml:space="preserve"> trimestre </w:t>
      </w:r>
      <w:r w:rsidR="00444394">
        <w:rPr>
          <w:rFonts w:ascii="Arial" w:eastAsia="Arial Unicode MS" w:hAnsi="Arial" w:cs="Arial"/>
          <w:sz w:val="20"/>
          <w:szCs w:val="20"/>
        </w:rPr>
        <w:t xml:space="preserve">alcançou </w:t>
      </w:r>
      <w:r w:rsidR="00A0799D">
        <w:rPr>
          <w:rFonts w:ascii="Arial" w:eastAsia="Arial Unicode MS" w:hAnsi="Arial" w:cs="Arial"/>
          <w:sz w:val="20"/>
          <w:szCs w:val="20"/>
        </w:rPr>
        <w:t>72</w:t>
      </w:r>
      <w:r w:rsidRPr="0034064D">
        <w:rPr>
          <w:rFonts w:ascii="Arial" w:eastAsia="Arial Unicode MS" w:hAnsi="Arial" w:cs="Arial"/>
          <w:sz w:val="20"/>
          <w:szCs w:val="20"/>
        </w:rPr>
        <w:t>% a previsão atualizada de arrecadação</w:t>
      </w:r>
      <w:r w:rsidR="003F2FDA">
        <w:rPr>
          <w:rFonts w:ascii="Arial" w:eastAsia="Arial Unicode MS" w:hAnsi="Arial" w:cs="Arial"/>
          <w:sz w:val="20"/>
          <w:szCs w:val="20"/>
        </w:rPr>
        <w:t xml:space="preserve"> de receitas correntes,</w:t>
      </w:r>
      <w:r>
        <w:rPr>
          <w:rFonts w:ascii="Arial" w:eastAsia="Arial Unicode MS" w:hAnsi="Arial" w:cs="Arial"/>
          <w:sz w:val="20"/>
          <w:szCs w:val="20"/>
        </w:rPr>
        <w:t xml:space="preserve"> orçada em R$ 9</w:t>
      </w:r>
      <w:r w:rsidR="003F2FDA">
        <w:rPr>
          <w:rFonts w:ascii="Arial" w:eastAsia="Arial Unicode MS" w:hAnsi="Arial" w:cs="Arial"/>
          <w:sz w:val="20"/>
          <w:szCs w:val="20"/>
        </w:rPr>
        <w:t>15</w:t>
      </w:r>
      <w:r>
        <w:rPr>
          <w:rFonts w:ascii="Arial" w:eastAsia="Arial Unicode MS" w:hAnsi="Arial" w:cs="Arial"/>
          <w:sz w:val="20"/>
          <w:szCs w:val="20"/>
        </w:rPr>
        <w:t xml:space="preserve"> mil, </w:t>
      </w:r>
      <w:r w:rsidR="003F2FDA">
        <w:rPr>
          <w:rFonts w:ascii="Arial" w:eastAsia="Arial Unicode MS" w:hAnsi="Arial" w:cs="Arial"/>
          <w:sz w:val="20"/>
          <w:szCs w:val="20"/>
        </w:rPr>
        <w:t xml:space="preserve">com destaque para Receitas Agropecuárias que somaram R$ </w:t>
      </w:r>
      <w:r w:rsidR="00575BF0">
        <w:rPr>
          <w:rFonts w:ascii="Arial" w:eastAsia="Arial Unicode MS" w:hAnsi="Arial" w:cs="Arial"/>
          <w:sz w:val="20"/>
          <w:szCs w:val="20"/>
        </w:rPr>
        <w:t>543</w:t>
      </w:r>
      <w:r w:rsidR="003F2FDA">
        <w:rPr>
          <w:rFonts w:ascii="Arial" w:eastAsia="Arial Unicode MS" w:hAnsi="Arial" w:cs="Arial"/>
          <w:sz w:val="20"/>
          <w:szCs w:val="20"/>
        </w:rPr>
        <w:t xml:space="preserve"> mil</w:t>
      </w:r>
      <w:r w:rsidR="00575BF0">
        <w:rPr>
          <w:rFonts w:ascii="Arial" w:eastAsia="Arial Unicode MS" w:hAnsi="Arial" w:cs="Arial"/>
          <w:sz w:val="20"/>
          <w:szCs w:val="20"/>
        </w:rPr>
        <w:t xml:space="preserve">, ultrapassando em R$ 64 mil a previsão </w:t>
      </w:r>
      <w:proofErr w:type="spellStart"/>
      <w:r w:rsidR="00575BF0">
        <w:rPr>
          <w:rFonts w:ascii="Arial" w:eastAsia="Arial Unicode MS" w:hAnsi="Arial" w:cs="Arial"/>
          <w:sz w:val="20"/>
          <w:szCs w:val="20"/>
        </w:rPr>
        <w:t>iniial</w:t>
      </w:r>
      <w:proofErr w:type="spellEnd"/>
      <w:r w:rsidR="003F2FDA">
        <w:rPr>
          <w:rFonts w:ascii="Arial" w:eastAsia="Arial Unicode MS" w:hAnsi="Arial" w:cs="Arial"/>
          <w:sz w:val="20"/>
          <w:szCs w:val="20"/>
        </w:rPr>
        <w:t>.</w:t>
      </w:r>
      <w:r>
        <w:rPr>
          <w:rFonts w:ascii="Arial" w:eastAsia="Arial Unicode MS" w:hAnsi="Arial" w:cs="Arial"/>
          <w:sz w:val="20"/>
          <w:szCs w:val="20"/>
        </w:rPr>
        <w:t xml:space="preserve"> Já as despesas em que pese representarem valores bem mais expressivos em termos monetários na ordem de R$ 4</w:t>
      </w:r>
      <w:r w:rsidR="00B807CC">
        <w:rPr>
          <w:rFonts w:ascii="Arial" w:eastAsia="Arial Unicode MS" w:hAnsi="Arial" w:cs="Arial"/>
          <w:sz w:val="20"/>
          <w:szCs w:val="20"/>
        </w:rPr>
        <w:t>71</w:t>
      </w:r>
      <w:r>
        <w:rPr>
          <w:rFonts w:ascii="Arial" w:eastAsia="Arial Unicode MS" w:hAnsi="Arial" w:cs="Arial"/>
          <w:sz w:val="20"/>
          <w:szCs w:val="20"/>
        </w:rPr>
        <w:t xml:space="preserve"> milhões</w:t>
      </w:r>
      <w:r w:rsidRPr="0034064D">
        <w:rPr>
          <w:rFonts w:ascii="Arial" w:eastAsia="Arial Unicode MS" w:hAnsi="Arial" w:cs="Arial"/>
          <w:sz w:val="20"/>
          <w:szCs w:val="20"/>
        </w:rPr>
        <w:t xml:space="preserve">, </w:t>
      </w:r>
      <w:r>
        <w:rPr>
          <w:rFonts w:ascii="Arial" w:eastAsia="Arial Unicode MS" w:hAnsi="Arial" w:cs="Arial"/>
          <w:sz w:val="20"/>
          <w:szCs w:val="20"/>
        </w:rPr>
        <w:t xml:space="preserve">refletem uma execução equilibrada até o período, se comparados com o montante de compromissos assumidos que montam R$ </w:t>
      </w:r>
      <w:r w:rsidR="00575BF0">
        <w:rPr>
          <w:rFonts w:ascii="Arial" w:eastAsia="Arial Unicode MS" w:hAnsi="Arial" w:cs="Arial"/>
          <w:sz w:val="20"/>
          <w:szCs w:val="20"/>
        </w:rPr>
        <w:t>440</w:t>
      </w:r>
      <w:r>
        <w:rPr>
          <w:rFonts w:ascii="Arial" w:eastAsia="Arial Unicode MS" w:hAnsi="Arial" w:cs="Arial"/>
          <w:sz w:val="20"/>
          <w:szCs w:val="20"/>
        </w:rPr>
        <w:t xml:space="preserve"> milhões</w:t>
      </w:r>
      <w:r w:rsidR="003F2FDA">
        <w:rPr>
          <w:rFonts w:ascii="Arial" w:eastAsia="Arial Unicode MS" w:hAnsi="Arial" w:cs="Arial"/>
          <w:sz w:val="20"/>
          <w:szCs w:val="20"/>
        </w:rPr>
        <w:t xml:space="preserve">, em sua </w:t>
      </w:r>
      <w:r w:rsidR="003F2FDA">
        <w:rPr>
          <w:rFonts w:ascii="Arial" w:eastAsia="Arial Unicode MS" w:hAnsi="Arial" w:cs="Arial"/>
          <w:sz w:val="20"/>
          <w:szCs w:val="20"/>
        </w:rPr>
        <w:lastRenderedPageBreak/>
        <w:t>maioria referente a despesas com pessoal</w:t>
      </w:r>
      <w:r w:rsidR="00B807CC">
        <w:rPr>
          <w:rFonts w:ascii="Arial" w:eastAsia="Arial Unicode MS" w:hAnsi="Arial" w:cs="Arial"/>
          <w:sz w:val="20"/>
          <w:szCs w:val="20"/>
        </w:rPr>
        <w:t>, considerando o empenho prévio por estimativa até o final do exercício, dependendo apenas de eventuais reforços e cancelamentos destes empenhos</w:t>
      </w:r>
      <w:r>
        <w:rPr>
          <w:rFonts w:ascii="Arial" w:eastAsia="Arial Unicode MS" w:hAnsi="Arial" w:cs="Arial"/>
          <w:sz w:val="20"/>
          <w:szCs w:val="20"/>
        </w:rPr>
        <w:t>.</w:t>
      </w:r>
    </w:p>
    <w:p w14:paraId="4F7B3567" w14:textId="77777777" w:rsidR="00B807CC" w:rsidRPr="0034064D" w:rsidRDefault="00B807CC" w:rsidP="00FA50D8">
      <w:pPr>
        <w:spacing w:after="40"/>
        <w:rPr>
          <w:rFonts w:ascii="Arial" w:eastAsia="Arial Unicode MS" w:hAnsi="Arial" w:cs="Arial"/>
          <w:sz w:val="20"/>
          <w:szCs w:val="20"/>
        </w:rPr>
      </w:pPr>
    </w:p>
    <w:p w14:paraId="0B293BD2" w14:textId="77777777" w:rsidR="00FA50D8" w:rsidRPr="00150CBC" w:rsidRDefault="00FA50D8" w:rsidP="00FA50D8">
      <w:pPr>
        <w:spacing w:after="40"/>
        <w:rPr>
          <w:rFonts w:ascii="Arial" w:eastAsia="Arial Unicode MS" w:hAnsi="Arial" w:cs="Arial"/>
          <w:b/>
          <w:sz w:val="20"/>
          <w:szCs w:val="20"/>
        </w:rPr>
      </w:pPr>
      <w:r w:rsidRPr="00150CBC">
        <w:rPr>
          <w:rFonts w:ascii="Arial" w:eastAsia="Arial Unicode MS" w:hAnsi="Arial" w:cs="Arial"/>
          <w:b/>
          <w:sz w:val="20"/>
          <w:szCs w:val="20"/>
        </w:rPr>
        <w:t>Receitas</w:t>
      </w:r>
    </w:p>
    <w:p w14:paraId="47E88D5A" w14:textId="42DC34B9"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As receitas realizadas até o </w:t>
      </w:r>
      <w:r w:rsidR="007F5F4F">
        <w:rPr>
          <w:rFonts w:ascii="Arial" w:eastAsia="Arial Unicode MS" w:hAnsi="Arial" w:cs="Arial"/>
          <w:sz w:val="20"/>
          <w:szCs w:val="20"/>
        </w:rPr>
        <w:t>terceiro</w:t>
      </w:r>
      <w:r w:rsidRPr="0034064D">
        <w:rPr>
          <w:rFonts w:ascii="Arial" w:eastAsia="Arial Unicode MS" w:hAnsi="Arial" w:cs="Arial"/>
          <w:sz w:val="20"/>
          <w:szCs w:val="20"/>
        </w:rPr>
        <w:t xml:space="preserve"> trimestre de 20</w:t>
      </w:r>
      <w:r w:rsidR="003F2FDA">
        <w:rPr>
          <w:rFonts w:ascii="Arial" w:eastAsia="Arial Unicode MS" w:hAnsi="Arial" w:cs="Arial"/>
          <w:sz w:val="20"/>
          <w:szCs w:val="20"/>
        </w:rPr>
        <w:t>20</w:t>
      </w:r>
      <w:r w:rsidRPr="0034064D">
        <w:rPr>
          <w:rFonts w:ascii="Arial" w:eastAsia="Arial Unicode MS" w:hAnsi="Arial" w:cs="Arial"/>
          <w:sz w:val="20"/>
          <w:szCs w:val="20"/>
        </w:rPr>
        <w:t>, em comparação com as do mesmo período de 201</w:t>
      </w:r>
      <w:r w:rsidR="003F2FDA">
        <w:rPr>
          <w:rFonts w:ascii="Arial" w:eastAsia="Arial Unicode MS" w:hAnsi="Arial" w:cs="Arial"/>
          <w:sz w:val="20"/>
          <w:szCs w:val="20"/>
        </w:rPr>
        <w:t>9</w:t>
      </w:r>
      <w:r w:rsidRPr="0034064D">
        <w:rPr>
          <w:rFonts w:ascii="Arial" w:eastAsia="Arial Unicode MS" w:hAnsi="Arial" w:cs="Arial"/>
          <w:sz w:val="20"/>
          <w:szCs w:val="20"/>
        </w:rPr>
        <w:t>, estão distribuídas nas seguintes categorias, conforme demonstrado nos respectivos Balanços Orçamentários:</w:t>
      </w:r>
    </w:p>
    <w:p w14:paraId="14DF733A" w14:textId="3060390E" w:rsidR="007F5F4F" w:rsidRDefault="007F5F4F" w:rsidP="00FA50D8">
      <w:pPr>
        <w:spacing w:after="40"/>
        <w:rPr>
          <w:rFonts w:ascii="Arial" w:eastAsia="Arial Unicode MS" w:hAnsi="Arial" w:cs="Arial"/>
          <w:sz w:val="20"/>
          <w:szCs w:val="20"/>
        </w:rPr>
      </w:pPr>
      <w:r w:rsidRPr="007F5F4F">
        <w:rPr>
          <w:rFonts w:ascii="Arial" w:eastAsia="Arial Unicode MS" w:hAnsi="Arial" w:cs="Arial"/>
          <w:noProof/>
          <w:sz w:val="20"/>
          <w:szCs w:val="20"/>
        </w:rPr>
        <w:drawing>
          <wp:inline distT="0" distB="0" distL="0" distR="0" wp14:anchorId="5572A6E2" wp14:editId="7E30C771">
            <wp:extent cx="5354955" cy="1609090"/>
            <wp:effectExtent l="0" t="0" r="0" b="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54955" cy="1609090"/>
                    </a:xfrm>
                    <a:prstGeom prst="rect">
                      <a:avLst/>
                    </a:prstGeom>
                    <a:noFill/>
                    <a:ln>
                      <a:noFill/>
                    </a:ln>
                  </pic:spPr>
                </pic:pic>
              </a:graphicData>
            </a:graphic>
          </wp:inline>
        </w:drawing>
      </w:r>
    </w:p>
    <w:p w14:paraId="36B8BA56"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 </w:t>
      </w:r>
    </w:p>
    <w:p w14:paraId="67D14D22" w14:textId="6F22EBAC"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Comparando-se as receitas realizadas até o </w:t>
      </w:r>
      <w:r w:rsidR="007F5F4F">
        <w:rPr>
          <w:rFonts w:ascii="Arial" w:eastAsia="Arial Unicode MS" w:hAnsi="Arial" w:cs="Arial"/>
          <w:sz w:val="20"/>
          <w:szCs w:val="20"/>
        </w:rPr>
        <w:t>terceiro</w:t>
      </w:r>
      <w:r w:rsidRPr="0034064D">
        <w:rPr>
          <w:rFonts w:ascii="Arial" w:eastAsia="Arial Unicode MS" w:hAnsi="Arial" w:cs="Arial"/>
          <w:sz w:val="20"/>
          <w:szCs w:val="20"/>
        </w:rPr>
        <w:t xml:space="preserve"> trimestre de 20</w:t>
      </w:r>
      <w:r w:rsidR="003F2FDA">
        <w:rPr>
          <w:rFonts w:ascii="Arial" w:eastAsia="Arial Unicode MS" w:hAnsi="Arial" w:cs="Arial"/>
          <w:sz w:val="20"/>
          <w:szCs w:val="20"/>
        </w:rPr>
        <w:t>20</w:t>
      </w:r>
      <w:r w:rsidRPr="0034064D">
        <w:rPr>
          <w:rFonts w:ascii="Arial" w:eastAsia="Arial Unicode MS" w:hAnsi="Arial" w:cs="Arial"/>
          <w:sz w:val="20"/>
          <w:szCs w:val="20"/>
        </w:rPr>
        <w:t xml:space="preserve"> com o mesmo período de 201</w:t>
      </w:r>
      <w:r w:rsidR="003F2FDA">
        <w:rPr>
          <w:rFonts w:ascii="Arial" w:eastAsia="Arial Unicode MS" w:hAnsi="Arial" w:cs="Arial"/>
          <w:sz w:val="20"/>
          <w:szCs w:val="20"/>
        </w:rPr>
        <w:t>9</w:t>
      </w:r>
      <w:r w:rsidRPr="0034064D">
        <w:rPr>
          <w:rFonts w:ascii="Arial" w:eastAsia="Arial Unicode MS" w:hAnsi="Arial" w:cs="Arial"/>
          <w:sz w:val="20"/>
          <w:szCs w:val="20"/>
        </w:rPr>
        <w:t xml:space="preserve">, percebe-se uma </w:t>
      </w:r>
      <w:r w:rsidR="003F2FDA">
        <w:rPr>
          <w:rFonts w:ascii="Arial" w:eastAsia="Arial Unicode MS" w:hAnsi="Arial" w:cs="Arial"/>
          <w:sz w:val="20"/>
          <w:szCs w:val="20"/>
        </w:rPr>
        <w:t>involução</w:t>
      </w:r>
      <w:r w:rsidRPr="0034064D">
        <w:rPr>
          <w:rFonts w:ascii="Arial" w:eastAsia="Arial Unicode MS" w:hAnsi="Arial" w:cs="Arial"/>
          <w:sz w:val="20"/>
          <w:szCs w:val="20"/>
        </w:rPr>
        <w:t xml:space="preserve"> de aproximadamente </w:t>
      </w:r>
      <w:r w:rsidR="007F5F4F">
        <w:rPr>
          <w:rFonts w:ascii="Arial" w:eastAsia="Arial Unicode MS" w:hAnsi="Arial" w:cs="Arial"/>
          <w:sz w:val="20"/>
          <w:szCs w:val="20"/>
        </w:rPr>
        <w:t>34</w:t>
      </w:r>
      <w:r w:rsidRPr="008613BD">
        <w:rPr>
          <w:rFonts w:ascii="Arial" w:eastAsia="Arial Unicode MS" w:hAnsi="Arial" w:cs="Arial"/>
          <w:sz w:val="20"/>
          <w:szCs w:val="20"/>
        </w:rPr>
        <w:t>%</w:t>
      </w:r>
      <w:r w:rsidRPr="0034064D">
        <w:rPr>
          <w:rFonts w:ascii="Arial" w:eastAsia="Arial Unicode MS" w:hAnsi="Arial" w:cs="Arial"/>
          <w:sz w:val="20"/>
          <w:szCs w:val="20"/>
        </w:rPr>
        <w:t xml:space="preserve"> na arrecadação</w:t>
      </w:r>
      <w:r w:rsidR="007F5F4F">
        <w:rPr>
          <w:rFonts w:ascii="Arial" w:eastAsia="Arial Unicode MS" w:hAnsi="Arial" w:cs="Arial"/>
          <w:sz w:val="20"/>
          <w:szCs w:val="20"/>
        </w:rPr>
        <w:t>.</w:t>
      </w:r>
    </w:p>
    <w:p w14:paraId="6388EDA9" w14:textId="2BB59594"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A </w:t>
      </w:r>
      <w:r w:rsidR="003F2FDA">
        <w:rPr>
          <w:rFonts w:ascii="Arial" w:eastAsia="Arial Unicode MS" w:hAnsi="Arial" w:cs="Arial"/>
          <w:sz w:val="20"/>
          <w:szCs w:val="20"/>
        </w:rPr>
        <w:t>involução</w:t>
      </w:r>
      <w:r w:rsidRPr="0034064D">
        <w:rPr>
          <w:rFonts w:ascii="Arial" w:eastAsia="Arial Unicode MS" w:hAnsi="Arial" w:cs="Arial"/>
          <w:sz w:val="20"/>
          <w:szCs w:val="20"/>
        </w:rPr>
        <w:t xml:space="preserve"> observada importa em aproximadamente </w:t>
      </w:r>
      <w:r w:rsidRPr="00854455">
        <w:rPr>
          <w:rFonts w:ascii="Arial" w:eastAsia="Arial Unicode MS" w:hAnsi="Arial" w:cs="Arial"/>
          <w:sz w:val="20"/>
          <w:szCs w:val="20"/>
        </w:rPr>
        <w:t xml:space="preserve">R$ </w:t>
      </w:r>
      <w:r w:rsidR="007F5F4F">
        <w:rPr>
          <w:rFonts w:ascii="Arial" w:eastAsia="Arial Unicode MS" w:hAnsi="Arial" w:cs="Arial"/>
          <w:sz w:val="20"/>
          <w:szCs w:val="20"/>
        </w:rPr>
        <w:t>345</w:t>
      </w:r>
      <w:r w:rsidRPr="00854455">
        <w:rPr>
          <w:rFonts w:ascii="Arial" w:eastAsia="Arial Unicode MS" w:hAnsi="Arial" w:cs="Arial"/>
          <w:sz w:val="20"/>
          <w:szCs w:val="20"/>
        </w:rPr>
        <w:t xml:space="preserve"> mil</w:t>
      </w:r>
      <w:r w:rsidRPr="0034064D">
        <w:rPr>
          <w:rFonts w:ascii="Arial" w:eastAsia="Arial Unicode MS" w:hAnsi="Arial" w:cs="Arial"/>
          <w:sz w:val="20"/>
          <w:szCs w:val="20"/>
        </w:rPr>
        <w:t xml:space="preserve">, afetando </w:t>
      </w:r>
      <w:r w:rsidR="003F2FDA">
        <w:rPr>
          <w:rFonts w:ascii="Arial" w:eastAsia="Arial Unicode MS" w:hAnsi="Arial" w:cs="Arial"/>
          <w:sz w:val="20"/>
          <w:szCs w:val="20"/>
        </w:rPr>
        <w:t>negativamente</w:t>
      </w:r>
      <w:r>
        <w:rPr>
          <w:rFonts w:ascii="Arial" w:eastAsia="Arial Unicode MS" w:hAnsi="Arial" w:cs="Arial"/>
          <w:sz w:val="20"/>
          <w:szCs w:val="20"/>
        </w:rPr>
        <w:t xml:space="preserve"> </w:t>
      </w:r>
      <w:r w:rsidRPr="0034064D">
        <w:rPr>
          <w:rFonts w:ascii="Arial" w:eastAsia="Arial Unicode MS" w:hAnsi="Arial" w:cs="Arial"/>
          <w:sz w:val="20"/>
          <w:szCs w:val="20"/>
        </w:rPr>
        <w:t xml:space="preserve">o desempenho da arrecadação </w:t>
      </w:r>
      <w:r w:rsidR="003F2FDA">
        <w:rPr>
          <w:rFonts w:ascii="Arial" w:eastAsia="Arial Unicode MS" w:hAnsi="Arial" w:cs="Arial"/>
          <w:sz w:val="20"/>
          <w:szCs w:val="20"/>
        </w:rPr>
        <w:t xml:space="preserve">quando comparado com o mesmo período </w:t>
      </w:r>
      <w:r w:rsidR="00001A54">
        <w:rPr>
          <w:rFonts w:ascii="Arial" w:eastAsia="Arial Unicode MS" w:hAnsi="Arial" w:cs="Arial"/>
          <w:sz w:val="20"/>
          <w:szCs w:val="20"/>
        </w:rPr>
        <w:t xml:space="preserve">do ano anterior, </w:t>
      </w:r>
      <w:r w:rsidRPr="0034064D">
        <w:rPr>
          <w:rFonts w:ascii="Arial" w:eastAsia="Arial Unicode MS" w:hAnsi="Arial" w:cs="Arial"/>
          <w:sz w:val="20"/>
          <w:szCs w:val="20"/>
        </w:rPr>
        <w:t>que pode ser demonstrada conforme tabela abaixo:</w:t>
      </w:r>
    </w:p>
    <w:p w14:paraId="70381831" w14:textId="5C92465C" w:rsidR="00C747A4" w:rsidRDefault="00C747A4" w:rsidP="00FA50D8">
      <w:pPr>
        <w:spacing w:after="40"/>
        <w:rPr>
          <w:rFonts w:ascii="Arial" w:eastAsia="Arial Unicode MS" w:hAnsi="Arial" w:cs="Arial"/>
          <w:sz w:val="20"/>
          <w:szCs w:val="20"/>
        </w:rPr>
      </w:pPr>
      <w:r w:rsidRPr="00C747A4">
        <w:rPr>
          <w:rFonts w:ascii="Arial" w:eastAsia="Arial Unicode MS" w:hAnsi="Arial" w:cs="Arial"/>
          <w:noProof/>
          <w:sz w:val="20"/>
          <w:szCs w:val="20"/>
        </w:rPr>
        <w:drawing>
          <wp:inline distT="0" distB="0" distL="0" distR="0" wp14:anchorId="0211FE53" wp14:editId="563F7C59">
            <wp:extent cx="5354955" cy="2984500"/>
            <wp:effectExtent l="0" t="0" r="0" b="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54955" cy="2984500"/>
                    </a:xfrm>
                    <a:prstGeom prst="rect">
                      <a:avLst/>
                    </a:prstGeom>
                    <a:noFill/>
                    <a:ln>
                      <a:noFill/>
                    </a:ln>
                  </pic:spPr>
                </pic:pic>
              </a:graphicData>
            </a:graphic>
          </wp:inline>
        </w:drawing>
      </w:r>
    </w:p>
    <w:p w14:paraId="379B09BD" w14:textId="5FBC0873" w:rsidR="00FA50D8" w:rsidRDefault="00FA50D8" w:rsidP="00FA50D8">
      <w:pPr>
        <w:spacing w:after="40"/>
        <w:rPr>
          <w:rFonts w:ascii="Arial" w:eastAsia="Arial Unicode MS" w:hAnsi="Arial" w:cs="Arial"/>
          <w:sz w:val="20"/>
          <w:szCs w:val="20"/>
        </w:rPr>
      </w:pPr>
    </w:p>
    <w:p w14:paraId="6B18CBE0" w14:textId="703C039E" w:rsidR="00FA50D8" w:rsidRPr="0034064D" w:rsidRDefault="00FA50D8" w:rsidP="00FA50D8">
      <w:pPr>
        <w:spacing w:after="40"/>
        <w:rPr>
          <w:rFonts w:ascii="Arial" w:eastAsia="Arial Unicode MS" w:hAnsi="Arial" w:cs="Arial"/>
          <w:sz w:val="20"/>
          <w:szCs w:val="20"/>
        </w:rPr>
      </w:pPr>
      <w:r>
        <w:rPr>
          <w:rFonts w:ascii="Arial" w:eastAsia="Arial Unicode MS" w:hAnsi="Arial" w:cs="Arial"/>
          <w:sz w:val="20"/>
          <w:szCs w:val="20"/>
        </w:rPr>
        <w:t>Analisando o comportamento da Receita</w:t>
      </w:r>
      <w:r w:rsidRPr="0034064D">
        <w:rPr>
          <w:rFonts w:ascii="Arial" w:eastAsia="Arial Unicode MS" w:hAnsi="Arial" w:cs="Arial"/>
          <w:sz w:val="20"/>
          <w:szCs w:val="20"/>
        </w:rPr>
        <w:t>, percebe-s</w:t>
      </w:r>
      <w:r>
        <w:rPr>
          <w:rFonts w:ascii="Arial" w:eastAsia="Arial Unicode MS" w:hAnsi="Arial" w:cs="Arial"/>
          <w:sz w:val="20"/>
          <w:szCs w:val="20"/>
        </w:rPr>
        <w:t>e que a variação verificada resulta,</w:t>
      </w:r>
      <w:r w:rsidRPr="0034064D">
        <w:rPr>
          <w:rFonts w:ascii="Arial" w:eastAsia="Arial Unicode MS" w:hAnsi="Arial" w:cs="Arial"/>
          <w:sz w:val="20"/>
          <w:szCs w:val="20"/>
        </w:rPr>
        <w:t xml:space="preserve"> principalmente</w:t>
      </w:r>
      <w:r>
        <w:rPr>
          <w:rFonts w:ascii="Arial" w:eastAsia="Arial Unicode MS" w:hAnsi="Arial" w:cs="Arial"/>
          <w:sz w:val="20"/>
          <w:szCs w:val="20"/>
        </w:rPr>
        <w:t>,</w:t>
      </w:r>
      <w:r w:rsidRPr="0034064D">
        <w:rPr>
          <w:rFonts w:ascii="Arial" w:eastAsia="Arial Unicode MS" w:hAnsi="Arial" w:cs="Arial"/>
          <w:sz w:val="20"/>
          <w:szCs w:val="20"/>
        </w:rPr>
        <w:t xml:space="preserve"> pela </w:t>
      </w:r>
      <w:r w:rsidR="00D43CA1">
        <w:rPr>
          <w:rFonts w:ascii="Arial" w:eastAsia="Arial Unicode MS" w:hAnsi="Arial" w:cs="Arial"/>
          <w:sz w:val="20"/>
          <w:szCs w:val="20"/>
        </w:rPr>
        <w:t xml:space="preserve">redução em mais de R$ </w:t>
      </w:r>
      <w:r w:rsidR="00C747A4">
        <w:rPr>
          <w:rFonts w:ascii="Arial" w:eastAsia="Arial Unicode MS" w:hAnsi="Arial" w:cs="Arial"/>
          <w:sz w:val="20"/>
          <w:szCs w:val="20"/>
        </w:rPr>
        <w:t>412</w:t>
      </w:r>
      <w:r w:rsidR="00D43CA1">
        <w:rPr>
          <w:rFonts w:ascii="Arial" w:eastAsia="Arial Unicode MS" w:hAnsi="Arial" w:cs="Arial"/>
          <w:sz w:val="20"/>
          <w:szCs w:val="20"/>
        </w:rPr>
        <w:t xml:space="preserve"> mil na </w:t>
      </w:r>
      <w:r w:rsidRPr="0034064D">
        <w:rPr>
          <w:rFonts w:ascii="Arial" w:eastAsia="Arial Unicode MS" w:hAnsi="Arial" w:cs="Arial"/>
          <w:sz w:val="20"/>
          <w:szCs w:val="20"/>
        </w:rPr>
        <w:t xml:space="preserve">arrecadação </w:t>
      </w:r>
      <w:r>
        <w:rPr>
          <w:rFonts w:ascii="Arial" w:eastAsia="Arial Unicode MS" w:hAnsi="Arial" w:cs="Arial"/>
          <w:sz w:val="20"/>
          <w:szCs w:val="20"/>
        </w:rPr>
        <w:t xml:space="preserve">de Receita </w:t>
      </w:r>
      <w:r w:rsidR="00D43CA1">
        <w:rPr>
          <w:rFonts w:ascii="Arial" w:eastAsia="Arial Unicode MS" w:hAnsi="Arial" w:cs="Arial"/>
          <w:sz w:val="20"/>
          <w:szCs w:val="20"/>
        </w:rPr>
        <w:t>d</w:t>
      </w:r>
      <w:r>
        <w:rPr>
          <w:rFonts w:ascii="Arial" w:eastAsia="Arial Unicode MS" w:hAnsi="Arial" w:cs="Arial"/>
          <w:sz w:val="20"/>
          <w:szCs w:val="20"/>
        </w:rPr>
        <w:t xml:space="preserve">e Serviços, </w:t>
      </w:r>
      <w:r w:rsidR="00D43CA1">
        <w:rPr>
          <w:rFonts w:ascii="Arial" w:eastAsia="Arial Unicode MS" w:hAnsi="Arial" w:cs="Arial"/>
          <w:sz w:val="20"/>
          <w:szCs w:val="20"/>
        </w:rPr>
        <w:t>que no mesmo período do exercício anterior foi fomentada pela arrecadação receitas decorrentes de inscrições em concursos e processos seletivos, recolhidos pela FAURGS</w:t>
      </w:r>
      <w:r w:rsidR="00742ADB">
        <w:rPr>
          <w:rFonts w:ascii="Arial" w:eastAsia="Arial Unicode MS" w:hAnsi="Arial" w:cs="Arial"/>
          <w:sz w:val="20"/>
          <w:szCs w:val="20"/>
        </w:rPr>
        <w:t xml:space="preserve">, o que praticamente não ocorreu no exercício corrente, e receitas de serviços administrativos, </w:t>
      </w:r>
      <w:r w:rsidR="00D43CA1">
        <w:rPr>
          <w:rFonts w:ascii="Arial" w:eastAsia="Arial Unicode MS" w:hAnsi="Arial" w:cs="Arial"/>
          <w:sz w:val="20"/>
          <w:szCs w:val="20"/>
        </w:rPr>
        <w:t xml:space="preserve"> </w:t>
      </w:r>
      <w:r w:rsidR="00742ADB">
        <w:rPr>
          <w:rFonts w:ascii="Arial" w:eastAsia="Arial Unicode MS" w:hAnsi="Arial" w:cs="Arial"/>
          <w:sz w:val="20"/>
          <w:szCs w:val="20"/>
        </w:rPr>
        <w:t xml:space="preserve">onde houve arrecadação com </w:t>
      </w:r>
      <w:r w:rsidR="003F341A">
        <w:rPr>
          <w:rFonts w:ascii="Arial" w:eastAsia="Arial Unicode MS" w:hAnsi="Arial" w:cs="Arial"/>
          <w:sz w:val="20"/>
          <w:szCs w:val="20"/>
        </w:rPr>
        <w:t>grande</w:t>
      </w:r>
      <w:r w:rsidR="00742ADB">
        <w:rPr>
          <w:rFonts w:ascii="Arial" w:eastAsia="Arial Unicode MS" w:hAnsi="Arial" w:cs="Arial"/>
          <w:sz w:val="20"/>
          <w:szCs w:val="20"/>
        </w:rPr>
        <w:t xml:space="preserve"> queda</w:t>
      </w:r>
      <w:r w:rsidR="003F341A">
        <w:rPr>
          <w:rFonts w:ascii="Arial" w:eastAsia="Arial Unicode MS" w:hAnsi="Arial" w:cs="Arial"/>
          <w:sz w:val="20"/>
          <w:szCs w:val="20"/>
        </w:rPr>
        <w:t>.</w:t>
      </w:r>
      <w:r w:rsidR="00D43CA1">
        <w:rPr>
          <w:rFonts w:ascii="Arial" w:eastAsia="Arial Unicode MS" w:hAnsi="Arial" w:cs="Arial"/>
          <w:sz w:val="20"/>
          <w:szCs w:val="20"/>
        </w:rPr>
        <w:t xml:space="preserve"> </w:t>
      </w:r>
    </w:p>
    <w:p w14:paraId="31524D48" w14:textId="4BC070B8"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Conforme evidenciado na tabela anterior, cerca de </w:t>
      </w:r>
      <w:r w:rsidR="003F341A">
        <w:rPr>
          <w:rFonts w:ascii="Arial" w:eastAsia="Arial Unicode MS" w:hAnsi="Arial" w:cs="Arial"/>
          <w:sz w:val="20"/>
          <w:szCs w:val="20"/>
        </w:rPr>
        <w:t>82</w:t>
      </w:r>
      <w:r w:rsidRPr="00150CBC">
        <w:rPr>
          <w:rFonts w:ascii="Arial" w:eastAsia="Arial Unicode MS" w:hAnsi="Arial" w:cs="Arial"/>
          <w:sz w:val="20"/>
          <w:szCs w:val="20"/>
        </w:rPr>
        <w:t>%</w:t>
      </w:r>
      <w:r w:rsidRPr="0034064D">
        <w:rPr>
          <w:rFonts w:ascii="Arial" w:eastAsia="Arial Unicode MS" w:hAnsi="Arial" w:cs="Arial"/>
          <w:sz w:val="20"/>
          <w:szCs w:val="20"/>
        </w:rPr>
        <w:t xml:space="preserve"> das receitas arrecadadas até o </w:t>
      </w:r>
      <w:r w:rsidR="003F341A">
        <w:rPr>
          <w:rFonts w:ascii="Arial" w:eastAsia="Arial Unicode MS" w:hAnsi="Arial" w:cs="Arial"/>
          <w:sz w:val="20"/>
          <w:szCs w:val="20"/>
        </w:rPr>
        <w:t>terceiro</w:t>
      </w:r>
      <w:r w:rsidRPr="0034064D">
        <w:rPr>
          <w:rFonts w:ascii="Arial" w:eastAsia="Arial Unicode MS" w:hAnsi="Arial" w:cs="Arial"/>
          <w:sz w:val="20"/>
          <w:szCs w:val="20"/>
        </w:rPr>
        <w:t xml:space="preserve"> trimestre de 20</w:t>
      </w:r>
      <w:r w:rsidR="00D43CA1">
        <w:rPr>
          <w:rFonts w:ascii="Arial" w:eastAsia="Arial Unicode MS" w:hAnsi="Arial" w:cs="Arial"/>
          <w:sz w:val="20"/>
          <w:szCs w:val="20"/>
        </w:rPr>
        <w:t>20</w:t>
      </w:r>
      <w:r w:rsidRPr="0034064D">
        <w:rPr>
          <w:rFonts w:ascii="Arial" w:eastAsia="Arial Unicode MS" w:hAnsi="Arial" w:cs="Arial"/>
          <w:sz w:val="20"/>
          <w:szCs w:val="20"/>
        </w:rPr>
        <w:t xml:space="preserve">, ou seja, </w:t>
      </w:r>
      <w:r w:rsidRPr="00150CBC">
        <w:rPr>
          <w:rFonts w:ascii="Arial" w:eastAsia="Arial Unicode MS" w:hAnsi="Arial" w:cs="Arial"/>
          <w:sz w:val="20"/>
          <w:szCs w:val="20"/>
        </w:rPr>
        <w:t xml:space="preserve">R$ </w:t>
      </w:r>
      <w:r w:rsidR="003F341A">
        <w:rPr>
          <w:rFonts w:ascii="Arial" w:eastAsia="Arial Unicode MS" w:hAnsi="Arial" w:cs="Arial"/>
          <w:sz w:val="20"/>
          <w:szCs w:val="20"/>
        </w:rPr>
        <w:t>543</w:t>
      </w:r>
      <w:r w:rsidR="00D43CA1">
        <w:rPr>
          <w:rFonts w:ascii="Arial" w:eastAsia="Arial Unicode MS" w:hAnsi="Arial" w:cs="Arial"/>
          <w:sz w:val="20"/>
          <w:szCs w:val="20"/>
        </w:rPr>
        <w:t xml:space="preserve"> </w:t>
      </w:r>
      <w:r w:rsidRPr="00150CBC">
        <w:rPr>
          <w:rFonts w:ascii="Arial" w:eastAsia="Arial Unicode MS" w:hAnsi="Arial" w:cs="Arial"/>
          <w:sz w:val="20"/>
          <w:szCs w:val="20"/>
        </w:rPr>
        <w:t>mil</w:t>
      </w:r>
      <w:r w:rsidRPr="0034064D">
        <w:rPr>
          <w:rFonts w:ascii="Arial" w:eastAsia="Arial Unicode MS" w:hAnsi="Arial" w:cs="Arial"/>
          <w:sz w:val="20"/>
          <w:szCs w:val="20"/>
        </w:rPr>
        <w:t>, refere-se à re</w:t>
      </w:r>
      <w:r>
        <w:rPr>
          <w:rFonts w:ascii="Arial" w:eastAsia="Arial Unicode MS" w:hAnsi="Arial" w:cs="Arial"/>
          <w:sz w:val="20"/>
          <w:szCs w:val="20"/>
        </w:rPr>
        <w:t xml:space="preserve">alização de Receita </w:t>
      </w:r>
      <w:r w:rsidR="00D43CA1">
        <w:rPr>
          <w:rFonts w:ascii="Arial" w:eastAsia="Arial Unicode MS" w:hAnsi="Arial" w:cs="Arial"/>
          <w:sz w:val="20"/>
          <w:szCs w:val="20"/>
        </w:rPr>
        <w:t xml:space="preserve">Agropecuária relativa </w:t>
      </w:r>
      <w:r w:rsidR="000831F3">
        <w:rPr>
          <w:rFonts w:ascii="Arial" w:eastAsia="Arial Unicode MS" w:hAnsi="Arial" w:cs="Arial"/>
          <w:sz w:val="20"/>
          <w:szCs w:val="20"/>
        </w:rPr>
        <w:t>a receitas da produção vegetal e produção animal</w:t>
      </w:r>
      <w:r w:rsidR="008F080C">
        <w:rPr>
          <w:rFonts w:ascii="Arial" w:eastAsia="Arial Unicode MS" w:hAnsi="Arial" w:cs="Arial"/>
          <w:sz w:val="20"/>
          <w:szCs w:val="20"/>
        </w:rPr>
        <w:t xml:space="preserve"> e derivados</w:t>
      </w:r>
      <w:r w:rsidR="000831F3">
        <w:rPr>
          <w:rFonts w:ascii="Arial" w:eastAsia="Arial Unicode MS" w:hAnsi="Arial" w:cs="Arial"/>
          <w:sz w:val="20"/>
          <w:szCs w:val="20"/>
        </w:rPr>
        <w:t>.</w:t>
      </w:r>
    </w:p>
    <w:p w14:paraId="3D6B9534" w14:textId="67D99523"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Pela tabela anterior, pode ser percebido que, até o </w:t>
      </w:r>
      <w:r w:rsidR="003F341A">
        <w:rPr>
          <w:rFonts w:ascii="Arial" w:eastAsia="Arial Unicode MS" w:hAnsi="Arial" w:cs="Arial"/>
          <w:sz w:val="20"/>
          <w:szCs w:val="20"/>
        </w:rPr>
        <w:t>terceiro</w:t>
      </w:r>
      <w:r w:rsidRPr="0034064D">
        <w:rPr>
          <w:rFonts w:ascii="Arial" w:eastAsia="Arial Unicode MS" w:hAnsi="Arial" w:cs="Arial"/>
          <w:sz w:val="20"/>
          <w:szCs w:val="20"/>
        </w:rPr>
        <w:t xml:space="preserve"> trimestre de 20</w:t>
      </w:r>
      <w:r w:rsidR="008F080C">
        <w:rPr>
          <w:rFonts w:ascii="Arial" w:eastAsia="Arial Unicode MS" w:hAnsi="Arial" w:cs="Arial"/>
          <w:sz w:val="20"/>
          <w:szCs w:val="20"/>
        </w:rPr>
        <w:t>20</w:t>
      </w:r>
      <w:r>
        <w:rPr>
          <w:rFonts w:ascii="Arial" w:eastAsia="Arial Unicode MS" w:hAnsi="Arial" w:cs="Arial"/>
          <w:sz w:val="20"/>
          <w:szCs w:val="20"/>
        </w:rPr>
        <w:t>, a arrecadação da</w:t>
      </w:r>
      <w:r w:rsidRPr="0034064D">
        <w:rPr>
          <w:rFonts w:ascii="Arial" w:eastAsia="Arial Unicode MS" w:hAnsi="Arial" w:cs="Arial"/>
          <w:sz w:val="20"/>
          <w:szCs w:val="20"/>
        </w:rPr>
        <w:t xml:space="preserve"> Receita </w:t>
      </w:r>
      <w:r>
        <w:rPr>
          <w:rFonts w:ascii="Arial" w:eastAsia="Arial Unicode MS" w:hAnsi="Arial" w:cs="Arial"/>
          <w:sz w:val="20"/>
          <w:szCs w:val="20"/>
        </w:rPr>
        <w:t xml:space="preserve">de Serviços </w:t>
      </w:r>
      <w:r w:rsidR="008F080C">
        <w:rPr>
          <w:rFonts w:ascii="Arial" w:eastAsia="Arial Unicode MS" w:hAnsi="Arial" w:cs="Arial"/>
          <w:sz w:val="20"/>
          <w:szCs w:val="20"/>
        </w:rPr>
        <w:t>decresceu</w:t>
      </w:r>
      <w:r w:rsidRPr="0034064D">
        <w:rPr>
          <w:rFonts w:ascii="Arial" w:eastAsia="Arial Unicode MS" w:hAnsi="Arial" w:cs="Arial"/>
          <w:sz w:val="20"/>
          <w:szCs w:val="20"/>
        </w:rPr>
        <w:t xml:space="preserve"> em cerca de </w:t>
      </w:r>
      <w:r w:rsidRPr="00150CBC">
        <w:rPr>
          <w:rFonts w:ascii="Arial" w:eastAsia="Arial Unicode MS" w:hAnsi="Arial" w:cs="Arial"/>
          <w:sz w:val="20"/>
          <w:szCs w:val="20"/>
        </w:rPr>
        <w:t xml:space="preserve">R$ </w:t>
      </w:r>
      <w:r w:rsidR="003F341A">
        <w:rPr>
          <w:rFonts w:ascii="Arial" w:eastAsia="Arial Unicode MS" w:hAnsi="Arial" w:cs="Arial"/>
          <w:sz w:val="20"/>
          <w:szCs w:val="20"/>
        </w:rPr>
        <w:t>412</w:t>
      </w:r>
      <w:r w:rsidRPr="00150CBC">
        <w:rPr>
          <w:rFonts w:ascii="Arial" w:eastAsia="Arial Unicode MS" w:hAnsi="Arial" w:cs="Arial"/>
          <w:sz w:val="20"/>
          <w:szCs w:val="20"/>
        </w:rPr>
        <w:t xml:space="preserve"> mil </w:t>
      </w:r>
      <w:r w:rsidRPr="0034064D">
        <w:rPr>
          <w:rFonts w:ascii="Arial" w:eastAsia="Arial Unicode MS" w:hAnsi="Arial" w:cs="Arial"/>
          <w:sz w:val="20"/>
          <w:szCs w:val="20"/>
        </w:rPr>
        <w:t>em relação ao mesmo período de 201</w:t>
      </w:r>
      <w:r w:rsidR="008F080C">
        <w:rPr>
          <w:rFonts w:ascii="Arial" w:eastAsia="Arial Unicode MS" w:hAnsi="Arial" w:cs="Arial"/>
          <w:sz w:val="20"/>
          <w:szCs w:val="20"/>
        </w:rPr>
        <w:t>9</w:t>
      </w:r>
      <w:r w:rsidRPr="0034064D">
        <w:rPr>
          <w:rFonts w:ascii="Arial" w:eastAsia="Arial Unicode MS" w:hAnsi="Arial" w:cs="Arial"/>
          <w:sz w:val="20"/>
          <w:szCs w:val="20"/>
        </w:rPr>
        <w:t xml:space="preserve">, </w:t>
      </w:r>
      <w:r w:rsidR="008F080C">
        <w:rPr>
          <w:rFonts w:ascii="Arial" w:eastAsia="Arial Unicode MS" w:hAnsi="Arial" w:cs="Arial"/>
          <w:sz w:val="20"/>
          <w:szCs w:val="20"/>
        </w:rPr>
        <w:t xml:space="preserve">mesmo assim corresponde a segunda maior arrecadação do IFRS, representando </w:t>
      </w:r>
      <w:r w:rsidRPr="0034064D">
        <w:rPr>
          <w:rFonts w:ascii="Arial" w:eastAsia="Arial Unicode MS" w:hAnsi="Arial" w:cs="Arial"/>
          <w:sz w:val="20"/>
          <w:szCs w:val="20"/>
        </w:rPr>
        <w:t xml:space="preserve">aproximadamente </w:t>
      </w:r>
      <w:r w:rsidR="003F341A">
        <w:rPr>
          <w:rFonts w:ascii="Arial" w:eastAsia="Arial Unicode MS" w:hAnsi="Arial" w:cs="Arial"/>
          <w:sz w:val="20"/>
          <w:szCs w:val="20"/>
        </w:rPr>
        <w:t>7</w:t>
      </w:r>
      <w:r w:rsidRPr="00150CBC">
        <w:rPr>
          <w:rFonts w:ascii="Arial" w:eastAsia="Arial Unicode MS" w:hAnsi="Arial" w:cs="Arial"/>
          <w:sz w:val="20"/>
          <w:szCs w:val="20"/>
        </w:rPr>
        <w:t>%</w:t>
      </w:r>
      <w:r>
        <w:rPr>
          <w:rFonts w:ascii="Arial" w:eastAsia="Arial Unicode MS" w:hAnsi="Arial" w:cs="Arial"/>
          <w:sz w:val="20"/>
          <w:szCs w:val="20"/>
        </w:rPr>
        <w:t xml:space="preserve"> </w:t>
      </w:r>
      <w:r w:rsidR="008F080C">
        <w:rPr>
          <w:rFonts w:ascii="Arial" w:eastAsia="Arial Unicode MS" w:hAnsi="Arial" w:cs="Arial"/>
          <w:sz w:val="20"/>
          <w:szCs w:val="20"/>
        </w:rPr>
        <w:t>da arrecadação total</w:t>
      </w:r>
      <w:r>
        <w:rPr>
          <w:rFonts w:ascii="Arial" w:eastAsia="Arial Unicode MS" w:hAnsi="Arial" w:cs="Arial"/>
          <w:sz w:val="20"/>
          <w:szCs w:val="20"/>
        </w:rPr>
        <w:t xml:space="preserve">. </w:t>
      </w:r>
    </w:p>
    <w:p w14:paraId="6347C1C2" w14:textId="5D9BA0B7"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Na tabela a seguir, é evidenciada a composição da arrecadação de Receita </w:t>
      </w:r>
      <w:r w:rsidR="008F080C">
        <w:rPr>
          <w:rFonts w:ascii="Arial" w:eastAsia="Arial Unicode MS" w:hAnsi="Arial" w:cs="Arial"/>
          <w:sz w:val="20"/>
          <w:szCs w:val="20"/>
        </w:rPr>
        <w:t>Agropecuária e de Serviços</w:t>
      </w:r>
      <w:r w:rsidRPr="0034064D">
        <w:rPr>
          <w:rFonts w:ascii="Arial" w:eastAsia="Arial Unicode MS" w:hAnsi="Arial" w:cs="Arial"/>
          <w:sz w:val="20"/>
          <w:szCs w:val="20"/>
        </w:rPr>
        <w:t>, tendo como base os fatos geradores desta arrecadação.</w:t>
      </w:r>
      <w:r w:rsidR="008F080C">
        <w:rPr>
          <w:rFonts w:ascii="Arial" w:eastAsia="Arial Unicode MS" w:hAnsi="Arial" w:cs="Arial"/>
          <w:sz w:val="20"/>
          <w:szCs w:val="20"/>
        </w:rPr>
        <w:t xml:space="preserve"> </w:t>
      </w:r>
    </w:p>
    <w:p w14:paraId="367178E7" w14:textId="79C0199F" w:rsidR="00EF68AF" w:rsidRDefault="00EF68AF" w:rsidP="00FA50D8">
      <w:pPr>
        <w:spacing w:after="40"/>
        <w:rPr>
          <w:rFonts w:ascii="Arial" w:eastAsia="Arial Unicode MS" w:hAnsi="Arial" w:cs="Arial"/>
          <w:sz w:val="20"/>
          <w:szCs w:val="20"/>
        </w:rPr>
      </w:pPr>
      <w:r w:rsidRPr="00EF68AF">
        <w:rPr>
          <w:rFonts w:ascii="Arial" w:eastAsia="Arial Unicode MS" w:hAnsi="Arial" w:cs="Arial"/>
          <w:noProof/>
          <w:sz w:val="20"/>
          <w:szCs w:val="20"/>
        </w:rPr>
        <w:lastRenderedPageBreak/>
        <w:drawing>
          <wp:inline distT="0" distB="0" distL="0" distR="0" wp14:anchorId="42247927" wp14:editId="3A32109E">
            <wp:extent cx="5354955" cy="1609090"/>
            <wp:effectExtent l="0" t="0" r="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4955" cy="1609090"/>
                    </a:xfrm>
                    <a:prstGeom prst="rect">
                      <a:avLst/>
                    </a:prstGeom>
                    <a:noFill/>
                    <a:ln>
                      <a:noFill/>
                    </a:ln>
                  </pic:spPr>
                </pic:pic>
              </a:graphicData>
            </a:graphic>
          </wp:inline>
        </w:drawing>
      </w:r>
    </w:p>
    <w:p w14:paraId="59A3F434" w14:textId="501D454B" w:rsidR="00EF68AF" w:rsidRDefault="00EF68AF" w:rsidP="00FA50D8">
      <w:pPr>
        <w:spacing w:after="40"/>
        <w:rPr>
          <w:rFonts w:ascii="Arial" w:eastAsia="Arial Unicode MS" w:hAnsi="Arial" w:cs="Arial"/>
          <w:sz w:val="20"/>
          <w:szCs w:val="20"/>
        </w:rPr>
      </w:pPr>
      <w:r w:rsidRPr="00EF68AF">
        <w:rPr>
          <w:rFonts w:ascii="Arial" w:eastAsia="Arial Unicode MS" w:hAnsi="Arial" w:cs="Arial"/>
          <w:noProof/>
          <w:sz w:val="20"/>
          <w:szCs w:val="20"/>
        </w:rPr>
        <w:drawing>
          <wp:inline distT="0" distB="0" distL="0" distR="0" wp14:anchorId="3E8EC38A" wp14:editId="2C3032E5">
            <wp:extent cx="5354955" cy="1836420"/>
            <wp:effectExtent l="0" t="0" r="0" b="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54955" cy="1836420"/>
                    </a:xfrm>
                    <a:prstGeom prst="rect">
                      <a:avLst/>
                    </a:prstGeom>
                    <a:noFill/>
                    <a:ln>
                      <a:noFill/>
                    </a:ln>
                  </pic:spPr>
                </pic:pic>
              </a:graphicData>
            </a:graphic>
          </wp:inline>
        </w:drawing>
      </w:r>
    </w:p>
    <w:p w14:paraId="5C85599F" w14:textId="77777777" w:rsidR="00CD73D6" w:rsidRDefault="00CD73D6" w:rsidP="00FA50D8">
      <w:pPr>
        <w:spacing w:after="40"/>
        <w:rPr>
          <w:rFonts w:ascii="Arial" w:eastAsia="Arial Unicode MS" w:hAnsi="Arial" w:cs="Arial"/>
          <w:b/>
          <w:sz w:val="20"/>
          <w:szCs w:val="20"/>
        </w:rPr>
      </w:pPr>
    </w:p>
    <w:p w14:paraId="5EF17D15" w14:textId="50CCD146" w:rsidR="00FA50D8" w:rsidRPr="00150CBC" w:rsidRDefault="00FA50D8" w:rsidP="00FA50D8">
      <w:pPr>
        <w:spacing w:after="40"/>
        <w:rPr>
          <w:rFonts w:ascii="Arial" w:eastAsia="Arial Unicode MS" w:hAnsi="Arial" w:cs="Arial"/>
          <w:b/>
          <w:sz w:val="20"/>
          <w:szCs w:val="20"/>
        </w:rPr>
      </w:pPr>
      <w:r w:rsidRPr="00150CBC">
        <w:rPr>
          <w:rFonts w:ascii="Arial" w:eastAsia="Arial Unicode MS" w:hAnsi="Arial" w:cs="Arial"/>
          <w:b/>
          <w:sz w:val="20"/>
          <w:szCs w:val="20"/>
        </w:rPr>
        <w:t>Despesas</w:t>
      </w:r>
    </w:p>
    <w:p w14:paraId="71587F52"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Como explanado anteriormente, o resultado orçamentário é a diferença entre as receitas arrecadadas e as despesas legalmente empenhadas no período, tendo em vista critério estabelecido pelo art. 35 da Lei nº 4.320/1964.</w:t>
      </w:r>
    </w:p>
    <w:p w14:paraId="6B194DD2"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De acordo com o art. 58 daquela Lei, empenho da despesa é o ato emanado de autoridade competente que cria para o Estado obrigação de pagamento pendente ou não de implemento de condição.</w:t>
      </w:r>
    </w:p>
    <w:p w14:paraId="44CB53D2"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Nesta fase da execução da despesa pública ainda não é possível afirmar se a despesa foi efetivamente realizada, ou seja, não há condições de asseverar se o bem ou material adquirido foi entregue pelo seu fornecedor ou se o serviço contratado foi efetivamente prestado pelo contratado.</w:t>
      </w:r>
    </w:p>
    <w:p w14:paraId="475B73BC" w14:textId="77777777" w:rsidR="00FA50D8" w:rsidRPr="0034064D"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Nesta etapa é possível asseverar apenas que os recursos consignados na Lei Orçamentária Anual estão reservados, assegurados para a realização de alguma finalidade pública, tendo como executante determinado fornecedor de bens e serviços demandados pela Administração Pública, nominalmente identificados.</w:t>
      </w:r>
    </w:p>
    <w:p w14:paraId="1A73C1F9" w14:textId="6CC51AE4" w:rsidR="00FA50D8" w:rsidRPr="0034064D" w:rsidRDefault="005D44DB" w:rsidP="00FA50D8">
      <w:pPr>
        <w:spacing w:after="40"/>
        <w:rPr>
          <w:rFonts w:ascii="Arial" w:eastAsia="Arial Unicode MS" w:hAnsi="Arial" w:cs="Arial"/>
          <w:sz w:val="20"/>
          <w:szCs w:val="20"/>
        </w:rPr>
      </w:pPr>
      <w:r>
        <w:rPr>
          <w:rFonts w:ascii="Arial" w:eastAsia="Arial Unicode MS" w:hAnsi="Arial" w:cs="Arial"/>
          <w:sz w:val="20"/>
          <w:szCs w:val="20"/>
        </w:rPr>
        <w:t>O</w:t>
      </w:r>
      <w:r w:rsidR="00FA50D8" w:rsidRPr="0034064D">
        <w:rPr>
          <w:rFonts w:ascii="Arial" w:eastAsia="Arial Unicode MS" w:hAnsi="Arial" w:cs="Arial"/>
          <w:sz w:val="20"/>
          <w:szCs w:val="20"/>
        </w:rPr>
        <w:t xml:space="preserve"> empenho de despesas no período em análise montou a quantia aproximada de R$ </w:t>
      </w:r>
      <w:r w:rsidR="007344C6">
        <w:rPr>
          <w:rFonts w:ascii="Arial" w:eastAsia="Arial Unicode MS" w:hAnsi="Arial" w:cs="Arial"/>
          <w:sz w:val="20"/>
          <w:szCs w:val="20"/>
        </w:rPr>
        <w:t>440</w:t>
      </w:r>
      <w:r w:rsidR="00FA50D8" w:rsidRPr="0034064D">
        <w:rPr>
          <w:rFonts w:ascii="Arial" w:eastAsia="Arial Unicode MS" w:hAnsi="Arial" w:cs="Arial"/>
          <w:sz w:val="20"/>
          <w:szCs w:val="20"/>
        </w:rPr>
        <w:t xml:space="preserve"> milhões, enquanto que no mesmo período de 201</w:t>
      </w:r>
      <w:r w:rsidR="007F1A7C">
        <w:rPr>
          <w:rFonts w:ascii="Arial" w:eastAsia="Arial Unicode MS" w:hAnsi="Arial" w:cs="Arial"/>
          <w:sz w:val="20"/>
          <w:szCs w:val="20"/>
        </w:rPr>
        <w:t>9</w:t>
      </w:r>
      <w:r w:rsidR="00FA50D8" w:rsidRPr="0034064D">
        <w:rPr>
          <w:rFonts w:ascii="Arial" w:eastAsia="Arial Unicode MS" w:hAnsi="Arial" w:cs="Arial"/>
          <w:sz w:val="20"/>
          <w:szCs w:val="20"/>
        </w:rPr>
        <w:t xml:space="preserve">, tal fase da execução da despesa pública montou a cifra de R$ </w:t>
      </w:r>
      <w:r w:rsidR="007344C6">
        <w:rPr>
          <w:rFonts w:ascii="Arial" w:eastAsia="Arial Unicode MS" w:hAnsi="Arial" w:cs="Arial"/>
          <w:sz w:val="20"/>
          <w:szCs w:val="20"/>
        </w:rPr>
        <w:t>412</w:t>
      </w:r>
      <w:r w:rsidR="00FA50D8" w:rsidRPr="0034064D">
        <w:rPr>
          <w:rFonts w:ascii="Arial" w:eastAsia="Arial Unicode MS" w:hAnsi="Arial" w:cs="Arial"/>
          <w:sz w:val="20"/>
          <w:szCs w:val="20"/>
        </w:rPr>
        <w:t xml:space="preserve"> milhões.</w:t>
      </w:r>
    </w:p>
    <w:p w14:paraId="65E53CA7" w14:textId="4A37BBDA" w:rsidR="00FA50D8" w:rsidRDefault="00FA50D8" w:rsidP="00FA50D8">
      <w:pPr>
        <w:spacing w:after="40"/>
        <w:rPr>
          <w:rFonts w:ascii="Arial" w:eastAsia="Arial Unicode MS" w:hAnsi="Arial" w:cs="Arial"/>
          <w:sz w:val="20"/>
          <w:szCs w:val="20"/>
        </w:rPr>
      </w:pPr>
      <w:r>
        <w:rPr>
          <w:rFonts w:ascii="Arial" w:eastAsia="Arial Unicode MS" w:hAnsi="Arial" w:cs="Arial"/>
          <w:sz w:val="20"/>
          <w:szCs w:val="20"/>
        </w:rPr>
        <w:t xml:space="preserve">As despesas correntes representam </w:t>
      </w:r>
      <w:r w:rsidR="00FD0FE9">
        <w:rPr>
          <w:rFonts w:ascii="Arial" w:eastAsia="Arial Unicode MS" w:hAnsi="Arial" w:cs="Arial"/>
          <w:sz w:val="20"/>
          <w:szCs w:val="20"/>
        </w:rPr>
        <w:t>99</w:t>
      </w:r>
      <w:r>
        <w:rPr>
          <w:rFonts w:ascii="Arial" w:eastAsia="Arial Unicode MS" w:hAnsi="Arial" w:cs="Arial"/>
          <w:sz w:val="20"/>
          <w:szCs w:val="20"/>
        </w:rPr>
        <w:t>% do montante empenhado no exercício</w:t>
      </w:r>
      <w:r w:rsidR="007F1A7C">
        <w:rPr>
          <w:rFonts w:ascii="Arial" w:eastAsia="Arial Unicode MS" w:hAnsi="Arial" w:cs="Arial"/>
          <w:sz w:val="20"/>
          <w:szCs w:val="20"/>
        </w:rPr>
        <w:t>, em razão de que não houve a liberação de recursos de limite orçamentário para investimentos no período.</w:t>
      </w:r>
    </w:p>
    <w:p w14:paraId="0CBAF9E5" w14:textId="72F70867" w:rsidR="007344C6" w:rsidRDefault="007344C6" w:rsidP="00FA50D8">
      <w:pPr>
        <w:spacing w:after="40"/>
        <w:rPr>
          <w:rFonts w:ascii="Arial" w:eastAsia="Arial Unicode MS" w:hAnsi="Arial" w:cs="Arial"/>
          <w:sz w:val="20"/>
          <w:szCs w:val="20"/>
        </w:rPr>
      </w:pPr>
      <w:r w:rsidRPr="007344C6">
        <w:rPr>
          <w:rFonts w:ascii="Arial" w:eastAsia="Arial Unicode MS" w:hAnsi="Arial" w:cs="Arial"/>
          <w:noProof/>
          <w:sz w:val="20"/>
          <w:szCs w:val="20"/>
        </w:rPr>
        <w:drawing>
          <wp:inline distT="0" distB="0" distL="0" distR="0" wp14:anchorId="5B0DF5DB" wp14:editId="28843521">
            <wp:extent cx="5354955" cy="1609090"/>
            <wp:effectExtent l="0" t="0" r="0" b="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54955" cy="1609090"/>
                    </a:xfrm>
                    <a:prstGeom prst="rect">
                      <a:avLst/>
                    </a:prstGeom>
                    <a:noFill/>
                    <a:ln>
                      <a:noFill/>
                    </a:ln>
                  </pic:spPr>
                </pic:pic>
              </a:graphicData>
            </a:graphic>
          </wp:inline>
        </w:drawing>
      </w:r>
    </w:p>
    <w:p w14:paraId="72AA834A" w14:textId="7141E7F4" w:rsidR="00FA50D8" w:rsidRDefault="00FA50D8" w:rsidP="00FA50D8">
      <w:pPr>
        <w:spacing w:after="40"/>
        <w:rPr>
          <w:rFonts w:ascii="Arial" w:eastAsia="Arial Unicode MS" w:hAnsi="Arial" w:cs="Arial"/>
          <w:sz w:val="20"/>
          <w:szCs w:val="20"/>
        </w:rPr>
      </w:pPr>
    </w:p>
    <w:p w14:paraId="127BA15A" w14:textId="635C1734"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 xml:space="preserve">As despesas correntes empenhadas com maior preponderância no universo da referida categoria econômica referem-se ao grupo de natureza da despesa intitulado “Pessoal e Encargos Sociais”, o qual montou a quantia aproximada de </w:t>
      </w:r>
      <w:r w:rsidRPr="00D27F5A">
        <w:rPr>
          <w:rFonts w:ascii="Arial" w:eastAsia="Arial Unicode MS" w:hAnsi="Arial" w:cs="Arial"/>
          <w:sz w:val="20"/>
          <w:szCs w:val="20"/>
        </w:rPr>
        <w:t xml:space="preserve">R$ </w:t>
      </w:r>
      <w:r w:rsidR="007344C6">
        <w:rPr>
          <w:rFonts w:ascii="Arial" w:eastAsia="Arial Unicode MS" w:hAnsi="Arial" w:cs="Arial"/>
          <w:sz w:val="20"/>
          <w:szCs w:val="20"/>
        </w:rPr>
        <w:t>376</w:t>
      </w:r>
      <w:r w:rsidR="008E1C59">
        <w:rPr>
          <w:rFonts w:ascii="Arial" w:eastAsia="Arial Unicode MS" w:hAnsi="Arial" w:cs="Arial"/>
          <w:sz w:val="20"/>
          <w:szCs w:val="20"/>
        </w:rPr>
        <w:t xml:space="preserve"> </w:t>
      </w:r>
      <w:r w:rsidRPr="00D27F5A">
        <w:rPr>
          <w:rFonts w:ascii="Arial" w:eastAsia="Arial Unicode MS" w:hAnsi="Arial" w:cs="Arial"/>
          <w:sz w:val="20"/>
          <w:szCs w:val="20"/>
        </w:rPr>
        <w:t>milhões</w:t>
      </w:r>
      <w:r w:rsidRPr="0034064D">
        <w:rPr>
          <w:rFonts w:ascii="Arial" w:eastAsia="Arial Unicode MS" w:hAnsi="Arial" w:cs="Arial"/>
          <w:sz w:val="20"/>
          <w:szCs w:val="20"/>
        </w:rPr>
        <w:t>.</w:t>
      </w:r>
    </w:p>
    <w:p w14:paraId="1453F974" w14:textId="650A71DC" w:rsidR="00FA50D8" w:rsidRDefault="00FA50D8" w:rsidP="00FA50D8">
      <w:pPr>
        <w:spacing w:after="40"/>
        <w:rPr>
          <w:rFonts w:ascii="Arial" w:eastAsia="Arial Unicode MS" w:hAnsi="Arial" w:cs="Arial"/>
          <w:sz w:val="20"/>
          <w:szCs w:val="20"/>
        </w:rPr>
      </w:pPr>
      <w:r w:rsidRPr="0034064D">
        <w:rPr>
          <w:rFonts w:ascii="Arial" w:eastAsia="Arial Unicode MS" w:hAnsi="Arial" w:cs="Arial"/>
          <w:sz w:val="20"/>
          <w:szCs w:val="20"/>
        </w:rPr>
        <w:t>Segundo informações extraídas do SIAFI, o grupo de natureza da despesa “Pessoal e Encargos Sociais” é constituído dos seguintes elementos de despesa:</w:t>
      </w:r>
    </w:p>
    <w:p w14:paraId="5CBEE355" w14:textId="1463F732" w:rsidR="0028512D" w:rsidRDefault="0028512D" w:rsidP="00FA50D8">
      <w:pPr>
        <w:spacing w:after="40"/>
        <w:rPr>
          <w:rFonts w:ascii="Arial" w:eastAsia="Arial Unicode MS" w:hAnsi="Arial" w:cs="Arial"/>
          <w:sz w:val="20"/>
          <w:szCs w:val="20"/>
        </w:rPr>
      </w:pPr>
      <w:r w:rsidRPr="0028512D">
        <w:rPr>
          <w:rFonts w:ascii="Arial" w:eastAsia="Arial Unicode MS" w:hAnsi="Arial" w:cs="Arial"/>
          <w:noProof/>
          <w:sz w:val="20"/>
          <w:szCs w:val="20"/>
        </w:rPr>
        <w:lastRenderedPageBreak/>
        <w:drawing>
          <wp:inline distT="0" distB="0" distL="0" distR="0" wp14:anchorId="39FBF268" wp14:editId="3EDDD65C">
            <wp:extent cx="6479540" cy="2810510"/>
            <wp:effectExtent l="0" t="0" r="0" b="889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79540" cy="2810510"/>
                    </a:xfrm>
                    <a:prstGeom prst="rect">
                      <a:avLst/>
                    </a:prstGeom>
                    <a:noFill/>
                    <a:ln>
                      <a:noFill/>
                    </a:ln>
                  </pic:spPr>
                </pic:pic>
              </a:graphicData>
            </a:graphic>
          </wp:inline>
        </w:drawing>
      </w:r>
    </w:p>
    <w:p w14:paraId="74959421" w14:textId="71BA031B" w:rsidR="00FA50D8" w:rsidRPr="0034064D" w:rsidRDefault="00FA50D8" w:rsidP="00FA50D8">
      <w:pPr>
        <w:spacing w:after="40"/>
        <w:rPr>
          <w:rFonts w:ascii="Arial" w:eastAsia="Arial Unicode MS" w:hAnsi="Arial" w:cs="Arial"/>
          <w:sz w:val="20"/>
          <w:szCs w:val="20"/>
        </w:rPr>
      </w:pPr>
    </w:p>
    <w:p w14:paraId="2960B0A6" w14:textId="40D06A74" w:rsidR="00FA50D8" w:rsidRDefault="00FA50D8" w:rsidP="00FA50D8">
      <w:pPr>
        <w:spacing w:after="40"/>
        <w:rPr>
          <w:rFonts w:ascii="Arial" w:eastAsia="Arial Unicode MS" w:hAnsi="Arial" w:cs="Arial"/>
          <w:sz w:val="20"/>
          <w:szCs w:val="20"/>
        </w:rPr>
        <w:sectPr w:rsidR="00FA50D8" w:rsidSect="00E576AD">
          <w:type w:val="continuous"/>
          <w:pgSz w:w="11906" w:h="16838"/>
          <w:pgMar w:top="1021" w:right="851" w:bottom="851" w:left="851" w:header="709" w:footer="0" w:gutter="0"/>
          <w:cols w:space="708"/>
          <w:docGrid w:linePitch="360"/>
        </w:sectPr>
      </w:pPr>
    </w:p>
    <w:p w14:paraId="7D65911D" w14:textId="357403C7" w:rsidR="00FA50D8" w:rsidRPr="007D0ABB" w:rsidRDefault="00FA50D8" w:rsidP="00FA50D8">
      <w:pPr>
        <w:spacing w:after="40"/>
        <w:rPr>
          <w:rFonts w:ascii="Arial" w:eastAsia="Arial Unicode MS" w:hAnsi="Arial" w:cs="Arial"/>
          <w:sz w:val="20"/>
          <w:szCs w:val="20"/>
        </w:rPr>
      </w:pPr>
      <w:r w:rsidRPr="007D0ABB">
        <w:rPr>
          <w:rFonts w:ascii="Arial" w:eastAsia="Arial Unicode MS" w:hAnsi="Arial" w:cs="Arial"/>
          <w:sz w:val="20"/>
          <w:szCs w:val="20"/>
        </w:rPr>
        <w:t xml:space="preserve">Pela tabela acima, percebe-se que o grupo de natureza da despesa “Pessoal e Encargos Sociais” teve um crescimento de cerca de </w:t>
      </w:r>
      <w:r w:rsidR="0028512D">
        <w:rPr>
          <w:rFonts w:ascii="Arial" w:eastAsia="Arial Unicode MS" w:hAnsi="Arial" w:cs="Arial"/>
          <w:sz w:val="20"/>
          <w:szCs w:val="20"/>
        </w:rPr>
        <w:t>7</w:t>
      </w:r>
      <w:r w:rsidRPr="007D0ABB">
        <w:rPr>
          <w:rFonts w:ascii="Arial" w:eastAsia="Arial Unicode MS" w:hAnsi="Arial" w:cs="Arial"/>
          <w:sz w:val="20"/>
          <w:szCs w:val="20"/>
        </w:rPr>
        <w:t xml:space="preserve">% até o </w:t>
      </w:r>
      <w:r w:rsidR="0028512D">
        <w:rPr>
          <w:rFonts w:ascii="Arial" w:eastAsia="Arial Unicode MS" w:hAnsi="Arial" w:cs="Arial"/>
          <w:sz w:val="20"/>
          <w:szCs w:val="20"/>
        </w:rPr>
        <w:t>terceiro</w:t>
      </w:r>
      <w:r w:rsidR="002F28FE">
        <w:rPr>
          <w:rFonts w:ascii="Arial" w:eastAsia="Arial Unicode MS" w:hAnsi="Arial" w:cs="Arial"/>
          <w:sz w:val="20"/>
          <w:szCs w:val="20"/>
        </w:rPr>
        <w:t xml:space="preserve"> trimestre</w:t>
      </w:r>
      <w:r w:rsidRPr="007D0ABB">
        <w:rPr>
          <w:rFonts w:ascii="Arial" w:eastAsia="Arial Unicode MS" w:hAnsi="Arial" w:cs="Arial"/>
          <w:sz w:val="20"/>
          <w:szCs w:val="20"/>
        </w:rPr>
        <w:t xml:space="preserve"> de 20</w:t>
      </w:r>
      <w:r w:rsidR="002F28FE">
        <w:rPr>
          <w:rFonts w:ascii="Arial" w:eastAsia="Arial Unicode MS" w:hAnsi="Arial" w:cs="Arial"/>
          <w:sz w:val="20"/>
          <w:szCs w:val="20"/>
        </w:rPr>
        <w:t>20</w:t>
      </w:r>
      <w:r w:rsidRPr="007D0ABB">
        <w:rPr>
          <w:rFonts w:ascii="Arial" w:eastAsia="Arial Unicode MS" w:hAnsi="Arial" w:cs="Arial"/>
          <w:sz w:val="20"/>
          <w:szCs w:val="20"/>
        </w:rPr>
        <w:t xml:space="preserve"> em relação ao mesmo período de 201</w:t>
      </w:r>
      <w:r w:rsidR="002F28FE">
        <w:rPr>
          <w:rFonts w:ascii="Arial" w:eastAsia="Arial Unicode MS" w:hAnsi="Arial" w:cs="Arial"/>
          <w:sz w:val="20"/>
          <w:szCs w:val="20"/>
        </w:rPr>
        <w:t>9</w:t>
      </w:r>
      <w:r w:rsidRPr="007D0ABB">
        <w:rPr>
          <w:rFonts w:ascii="Arial" w:eastAsia="Arial Unicode MS" w:hAnsi="Arial" w:cs="Arial"/>
          <w:sz w:val="20"/>
          <w:szCs w:val="20"/>
        </w:rPr>
        <w:t xml:space="preserve">, evidenciando uma evolução no empenho de despesas da ordem de R$ </w:t>
      </w:r>
      <w:r w:rsidR="0028512D">
        <w:rPr>
          <w:rFonts w:ascii="Arial" w:eastAsia="Arial Unicode MS" w:hAnsi="Arial" w:cs="Arial"/>
          <w:sz w:val="20"/>
          <w:szCs w:val="20"/>
        </w:rPr>
        <w:t>25</w:t>
      </w:r>
      <w:r w:rsidRPr="007D0ABB">
        <w:rPr>
          <w:rFonts w:ascii="Arial" w:eastAsia="Arial Unicode MS" w:hAnsi="Arial" w:cs="Arial"/>
          <w:sz w:val="20"/>
          <w:szCs w:val="20"/>
        </w:rPr>
        <w:t xml:space="preserve"> milhões, destacando-se os vencimentos e vantagens fixas – pessoal civil (aumento de R$ </w:t>
      </w:r>
      <w:r w:rsidR="0028512D">
        <w:rPr>
          <w:rFonts w:ascii="Arial" w:eastAsia="Arial Unicode MS" w:hAnsi="Arial" w:cs="Arial"/>
          <w:sz w:val="20"/>
          <w:szCs w:val="20"/>
        </w:rPr>
        <w:t>16</w:t>
      </w:r>
      <w:r w:rsidR="002F28FE">
        <w:rPr>
          <w:rFonts w:ascii="Arial" w:eastAsia="Arial Unicode MS" w:hAnsi="Arial" w:cs="Arial"/>
          <w:sz w:val="20"/>
          <w:szCs w:val="20"/>
        </w:rPr>
        <w:t>,6</w:t>
      </w:r>
      <w:r w:rsidRPr="007D0ABB">
        <w:rPr>
          <w:rFonts w:ascii="Arial" w:eastAsia="Arial Unicode MS" w:hAnsi="Arial" w:cs="Arial"/>
          <w:sz w:val="20"/>
          <w:szCs w:val="20"/>
        </w:rPr>
        <w:t xml:space="preserve"> milhões), Obrigações Patronais – Operações </w:t>
      </w:r>
      <w:proofErr w:type="spellStart"/>
      <w:r w:rsidRPr="007D0ABB">
        <w:rPr>
          <w:rFonts w:ascii="Arial" w:eastAsia="Arial Unicode MS" w:hAnsi="Arial" w:cs="Arial"/>
          <w:sz w:val="20"/>
          <w:szCs w:val="20"/>
        </w:rPr>
        <w:t>Intra-Orçamentárias</w:t>
      </w:r>
      <w:proofErr w:type="spellEnd"/>
      <w:r w:rsidRPr="007D0ABB">
        <w:rPr>
          <w:rFonts w:ascii="Arial" w:eastAsia="Arial Unicode MS" w:hAnsi="Arial" w:cs="Arial"/>
          <w:sz w:val="20"/>
          <w:szCs w:val="20"/>
        </w:rPr>
        <w:t xml:space="preserve"> (aumento de R$ </w:t>
      </w:r>
      <w:r w:rsidR="0028512D">
        <w:rPr>
          <w:rFonts w:ascii="Arial" w:eastAsia="Arial Unicode MS" w:hAnsi="Arial" w:cs="Arial"/>
          <w:sz w:val="20"/>
          <w:szCs w:val="20"/>
        </w:rPr>
        <w:t>4,4</w:t>
      </w:r>
      <w:r w:rsidRPr="007D0ABB">
        <w:rPr>
          <w:rFonts w:ascii="Arial" w:eastAsia="Arial Unicode MS" w:hAnsi="Arial" w:cs="Arial"/>
          <w:sz w:val="20"/>
          <w:szCs w:val="20"/>
        </w:rPr>
        <w:t xml:space="preserve"> milhões), </w:t>
      </w:r>
      <w:r w:rsidR="002F28FE">
        <w:rPr>
          <w:rFonts w:ascii="Arial" w:eastAsia="Arial Unicode MS" w:hAnsi="Arial" w:cs="Arial"/>
          <w:sz w:val="20"/>
          <w:szCs w:val="20"/>
        </w:rPr>
        <w:t xml:space="preserve">Aposentadoria RPPS e Reserva Remunerada (redução de R$ </w:t>
      </w:r>
      <w:r w:rsidR="0028512D">
        <w:rPr>
          <w:rFonts w:ascii="Arial" w:eastAsia="Arial Unicode MS" w:hAnsi="Arial" w:cs="Arial"/>
          <w:sz w:val="20"/>
          <w:szCs w:val="20"/>
        </w:rPr>
        <w:t>3,59</w:t>
      </w:r>
      <w:r w:rsidR="002F28FE">
        <w:rPr>
          <w:rFonts w:ascii="Arial" w:eastAsia="Arial Unicode MS" w:hAnsi="Arial" w:cs="Arial"/>
          <w:sz w:val="20"/>
          <w:szCs w:val="20"/>
        </w:rPr>
        <w:t xml:space="preserve"> milhões)</w:t>
      </w:r>
      <w:r w:rsidRPr="007D0ABB">
        <w:rPr>
          <w:rFonts w:ascii="Arial" w:eastAsia="Arial Unicode MS" w:hAnsi="Arial" w:cs="Arial"/>
          <w:sz w:val="20"/>
          <w:szCs w:val="20"/>
        </w:rPr>
        <w:t>, que perfazem, também, o grupo de despesas com maior participação no rol de empenhos de Pessoal e Encargos Sociais, conforme evidenciado no gráfico abaixo:</w:t>
      </w:r>
    </w:p>
    <w:p w14:paraId="4BC8A932" w14:textId="77777777" w:rsidR="00FA50D8" w:rsidRDefault="00FA50D8" w:rsidP="00FA50D8">
      <w:pPr>
        <w:spacing w:after="40"/>
        <w:rPr>
          <w:rFonts w:ascii="Arial" w:eastAsia="Arial Unicode MS" w:hAnsi="Arial" w:cs="Arial"/>
          <w:sz w:val="20"/>
          <w:szCs w:val="20"/>
        </w:rPr>
      </w:pPr>
    </w:p>
    <w:p w14:paraId="6CBCC5B8" w14:textId="6EF1C2BC" w:rsidR="00CD73D6" w:rsidRPr="001C6AF6" w:rsidRDefault="00CD73D6" w:rsidP="00FA50D8">
      <w:pPr>
        <w:spacing w:after="40"/>
        <w:rPr>
          <w:rFonts w:ascii="Arial" w:eastAsia="Arial Unicode MS" w:hAnsi="Arial" w:cs="Arial"/>
          <w:sz w:val="20"/>
          <w:szCs w:val="20"/>
        </w:rPr>
        <w:sectPr w:rsidR="00CD73D6" w:rsidRPr="001C6AF6" w:rsidSect="00E576AD">
          <w:type w:val="continuous"/>
          <w:pgSz w:w="11906" w:h="16838"/>
          <w:pgMar w:top="1021" w:right="851" w:bottom="851" w:left="851" w:header="709" w:footer="0" w:gutter="0"/>
          <w:cols w:space="708"/>
          <w:docGrid w:linePitch="360"/>
        </w:sectPr>
      </w:pPr>
    </w:p>
    <w:p w14:paraId="20FA1B0F" w14:textId="2FD16CED" w:rsidR="00FA50D8" w:rsidRDefault="00FA50D8" w:rsidP="00FA50D8">
      <w:pPr>
        <w:spacing w:after="40"/>
        <w:rPr>
          <w:rFonts w:ascii="Arial" w:eastAsia="Arial Unicode MS" w:hAnsi="Arial" w:cs="Arial"/>
          <w:b/>
          <w:sz w:val="20"/>
          <w:szCs w:val="20"/>
        </w:rPr>
      </w:pPr>
      <w:r w:rsidRPr="00F416F2">
        <w:rPr>
          <w:rFonts w:ascii="Arial" w:eastAsia="Arial Unicode MS" w:hAnsi="Arial" w:cs="Arial"/>
          <w:b/>
          <w:sz w:val="20"/>
          <w:szCs w:val="20"/>
        </w:rPr>
        <w:t xml:space="preserve">Venc. e Vantagens Fixas, </w:t>
      </w:r>
      <w:r>
        <w:rPr>
          <w:rFonts w:ascii="Arial" w:eastAsia="Arial Unicode MS" w:hAnsi="Arial" w:cs="Arial"/>
          <w:b/>
          <w:sz w:val="20"/>
          <w:szCs w:val="20"/>
        </w:rPr>
        <w:t xml:space="preserve">Obrigações Patronais – Op. </w:t>
      </w:r>
      <w:proofErr w:type="spellStart"/>
      <w:r>
        <w:rPr>
          <w:rFonts w:ascii="Arial" w:eastAsia="Arial Unicode MS" w:hAnsi="Arial" w:cs="Arial"/>
          <w:b/>
          <w:sz w:val="20"/>
          <w:szCs w:val="20"/>
        </w:rPr>
        <w:t>Intra-Orçamentárias</w:t>
      </w:r>
      <w:proofErr w:type="spellEnd"/>
      <w:r w:rsidRPr="00F416F2">
        <w:rPr>
          <w:rFonts w:ascii="Arial" w:eastAsia="Arial Unicode MS" w:hAnsi="Arial" w:cs="Arial"/>
          <w:b/>
          <w:sz w:val="20"/>
          <w:szCs w:val="20"/>
        </w:rPr>
        <w:t xml:space="preserve"> e Aposentadorias do RPPS, Res. Remunerada e Ref. Militar.</w:t>
      </w:r>
    </w:p>
    <w:p w14:paraId="104C8077" w14:textId="1B8A1261" w:rsidR="004F2EEF" w:rsidRDefault="002F6E62" w:rsidP="00FA50D8">
      <w:pPr>
        <w:spacing w:after="40"/>
        <w:rPr>
          <w:rFonts w:ascii="Arial" w:eastAsia="Arial Unicode MS" w:hAnsi="Arial" w:cs="Arial"/>
          <w:b/>
          <w:sz w:val="20"/>
          <w:szCs w:val="20"/>
        </w:rPr>
      </w:pPr>
      <w:r>
        <w:rPr>
          <w:noProof/>
        </w:rPr>
        <w:drawing>
          <wp:inline distT="0" distB="0" distL="0" distR="0" wp14:anchorId="1AEFDB19" wp14:editId="7EB51FFA">
            <wp:extent cx="6267451" cy="2743200"/>
            <wp:effectExtent l="0" t="0" r="0" b="0"/>
            <wp:docPr id="84" name="Gráfico 84">
              <a:extLst xmlns:a="http://schemas.openxmlformats.org/drawingml/2006/main">
                <a:ext uri="{FF2B5EF4-FFF2-40B4-BE49-F238E27FC236}">
                  <a16:creationId xmlns:a16="http://schemas.microsoft.com/office/drawing/2014/main" id="{00000000-0008-0000-2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44644D7" w14:textId="1E512AB2" w:rsidR="001C697A" w:rsidRDefault="001C697A" w:rsidP="00FA50D8">
      <w:pPr>
        <w:spacing w:after="40"/>
        <w:rPr>
          <w:rFonts w:ascii="Arial" w:eastAsia="Arial Unicode MS" w:hAnsi="Arial" w:cs="Arial"/>
          <w:b/>
          <w:sz w:val="20"/>
          <w:szCs w:val="20"/>
        </w:rPr>
      </w:pPr>
    </w:p>
    <w:p w14:paraId="02727DCB" w14:textId="3F1916E4" w:rsidR="00FA50D8" w:rsidRDefault="00FA50D8" w:rsidP="00FA50D8">
      <w:pPr>
        <w:spacing w:after="40"/>
        <w:rPr>
          <w:rFonts w:ascii="Arial" w:eastAsia="Arial Unicode MS" w:hAnsi="Arial" w:cs="Arial"/>
          <w:sz w:val="20"/>
          <w:szCs w:val="20"/>
        </w:rPr>
      </w:pPr>
      <w:r w:rsidRPr="006631B3">
        <w:rPr>
          <w:rFonts w:ascii="Arial" w:eastAsia="Arial Unicode MS" w:hAnsi="Arial" w:cs="Arial"/>
          <w:sz w:val="20"/>
          <w:szCs w:val="20"/>
        </w:rPr>
        <w:t xml:space="preserve">A variação total das três naturezas de despesas supracitadas soma R$ </w:t>
      </w:r>
      <w:r w:rsidR="002F6E62">
        <w:rPr>
          <w:rFonts w:ascii="Arial" w:eastAsia="Arial Unicode MS" w:hAnsi="Arial" w:cs="Arial"/>
          <w:sz w:val="20"/>
          <w:szCs w:val="20"/>
        </w:rPr>
        <w:t>24,62</w:t>
      </w:r>
      <w:r w:rsidRPr="006631B3">
        <w:rPr>
          <w:rFonts w:ascii="Arial" w:eastAsia="Arial Unicode MS" w:hAnsi="Arial" w:cs="Arial"/>
          <w:sz w:val="20"/>
          <w:szCs w:val="20"/>
        </w:rPr>
        <w:t xml:space="preserve"> milhões</w:t>
      </w:r>
      <w:r w:rsidR="00752C54">
        <w:rPr>
          <w:rFonts w:ascii="Arial" w:eastAsia="Arial Unicode MS" w:hAnsi="Arial" w:cs="Arial"/>
          <w:sz w:val="20"/>
          <w:szCs w:val="20"/>
        </w:rPr>
        <w:t>.</w:t>
      </w:r>
    </w:p>
    <w:p w14:paraId="7D5087C5" w14:textId="77777777" w:rsidR="00FA50D8" w:rsidRPr="006631B3" w:rsidRDefault="00FA50D8" w:rsidP="00FA50D8">
      <w:pPr>
        <w:spacing w:after="40"/>
        <w:rPr>
          <w:rFonts w:ascii="Arial" w:eastAsia="Arial Unicode MS" w:hAnsi="Arial" w:cs="Arial"/>
          <w:sz w:val="20"/>
          <w:szCs w:val="20"/>
        </w:rPr>
      </w:pPr>
    </w:p>
    <w:p w14:paraId="68D1415C" w14:textId="77777777" w:rsidR="00546FBD" w:rsidRDefault="00FA50D8" w:rsidP="00FA50D8">
      <w:pPr>
        <w:spacing w:after="40"/>
        <w:rPr>
          <w:rFonts w:ascii="Arial" w:eastAsia="Arial Unicode MS" w:hAnsi="Arial" w:cs="Arial"/>
          <w:sz w:val="20"/>
          <w:szCs w:val="20"/>
        </w:rPr>
      </w:pPr>
      <w:r w:rsidRPr="006631B3">
        <w:rPr>
          <w:rFonts w:ascii="Arial" w:eastAsia="Arial Unicode MS" w:hAnsi="Arial" w:cs="Arial"/>
          <w:sz w:val="20"/>
          <w:szCs w:val="20"/>
        </w:rPr>
        <w:t xml:space="preserve">Em relação às despesas empenhadas com outras despesas correntes, observa-se um </w:t>
      </w:r>
      <w:r w:rsidR="00643596">
        <w:rPr>
          <w:rFonts w:ascii="Arial" w:eastAsia="Arial Unicode MS" w:hAnsi="Arial" w:cs="Arial"/>
          <w:sz w:val="20"/>
          <w:szCs w:val="20"/>
        </w:rPr>
        <w:t>a</w:t>
      </w:r>
      <w:r w:rsidR="00D81423">
        <w:rPr>
          <w:rFonts w:ascii="Arial" w:eastAsia="Arial Unicode MS" w:hAnsi="Arial" w:cs="Arial"/>
          <w:sz w:val="20"/>
          <w:szCs w:val="20"/>
        </w:rPr>
        <w:t>créscimo</w:t>
      </w:r>
      <w:r w:rsidRPr="006631B3">
        <w:rPr>
          <w:rFonts w:ascii="Arial" w:eastAsia="Arial Unicode MS" w:hAnsi="Arial" w:cs="Arial"/>
          <w:sz w:val="20"/>
          <w:szCs w:val="20"/>
        </w:rPr>
        <w:t xml:space="preserve"> de aproximadamente R$ </w:t>
      </w:r>
      <w:r w:rsidR="00643596">
        <w:rPr>
          <w:rFonts w:ascii="Arial" w:eastAsia="Arial Unicode MS" w:hAnsi="Arial" w:cs="Arial"/>
          <w:sz w:val="20"/>
          <w:szCs w:val="20"/>
        </w:rPr>
        <w:t>1,48</w:t>
      </w:r>
      <w:r w:rsidRPr="006631B3">
        <w:rPr>
          <w:rFonts w:ascii="Arial" w:eastAsia="Arial Unicode MS" w:hAnsi="Arial" w:cs="Arial"/>
          <w:sz w:val="20"/>
          <w:szCs w:val="20"/>
        </w:rPr>
        <w:t xml:space="preserve"> </w:t>
      </w:r>
      <w:proofErr w:type="gramStart"/>
      <w:r w:rsidRPr="006631B3">
        <w:rPr>
          <w:rFonts w:ascii="Arial" w:eastAsia="Arial Unicode MS" w:hAnsi="Arial" w:cs="Arial"/>
          <w:sz w:val="20"/>
          <w:szCs w:val="20"/>
        </w:rPr>
        <w:t>milhões  equivalendo</w:t>
      </w:r>
      <w:proofErr w:type="gramEnd"/>
      <w:r w:rsidRPr="006631B3">
        <w:rPr>
          <w:rFonts w:ascii="Arial" w:eastAsia="Arial Unicode MS" w:hAnsi="Arial" w:cs="Arial"/>
          <w:sz w:val="20"/>
          <w:szCs w:val="20"/>
        </w:rPr>
        <w:t xml:space="preserve"> a </w:t>
      </w:r>
      <w:r w:rsidR="00643596">
        <w:rPr>
          <w:rFonts w:ascii="Arial" w:eastAsia="Arial Unicode MS" w:hAnsi="Arial" w:cs="Arial"/>
          <w:sz w:val="20"/>
          <w:szCs w:val="20"/>
        </w:rPr>
        <w:t>mais</w:t>
      </w:r>
      <w:r w:rsidRPr="006631B3">
        <w:rPr>
          <w:rFonts w:ascii="Arial" w:eastAsia="Arial Unicode MS" w:hAnsi="Arial" w:cs="Arial"/>
          <w:sz w:val="20"/>
          <w:szCs w:val="20"/>
        </w:rPr>
        <w:t xml:space="preserve"> </w:t>
      </w:r>
      <w:r w:rsidR="00643596">
        <w:rPr>
          <w:rFonts w:ascii="Arial" w:eastAsia="Arial Unicode MS" w:hAnsi="Arial" w:cs="Arial"/>
          <w:sz w:val="20"/>
          <w:szCs w:val="20"/>
        </w:rPr>
        <w:t>3</w:t>
      </w:r>
      <w:r w:rsidRPr="006631B3">
        <w:rPr>
          <w:rFonts w:ascii="Arial" w:eastAsia="Arial Unicode MS" w:hAnsi="Arial" w:cs="Arial"/>
          <w:sz w:val="20"/>
          <w:szCs w:val="20"/>
        </w:rPr>
        <w:t>%, quando comparado como o mesmo período do exercício anterior.  Destacam-se as despesas com</w:t>
      </w:r>
      <w:r w:rsidR="00D81423">
        <w:rPr>
          <w:rFonts w:ascii="Arial" w:eastAsia="Arial Unicode MS" w:hAnsi="Arial" w:cs="Arial"/>
          <w:sz w:val="20"/>
          <w:szCs w:val="20"/>
        </w:rPr>
        <w:t xml:space="preserve"> Auxílio-Alimentação Civis, cujos empenhos no período somaram R$ </w:t>
      </w:r>
      <w:r w:rsidR="00643596">
        <w:rPr>
          <w:rFonts w:ascii="Arial" w:eastAsia="Arial Unicode MS" w:hAnsi="Arial" w:cs="Arial"/>
          <w:sz w:val="20"/>
          <w:szCs w:val="20"/>
        </w:rPr>
        <w:t>11,61</w:t>
      </w:r>
      <w:r w:rsidR="00D81423">
        <w:rPr>
          <w:rFonts w:ascii="Arial" w:eastAsia="Arial Unicode MS" w:hAnsi="Arial" w:cs="Arial"/>
          <w:sz w:val="20"/>
          <w:szCs w:val="20"/>
        </w:rPr>
        <w:t xml:space="preserve"> milhões,</w:t>
      </w:r>
      <w:r w:rsidRPr="006631B3">
        <w:rPr>
          <w:rFonts w:ascii="Arial" w:eastAsia="Arial Unicode MS" w:hAnsi="Arial" w:cs="Arial"/>
          <w:sz w:val="20"/>
          <w:szCs w:val="20"/>
        </w:rPr>
        <w:t xml:space="preserve"> </w:t>
      </w:r>
      <w:r w:rsidR="00DD6091">
        <w:rPr>
          <w:rFonts w:ascii="Arial" w:eastAsia="Arial Unicode MS" w:hAnsi="Arial" w:cs="Arial"/>
          <w:sz w:val="20"/>
          <w:szCs w:val="20"/>
        </w:rPr>
        <w:t xml:space="preserve">Bolsas de Estudo no País R$ </w:t>
      </w:r>
      <w:r w:rsidR="00643596">
        <w:rPr>
          <w:rFonts w:ascii="Arial" w:eastAsia="Arial Unicode MS" w:hAnsi="Arial" w:cs="Arial"/>
          <w:sz w:val="20"/>
          <w:szCs w:val="20"/>
        </w:rPr>
        <w:t>10</w:t>
      </w:r>
      <w:r w:rsidR="00DD6091">
        <w:rPr>
          <w:rFonts w:ascii="Arial" w:eastAsia="Arial Unicode MS" w:hAnsi="Arial" w:cs="Arial"/>
          <w:sz w:val="20"/>
          <w:szCs w:val="20"/>
        </w:rPr>
        <w:t xml:space="preserve">,07 milhões, </w:t>
      </w:r>
      <w:r w:rsidR="00643596">
        <w:rPr>
          <w:rFonts w:ascii="Arial" w:eastAsia="Arial Unicode MS" w:hAnsi="Arial" w:cs="Arial"/>
          <w:sz w:val="20"/>
          <w:szCs w:val="20"/>
        </w:rPr>
        <w:t xml:space="preserve">Vigilância Ostensiva R$ </w:t>
      </w:r>
      <w:r w:rsidR="00643596">
        <w:rPr>
          <w:rFonts w:ascii="Arial" w:eastAsia="Arial Unicode MS" w:hAnsi="Arial" w:cs="Arial"/>
          <w:sz w:val="20"/>
          <w:szCs w:val="20"/>
        </w:rPr>
        <w:t>5,67</w:t>
      </w:r>
      <w:r w:rsidR="00643596">
        <w:rPr>
          <w:rFonts w:ascii="Arial" w:eastAsia="Arial Unicode MS" w:hAnsi="Arial" w:cs="Arial"/>
          <w:sz w:val="20"/>
          <w:szCs w:val="20"/>
        </w:rPr>
        <w:t xml:space="preserve"> milhões</w:t>
      </w:r>
      <w:r w:rsidR="00643596">
        <w:rPr>
          <w:rFonts w:ascii="Arial" w:eastAsia="Arial Unicode MS" w:hAnsi="Arial" w:cs="Arial"/>
          <w:sz w:val="20"/>
          <w:szCs w:val="20"/>
        </w:rPr>
        <w:t xml:space="preserve"> </w:t>
      </w:r>
      <w:r w:rsidR="00DD6091">
        <w:rPr>
          <w:rFonts w:ascii="Arial" w:eastAsia="Arial Unicode MS" w:hAnsi="Arial" w:cs="Arial"/>
          <w:sz w:val="20"/>
          <w:szCs w:val="20"/>
        </w:rPr>
        <w:t xml:space="preserve">Limpeza e Conservação R$ </w:t>
      </w:r>
      <w:r w:rsidR="00643596">
        <w:rPr>
          <w:rFonts w:ascii="Arial" w:eastAsia="Arial Unicode MS" w:hAnsi="Arial" w:cs="Arial"/>
          <w:sz w:val="20"/>
          <w:szCs w:val="20"/>
        </w:rPr>
        <w:t>5,32</w:t>
      </w:r>
      <w:r w:rsidR="00DD6091">
        <w:rPr>
          <w:rFonts w:ascii="Arial" w:eastAsia="Arial Unicode MS" w:hAnsi="Arial" w:cs="Arial"/>
          <w:sz w:val="20"/>
          <w:szCs w:val="20"/>
        </w:rPr>
        <w:t xml:space="preserve"> milhões, </w:t>
      </w:r>
      <w:r w:rsidR="00E23E9C">
        <w:rPr>
          <w:rFonts w:ascii="Arial" w:eastAsia="Arial Unicode MS" w:hAnsi="Arial" w:cs="Arial"/>
          <w:sz w:val="20"/>
          <w:szCs w:val="20"/>
        </w:rPr>
        <w:t xml:space="preserve">Ressarcimento de Assistência Médica Odontológica R$ </w:t>
      </w:r>
      <w:r w:rsidR="00E23E9C">
        <w:rPr>
          <w:rFonts w:ascii="Arial" w:eastAsia="Arial Unicode MS" w:hAnsi="Arial" w:cs="Arial"/>
          <w:sz w:val="20"/>
          <w:szCs w:val="20"/>
        </w:rPr>
        <w:t>4,27</w:t>
      </w:r>
      <w:r w:rsidR="00E23E9C">
        <w:rPr>
          <w:rFonts w:ascii="Arial" w:eastAsia="Arial Unicode MS" w:hAnsi="Arial" w:cs="Arial"/>
          <w:sz w:val="20"/>
          <w:szCs w:val="20"/>
        </w:rPr>
        <w:t xml:space="preserve"> milhões</w:t>
      </w:r>
      <w:r w:rsidR="00DD6091">
        <w:rPr>
          <w:rFonts w:ascii="Arial" w:eastAsia="Arial Unicode MS" w:hAnsi="Arial" w:cs="Arial"/>
          <w:sz w:val="20"/>
          <w:szCs w:val="20"/>
        </w:rPr>
        <w:t>, Serviços de Energia Elétrica R$ 3,</w:t>
      </w:r>
      <w:r w:rsidR="00E23E9C">
        <w:rPr>
          <w:rFonts w:ascii="Arial" w:eastAsia="Arial Unicode MS" w:hAnsi="Arial" w:cs="Arial"/>
          <w:sz w:val="20"/>
          <w:szCs w:val="20"/>
        </w:rPr>
        <w:t>02</w:t>
      </w:r>
      <w:r w:rsidR="00DD6091">
        <w:rPr>
          <w:rFonts w:ascii="Arial" w:eastAsia="Arial Unicode MS" w:hAnsi="Arial" w:cs="Arial"/>
          <w:sz w:val="20"/>
          <w:szCs w:val="20"/>
        </w:rPr>
        <w:t xml:space="preserve"> milhões, </w:t>
      </w:r>
      <w:r w:rsidR="00D81423">
        <w:rPr>
          <w:rFonts w:ascii="Arial" w:eastAsia="Arial Unicode MS" w:hAnsi="Arial" w:cs="Arial"/>
          <w:sz w:val="20"/>
          <w:szCs w:val="20"/>
        </w:rPr>
        <w:t xml:space="preserve">, </w:t>
      </w:r>
      <w:r w:rsidR="00DD6091">
        <w:rPr>
          <w:rFonts w:ascii="Arial" w:eastAsia="Arial Unicode MS" w:hAnsi="Arial" w:cs="Arial"/>
          <w:sz w:val="20"/>
          <w:szCs w:val="20"/>
        </w:rPr>
        <w:t xml:space="preserve">Serviços de Apoio Administrativo, Técnico e Operacional </w:t>
      </w:r>
      <w:r w:rsidR="005B41AD">
        <w:rPr>
          <w:rFonts w:ascii="Arial" w:eastAsia="Arial Unicode MS" w:hAnsi="Arial" w:cs="Arial"/>
          <w:sz w:val="20"/>
          <w:szCs w:val="20"/>
        </w:rPr>
        <w:t xml:space="preserve">R$ </w:t>
      </w:r>
      <w:r w:rsidR="00DD6091">
        <w:rPr>
          <w:rFonts w:ascii="Arial" w:eastAsia="Arial Unicode MS" w:hAnsi="Arial" w:cs="Arial"/>
          <w:sz w:val="20"/>
          <w:szCs w:val="20"/>
        </w:rPr>
        <w:t xml:space="preserve"> </w:t>
      </w:r>
      <w:r w:rsidR="00E23E9C">
        <w:rPr>
          <w:rFonts w:ascii="Arial" w:eastAsia="Arial Unicode MS" w:hAnsi="Arial" w:cs="Arial"/>
          <w:sz w:val="20"/>
          <w:szCs w:val="20"/>
        </w:rPr>
        <w:t>2,70</w:t>
      </w:r>
      <w:r w:rsidR="00DD6091">
        <w:rPr>
          <w:rFonts w:ascii="Arial" w:eastAsia="Arial Unicode MS" w:hAnsi="Arial" w:cs="Arial"/>
          <w:sz w:val="20"/>
          <w:szCs w:val="20"/>
        </w:rPr>
        <w:t xml:space="preserve"> milhões, </w:t>
      </w:r>
      <w:r w:rsidR="00E23E9C">
        <w:rPr>
          <w:rFonts w:ascii="Arial" w:eastAsia="Arial Unicode MS" w:hAnsi="Arial" w:cs="Arial"/>
          <w:sz w:val="20"/>
          <w:szCs w:val="20"/>
        </w:rPr>
        <w:t>Auxílio Creche R$ 1,</w:t>
      </w:r>
      <w:r w:rsidR="00E23E9C">
        <w:rPr>
          <w:rFonts w:ascii="Arial" w:eastAsia="Arial Unicode MS" w:hAnsi="Arial" w:cs="Arial"/>
          <w:sz w:val="20"/>
          <w:szCs w:val="20"/>
        </w:rPr>
        <w:t>87</w:t>
      </w:r>
      <w:r w:rsidR="00E23E9C">
        <w:rPr>
          <w:rFonts w:ascii="Arial" w:eastAsia="Arial Unicode MS" w:hAnsi="Arial" w:cs="Arial"/>
          <w:sz w:val="20"/>
          <w:szCs w:val="20"/>
        </w:rPr>
        <w:t xml:space="preserve"> milhões</w:t>
      </w:r>
      <w:r w:rsidR="00E23E9C">
        <w:rPr>
          <w:rFonts w:ascii="Arial" w:eastAsia="Arial Unicode MS" w:hAnsi="Arial" w:cs="Arial"/>
          <w:sz w:val="20"/>
          <w:szCs w:val="20"/>
        </w:rPr>
        <w:t xml:space="preserve">, </w:t>
      </w:r>
      <w:r w:rsidR="00DD6091">
        <w:rPr>
          <w:rFonts w:ascii="Arial" w:eastAsia="Arial Unicode MS" w:hAnsi="Arial" w:cs="Arial"/>
          <w:sz w:val="20"/>
          <w:szCs w:val="20"/>
        </w:rPr>
        <w:t>Auxílio Transporte R$ 1.76 milhões e</w:t>
      </w:r>
      <w:r w:rsidRPr="006631B3">
        <w:rPr>
          <w:rFonts w:ascii="Arial" w:eastAsia="Arial Unicode MS" w:hAnsi="Arial" w:cs="Arial"/>
          <w:sz w:val="20"/>
          <w:szCs w:val="20"/>
        </w:rPr>
        <w:t xml:space="preserve">, que somam </w:t>
      </w:r>
      <w:r w:rsidR="00D81423">
        <w:rPr>
          <w:rFonts w:ascii="Arial" w:eastAsia="Arial Unicode MS" w:hAnsi="Arial" w:cs="Arial"/>
          <w:sz w:val="20"/>
          <w:szCs w:val="20"/>
        </w:rPr>
        <w:t>7</w:t>
      </w:r>
      <w:r w:rsidR="00DD6091">
        <w:rPr>
          <w:rFonts w:ascii="Arial" w:eastAsia="Arial Unicode MS" w:hAnsi="Arial" w:cs="Arial"/>
          <w:sz w:val="20"/>
          <w:szCs w:val="20"/>
        </w:rPr>
        <w:t>6</w:t>
      </w:r>
      <w:r w:rsidR="00E23E9C">
        <w:rPr>
          <w:rFonts w:ascii="Arial" w:eastAsia="Arial Unicode MS" w:hAnsi="Arial" w:cs="Arial"/>
          <w:sz w:val="20"/>
          <w:szCs w:val="20"/>
        </w:rPr>
        <w:t>,44</w:t>
      </w:r>
      <w:r w:rsidRPr="006631B3">
        <w:rPr>
          <w:rFonts w:ascii="Arial" w:eastAsia="Arial Unicode MS" w:hAnsi="Arial" w:cs="Arial"/>
          <w:sz w:val="20"/>
          <w:szCs w:val="20"/>
        </w:rPr>
        <w:t>% do total empenhado e que correspondem às maiores despesas do período em valores absolutos. Por outro lado, podemos destacar também algumas despesas que tiveram a maior variação percentual no período, como por exemplo,</w:t>
      </w:r>
      <w:r w:rsidR="00D7747B">
        <w:rPr>
          <w:rFonts w:ascii="Arial" w:eastAsia="Arial Unicode MS" w:hAnsi="Arial" w:cs="Arial"/>
          <w:sz w:val="20"/>
          <w:szCs w:val="20"/>
        </w:rPr>
        <w:t xml:space="preserve"> </w:t>
      </w:r>
      <w:r w:rsidR="00E23E9C">
        <w:rPr>
          <w:rFonts w:ascii="Arial" w:eastAsia="Arial Unicode MS" w:hAnsi="Arial" w:cs="Arial"/>
          <w:sz w:val="20"/>
          <w:szCs w:val="20"/>
        </w:rPr>
        <w:lastRenderedPageBreak/>
        <w:t>Material para Produção Industrial no montante de R$ 171 mil, variação percentual de 12.995%, pelo empenho de diversas materiais para auxílio</w:t>
      </w:r>
      <w:r w:rsidR="00546FBD">
        <w:rPr>
          <w:rFonts w:ascii="Arial" w:eastAsia="Arial Unicode MS" w:hAnsi="Arial" w:cs="Arial"/>
          <w:sz w:val="20"/>
          <w:szCs w:val="20"/>
        </w:rPr>
        <w:t>,</w:t>
      </w:r>
      <w:r w:rsidR="00E23E9C">
        <w:rPr>
          <w:rFonts w:ascii="Arial" w:eastAsia="Arial Unicode MS" w:hAnsi="Arial" w:cs="Arial"/>
          <w:sz w:val="20"/>
          <w:szCs w:val="20"/>
        </w:rPr>
        <w:t xml:space="preserve"> proteção </w:t>
      </w:r>
      <w:r w:rsidR="00546FBD">
        <w:rPr>
          <w:rFonts w:ascii="Arial" w:eastAsia="Arial Unicode MS" w:hAnsi="Arial" w:cs="Arial"/>
          <w:sz w:val="20"/>
          <w:szCs w:val="20"/>
        </w:rPr>
        <w:t xml:space="preserve">e enfrentamento </w:t>
      </w:r>
      <w:r w:rsidR="00E23E9C">
        <w:rPr>
          <w:rFonts w:ascii="Arial" w:eastAsia="Arial Unicode MS" w:hAnsi="Arial" w:cs="Arial"/>
          <w:sz w:val="20"/>
          <w:szCs w:val="20"/>
        </w:rPr>
        <w:t>à pandemia COVID-19, Auxílio a Pesquisadores no montante de R$ 1 milhão, variação percentual de 1114%, pelo empenho de diversos auxílios a pesquisadores</w:t>
      </w:r>
      <w:r w:rsidR="00546FBD">
        <w:rPr>
          <w:rFonts w:ascii="Arial" w:eastAsia="Arial Unicode MS" w:hAnsi="Arial" w:cs="Arial"/>
          <w:sz w:val="20"/>
          <w:szCs w:val="20"/>
        </w:rPr>
        <w:t>,</w:t>
      </w:r>
    </w:p>
    <w:p w14:paraId="4363DC3D" w14:textId="644E936A" w:rsidR="00FA50D8" w:rsidRDefault="00546FBD" w:rsidP="00FA50D8">
      <w:pPr>
        <w:spacing w:after="40"/>
        <w:rPr>
          <w:rFonts w:ascii="Arial" w:eastAsia="Arial Unicode MS" w:hAnsi="Arial" w:cs="Arial"/>
          <w:sz w:val="20"/>
          <w:szCs w:val="20"/>
        </w:rPr>
      </w:pPr>
      <w:r>
        <w:rPr>
          <w:rFonts w:ascii="Arial" w:eastAsia="Arial Unicode MS" w:hAnsi="Arial" w:cs="Arial"/>
          <w:sz w:val="20"/>
          <w:szCs w:val="20"/>
        </w:rPr>
        <w:t xml:space="preserve">Material para Manutenção de Bens Móveis, Imóveis e Instalações no montante de R$ 483 mil, pelo empenho de diversos materiais </w:t>
      </w:r>
      <w:r w:rsidR="00293A77">
        <w:rPr>
          <w:rFonts w:ascii="Arial" w:eastAsia="Arial Unicode MS" w:hAnsi="Arial" w:cs="Arial"/>
          <w:sz w:val="20"/>
          <w:szCs w:val="20"/>
        </w:rPr>
        <w:t>para manutenção Campus Rio Grande R$ 40 mil, Campus Sertão 230 mil, Campus Bento Gonçalves R$ 85 mil, Campus Canoas R$ 15 mil, Campus Caxias R$ 11 mil, Campus Ibirubá R$ 11 mil, Campus Feliz R$ 52 mil e Campus Viamão R$ 28 mil, variação percentual de 228%</w:t>
      </w:r>
      <w:r w:rsidR="00541414">
        <w:rPr>
          <w:rFonts w:ascii="Arial" w:eastAsia="Arial Unicode MS" w:hAnsi="Arial" w:cs="Arial"/>
          <w:sz w:val="20"/>
          <w:szCs w:val="20"/>
        </w:rPr>
        <w:t xml:space="preserve">, quando comparados com o mesmo período do exercício anterior. </w:t>
      </w:r>
      <w:r w:rsidR="00E23E9C">
        <w:rPr>
          <w:rFonts w:ascii="Arial" w:eastAsia="Arial Unicode MS" w:hAnsi="Arial" w:cs="Arial"/>
          <w:sz w:val="20"/>
          <w:szCs w:val="20"/>
        </w:rPr>
        <w:t xml:space="preserve"> </w:t>
      </w:r>
      <w:r w:rsidR="00AE4817">
        <w:rPr>
          <w:rFonts w:ascii="Arial" w:eastAsia="Arial Unicode MS" w:hAnsi="Arial" w:cs="Arial"/>
          <w:sz w:val="20"/>
          <w:szCs w:val="20"/>
        </w:rPr>
        <w:t xml:space="preserve"> Observa-se o decréscimo de gastos em diversas rubricas de despesa</w:t>
      </w:r>
      <w:r w:rsidR="00541414">
        <w:rPr>
          <w:rFonts w:ascii="Arial" w:eastAsia="Arial Unicode MS" w:hAnsi="Arial" w:cs="Arial"/>
          <w:sz w:val="20"/>
          <w:szCs w:val="20"/>
        </w:rPr>
        <w:t>s como as de consumo de Energia Elétrica variação percentual -20%, Auxílio Transportes Civis</w:t>
      </w:r>
      <w:r w:rsidR="00AE4817">
        <w:rPr>
          <w:rFonts w:ascii="Arial" w:eastAsia="Arial Unicode MS" w:hAnsi="Arial" w:cs="Arial"/>
          <w:sz w:val="20"/>
          <w:szCs w:val="20"/>
        </w:rPr>
        <w:t xml:space="preserve"> </w:t>
      </w:r>
      <w:r w:rsidR="00541414">
        <w:rPr>
          <w:rFonts w:ascii="Arial" w:eastAsia="Arial Unicode MS" w:hAnsi="Arial" w:cs="Arial"/>
          <w:sz w:val="20"/>
          <w:szCs w:val="20"/>
        </w:rPr>
        <w:t xml:space="preserve">variação percentual -33%, materiais destinados a assistência social variação percentual -72%, auxílio transporte variação percentual -38%, combustíveis e lubrificantes automotivos variação percentual -25%, </w:t>
      </w:r>
      <w:r w:rsidR="00AE4817">
        <w:rPr>
          <w:rFonts w:ascii="Arial" w:eastAsia="Arial Unicode MS" w:hAnsi="Arial" w:cs="Arial"/>
          <w:sz w:val="20"/>
          <w:szCs w:val="20"/>
        </w:rPr>
        <w:t>provocadas em parte pela política de liberação de recursos de limites orçamentários e também em decorrência das medidas adotadas pelo IFRS para combate à pandemia COVID-19, com destaque para a suspensão das aulas e também pela implantação do trabalho remoto.</w:t>
      </w:r>
    </w:p>
    <w:p w14:paraId="71B73898" w14:textId="25184B36" w:rsidR="00643596" w:rsidRDefault="00643596" w:rsidP="00FA50D8">
      <w:pPr>
        <w:spacing w:after="40"/>
        <w:rPr>
          <w:rFonts w:ascii="Arial" w:eastAsia="Arial Unicode MS" w:hAnsi="Arial" w:cs="Arial"/>
          <w:sz w:val="20"/>
          <w:szCs w:val="20"/>
        </w:rPr>
      </w:pPr>
      <w:r w:rsidRPr="00643596">
        <w:rPr>
          <w:rFonts w:ascii="Arial" w:eastAsia="Arial Unicode MS" w:hAnsi="Arial" w:cs="Arial"/>
          <w:noProof/>
          <w:sz w:val="20"/>
          <w:szCs w:val="20"/>
        </w:rPr>
        <w:drawing>
          <wp:inline distT="0" distB="0" distL="0" distR="0" wp14:anchorId="3C6E7EA6" wp14:editId="0094A60B">
            <wp:extent cx="6479540" cy="7287260"/>
            <wp:effectExtent l="0" t="0" r="0" b="8890"/>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79540" cy="7287260"/>
                    </a:xfrm>
                    <a:prstGeom prst="rect">
                      <a:avLst/>
                    </a:prstGeom>
                    <a:noFill/>
                    <a:ln>
                      <a:noFill/>
                    </a:ln>
                  </pic:spPr>
                </pic:pic>
              </a:graphicData>
            </a:graphic>
          </wp:inline>
        </w:drawing>
      </w:r>
    </w:p>
    <w:p w14:paraId="6AAD414F" w14:textId="77777777" w:rsidR="00643596" w:rsidRDefault="00643596" w:rsidP="00FA50D8">
      <w:pPr>
        <w:spacing w:after="40"/>
        <w:rPr>
          <w:rFonts w:ascii="Arial" w:eastAsia="Arial Unicode MS" w:hAnsi="Arial" w:cs="Arial"/>
          <w:sz w:val="20"/>
          <w:szCs w:val="20"/>
        </w:rPr>
      </w:pPr>
    </w:p>
    <w:p w14:paraId="12E8D5C0" w14:textId="4D7F2B4C" w:rsidR="00FA50D8" w:rsidRDefault="00D42983" w:rsidP="00FA50D8">
      <w:pPr>
        <w:spacing w:after="40"/>
        <w:rPr>
          <w:rFonts w:ascii="Arial" w:eastAsia="Arial Unicode MS" w:hAnsi="Arial" w:cs="Arial"/>
          <w:sz w:val="20"/>
          <w:szCs w:val="20"/>
        </w:rPr>
      </w:pPr>
      <w:r>
        <w:rPr>
          <w:rFonts w:ascii="Arial" w:eastAsia="Arial Unicode MS" w:hAnsi="Arial" w:cs="Arial"/>
          <w:sz w:val="20"/>
          <w:szCs w:val="20"/>
        </w:rPr>
        <w:t>E</w:t>
      </w:r>
      <w:r w:rsidR="00FA50D8" w:rsidRPr="0034064D">
        <w:rPr>
          <w:rFonts w:ascii="Arial" w:eastAsia="Arial Unicode MS" w:hAnsi="Arial" w:cs="Arial"/>
          <w:sz w:val="20"/>
          <w:szCs w:val="20"/>
        </w:rPr>
        <w:t xml:space="preserve">m relação </w:t>
      </w:r>
      <w:r>
        <w:rPr>
          <w:rFonts w:ascii="Arial" w:eastAsia="Arial Unicode MS" w:hAnsi="Arial" w:cs="Arial"/>
          <w:sz w:val="20"/>
          <w:szCs w:val="20"/>
        </w:rPr>
        <w:t xml:space="preserve">aos </w:t>
      </w:r>
      <w:r w:rsidR="008D0F60">
        <w:rPr>
          <w:rFonts w:ascii="Arial" w:eastAsia="Arial Unicode MS" w:hAnsi="Arial" w:cs="Arial"/>
          <w:sz w:val="20"/>
          <w:szCs w:val="20"/>
        </w:rPr>
        <w:t xml:space="preserve">recursos orçamentários </w:t>
      </w:r>
      <w:r>
        <w:rPr>
          <w:rFonts w:ascii="Arial" w:eastAsia="Arial Unicode MS" w:hAnsi="Arial" w:cs="Arial"/>
          <w:sz w:val="20"/>
          <w:szCs w:val="20"/>
        </w:rPr>
        <w:t xml:space="preserve">aplicados </w:t>
      </w:r>
      <w:proofErr w:type="gramStart"/>
      <w:r w:rsidR="008D0F60">
        <w:rPr>
          <w:rFonts w:ascii="Arial" w:eastAsia="Arial Unicode MS" w:hAnsi="Arial" w:cs="Arial"/>
          <w:sz w:val="20"/>
          <w:szCs w:val="20"/>
        </w:rPr>
        <w:t xml:space="preserve">em </w:t>
      </w:r>
      <w:r w:rsidR="00FA50D8">
        <w:rPr>
          <w:rFonts w:ascii="Arial" w:eastAsia="Arial Unicode MS" w:hAnsi="Arial" w:cs="Arial"/>
          <w:sz w:val="20"/>
          <w:szCs w:val="20"/>
        </w:rPr>
        <w:t xml:space="preserve"> Investimentos</w:t>
      </w:r>
      <w:proofErr w:type="gramEnd"/>
      <w:r w:rsidR="008D0F60">
        <w:rPr>
          <w:rFonts w:ascii="Arial" w:eastAsia="Arial Unicode MS" w:hAnsi="Arial" w:cs="Arial"/>
          <w:sz w:val="20"/>
          <w:szCs w:val="20"/>
        </w:rPr>
        <w:t xml:space="preserve"> </w:t>
      </w:r>
      <w:r>
        <w:rPr>
          <w:rFonts w:ascii="Arial" w:eastAsia="Arial Unicode MS" w:hAnsi="Arial" w:cs="Arial"/>
          <w:sz w:val="20"/>
          <w:szCs w:val="20"/>
        </w:rPr>
        <w:t xml:space="preserve">até o </w:t>
      </w:r>
      <w:r w:rsidR="00000310">
        <w:rPr>
          <w:rFonts w:ascii="Arial" w:eastAsia="Arial Unicode MS" w:hAnsi="Arial" w:cs="Arial"/>
          <w:sz w:val="20"/>
          <w:szCs w:val="20"/>
        </w:rPr>
        <w:t>terceiro</w:t>
      </w:r>
      <w:r>
        <w:rPr>
          <w:rFonts w:ascii="Arial" w:eastAsia="Arial Unicode MS" w:hAnsi="Arial" w:cs="Arial"/>
          <w:sz w:val="20"/>
          <w:szCs w:val="20"/>
        </w:rPr>
        <w:t xml:space="preserve"> </w:t>
      </w:r>
      <w:r w:rsidR="008D0F60">
        <w:rPr>
          <w:rFonts w:ascii="Arial" w:eastAsia="Arial Unicode MS" w:hAnsi="Arial" w:cs="Arial"/>
          <w:sz w:val="20"/>
          <w:szCs w:val="20"/>
        </w:rPr>
        <w:t xml:space="preserve">trimestre do exercício 2020, </w:t>
      </w:r>
      <w:r>
        <w:rPr>
          <w:rFonts w:ascii="Arial" w:eastAsia="Arial Unicode MS" w:hAnsi="Arial" w:cs="Arial"/>
          <w:sz w:val="20"/>
          <w:szCs w:val="20"/>
        </w:rPr>
        <w:t xml:space="preserve">constatamos um acréscimo de aproximadamente </w:t>
      </w:r>
      <w:r w:rsidR="00000310">
        <w:rPr>
          <w:rFonts w:ascii="Arial" w:eastAsia="Arial Unicode MS" w:hAnsi="Arial" w:cs="Arial"/>
          <w:sz w:val="20"/>
          <w:szCs w:val="20"/>
        </w:rPr>
        <w:t>18</w:t>
      </w:r>
      <w:r>
        <w:rPr>
          <w:rFonts w:ascii="Arial" w:eastAsia="Arial Unicode MS" w:hAnsi="Arial" w:cs="Arial"/>
          <w:sz w:val="20"/>
          <w:szCs w:val="20"/>
        </w:rPr>
        <w:t xml:space="preserve">9% se comparado com o mesmo período do exercício anterior. Os investimentos em obras em andamento, com aplicação de R$ </w:t>
      </w:r>
      <w:r w:rsidR="005F013C">
        <w:rPr>
          <w:rFonts w:ascii="Arial" w:eastAsia="Arial Unicode MS" w:hAnsi="Arial" w:cs="Arial"/>
          <w:sz w:val="20"/>
          <w:szCs w:val="20"/>
        </w:rPr>
        <w:t>2,42</w:t>
      </w:r>
      <w:r>
        <w:rPr>
          <w:rFonts w:ascii="Arial" w:eastAsia="Arial Unicode MS" w:hAnsi="Arial" w:cs="Arial"/>
          <w:sz w:val="20"/>
          <w:szCs w:val="20"/>
        </w:rPr>
        <w:t xml:space="preserve"> milhões, representam </w:t>
      </w:r>
      <w:r w:rsidR="005F013C">
        <w:rPr>
          <w:rFonts w:ascii="Arial" w:eastAsia="Arial Unicode MS" w:hAnsi="Arial" w:cs="Arial"/>
          <w:sz w:val="20"/>
          <w:szCs w:val="20"/>
        </w:rPr>
        <w:t>66,88</w:t>
      </w:r>
      <w:r>
        <w:rPr>
          <w:rFonts w:ascii="Arial" w:eastAsia="Arial Unicode MS" w:hAnsi="Arial" w:cs="Arial"/>
          <w:sz w:val="20"/>
          <w:szCs w:val="20"/>
        </w:rPr>
        <w:t xml:space="preserve">% do total da despesa empenhada nesta categoria, e podemos destacar os empenhos para </w:t>
      </w:r>
      <w:r w:rsidR="005F013C">
        <w:rPr>
          <w:rFonts w:ascii="Arial" w:eastAsia="Arial Unicode MS" w:hAnsi="Arial" w:cs="Arial"/>
          <w:sz w:val="20"/>
          <w:szCs w:val="20"/>
        </w:rPr>
        <w:t xml:space="preserve">reforma da cobertura torre norte Campus Porto Alegre R$ 490 mil, construção do Bloco “B” do Campus Caxias do Sul R$ 594 mil, </w:t>
      </w:r>
      <w:r>
        <w:rPr>
          <w:rFonts w:ascii="Arial" w:eastAsia="Arial Unicode MS" w:hAnsi="Arial" w:cs="Arial"/>
          <w:sz w:val="20"/>
          <w:szCs w:val="20"/>
        </w:rPr>
        <w:t xml:space="preserve">construção do bloco 6 do Campus Farroupilha R$ 583 mil e construção do bloco didático pedagógico do Campus Vacaria R$ 601 mil, </w:t>
      </w:r>
      <w:r w:rsidR="00FA50D8" w:rsidRPr="0034064D">
        <w:rPr>
          <w:rFonts w:ascii="Arial" w:eastAsia="Arial Unicode MS" w:hAnsi="Arial" w:cs="Arial"/>
          <w:sz w:val="20"/>
          <w:szCs w:val="20"/>
        </w:rPr>
        <w:t>conforme demonstrado na tabela que segue</w:t>
      </w:r>
      <w:r w:rsidR="00FA50D8">
        <w:rPr>
          <w:rFonts w:ascii="Arial" w:eastAsia="Arial Unicode MS" w:hAnsi="Arial" w:cs="Arial"/>
          <w:sz w:val="20"/>
          <w:szCs w:val="20"/>
        </w:rPr>
        <w:t>:</w:t>
      </w:r>
    </w:p>
    <w:p w14:paraId="4E436F2E" w14:textId="13651DF3" w:rsidR="00000310" w:rsidRDefault="00000310" w:rsidP="00FA50D8">
      <w:pPr>
        <w:spacing w:after="40"/>
        <w:rPr>
          <w:rFonts w:ascii="Arial" w:eastAsia="Arial Unicode MS" w:hAnsi="Arial" w:cs="Arial"/>
          <w:sz w:val="20"/>
          <w:szCs w:val="20"/>
        </w:rPr>
      </w:pPr>
      <w:r w:rsidRPr="00000310">
        <w:rPr>
          <w:rFonts w:ascii="Arial" w:eastAsia="Arial Unicode MS" w:hAnsi="Arial" w:cs="Arial"/>
          <w:noProof/>
          <w:sz w:val="20"/>
          <w:szCs w:val="20"/>
        </w:rPr>
        <w:drawing>
          <wp:inline distT="0" distB="0" distL="0" distR="0" wp14:anchorId="2FE4460C" wp14:editId="4CB57644">
            <wp:extent cx="6479540" cy="5022215"/>
            <wp:effectExtent l="0" t="0" r="0" b="698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79540" cy="5022215"/>
                    </a:xfrm>
                    <a:prstGeom prst="rect">
                      <a:avLst/>
                    </a:prstGeom>
                    <a:noFill/>
                    <a:ln>
                      <a:noFill/>
                    </a:ln>
                  </pic:spPr>
                </pic:pic>
              </a:graphicData>
            </a:graphic>
          </wp:inline>
        </w:drawing>
      </w:r>
    </w:p>
    <w:p w14:paraId="38B1900A" w14:textId="77777777" w:rsidR="008D0F60" w:rsidRDefault="008D0F60" w:rsidP="00FA50D8">
      <w:pPr>
        <w:spacing w:after="40"/>
        <w:rPr>
          <w:rFonts w:ascii="Arial" w:eastAsia="Arial Unicode MS" w:hAnsi="Arial" w:cs="Arial"/>
          <w:sz w:val="20"/>
          <w:szCs w:val="20"/>
        </w:rPr>
      </w:pPr>
    </w:p>
    <w:p w14:paraId="4529A039" w14:textId="0F9DDFF6" w:rsidR="00FA50D8" w:rsidRDefault="00FA50D8" w:rsidP="00FA50D8">
      <w:pPr>
        <w:spacing w:after="40"/>
        <w:rPr>
          <w:rFonts w:ascii="Arial" w:eastAsia="Arial Unicode MS" w:hAnsi="Arial" w:cs="Arial"/>
          <w:sz w:val="20"/>
          <w:szCs w:val="20"/>
        </w:rPr>
        <w:sectPr w:rsidR="00FA50D8" w:rsidSect="00E576AD">
          <w:type w:val="continuous"/>
          <w:pgSz w:w="11906" w:h="16838"/>
          <w:pgMar w:top="1021" w:right="851" w:bottom="851" w:left="851" w:header="709" w:footer="0" w:gutter="0"/>
          <w:cols w:space="708"/>
          <w:docGrid w:linePitch="360"/>
        </w:sectPr>
      </w:pPr>
    </w:p>
    <w:p w14:paraId="623916BB" w14:textId="77777777" w:rsidR="00FA50D8" w:rsidRPr="006F5B28" w:rsidRDefault="00FA50D8" w:rsidP="00FA50D8">
      <w:pPr>
        <w:spacing w:after="40"/>
        <w:jc w:val="both"/>
        <w:rPr>
          <w:rFonts w:ascii="Arial" w:eastAsia="Arial Unicode MS" w:hAnsi="Arial" w:cs="Arial"/>
          <w:b/>
          <w:sz w:val="20"/>
          <w:szCs w:val="20"/>
        </w:rPr>
      </w:pPr>
      <w:r w:rsidRPr="006F5B28">
        <w:rPr>
          <w:rFonts w:ascii="Arial" w:eastAsia="Arial Unicode MS" w:hAnsi="Arial" w:cs="Arial"/>
          <w:b/>
          <w:sz w:val="20"/>
          <w:szCs w:val="20"/>
        </w:rPr>
        <w:t>Restos a Pagar</w:t>
      </w:r>
    </w:p>
    <w:p w14:paraId="4329EB09" w14:textId="05FB971E" w:rsidR="00FA50D8" w:rsidRDefault="00FA50D8" w:rsidP="00FA50D8">
      <w:pPr>
        <w:spacing w:after="40"/>
        <w:rPr>
          <w:rFonts w:ascii="Arial" w:eastAsia="Arial Unicode MS" w:hAnsi="Arial" w:cs="Arial"/>
          <w:sz w:val="20"/>
          <w:szCs w:val="20"/>
        </w:rPr>
      </w:pPr>
      <w:r>
        <w:rPr>
          <w:rFonts w:ascii="Arial" w:eastAsia="Arial Unicode MS" w:hAnsi="Arial" w:cs="Arial"/>
          <w:sz w:val="20"/>
          <w:szCs w:val="20"/>
        </w:rPr>
        <w:t>Conforme evidenciado na tabela abaixo, a grande maioria dos Restos a Pagar Processados do Instituto Federal de Educação, Ciência e Tecnologia do RS são relativas a  Despesas  Correntes, com destaque para Pessoal e Encargos Sociais R$ 2</w:t>
      </w:r>
      <w:r w:rsidR="00C00905">
        <w:rPr>
          <w:rFonts w:ascii="Arial" w:eastAsia="Arial Unicode MS" w:hAnsi="Arial" w:cs="Arial"/>
          <w:sz w:val="20"/>
          <w:szCs w:val="20"/>
        </w:rPr>
        <w:t>9,36</w:t>
      </w:r>
      <w:r>
        <w:rPr>
          <w:rFonts w:ascii="Arial" w:eastAsia="Arial Unicode MS" w:hAnsi="Arial" w:cs="Arial"/>
          <w:sz w:val="20"/>
          <w:szCs w:val="20"/>
        </w:rPr>
        <w:t xml:space="preserve"> milhões, que correspondem a </w:t>
      </w:r>
      <w:r w:rsidR="00753DE7">
        <w:rPr>
          <w:rFonts w:ascii="Arial" w:eastAsia="Arial Unicode MS" w:hAnsi="Arial" w:cs="Arial"/>
          <w:sz w:val="20"/>
          <w:szCs w:val="20"/>
        </w:rPr>
        <w:t xml:space="preserve">aproximadamente </w:t>
      </w:r>
      <w:r>
        <w:rPr>
          <w:rFonts w:ascii="Arial" w:eastAsia="Arial Unicode MS" w:hAnsi="Arial" w:cs="Arial"/>
          <w:sz w:val="20"/>
          <w:szCs w:val="20"/>
        </w:rPr>
        <w:t>8</w:t>
      </w:r>
      <w:r w:rsidR="00C00905">
        <w:rPr>
          <w:rFonts w:ascii="Arial" w:eastAsia="Arial Unicode MS" w:hAnsi="Arial" w:cs="Arial"/>
          <w:sz w:val="20"/>
          <w:szCs w:val="20"/>
        </w:rPr>
        <w:t>6</w:t>
      </w:r>
      <w:r>
        <w:rPr>
          <w:rFonts w:ascii="Arial" w:eastAsia="Arial Unicode MS" w:hAnsi="Arial" w:cs="Arial"/>
          <w:sz w:val="20"/>
          <w:szCs w:val="20"/>
        </w:rPr>
        <w:t xml:space="preserve">% dos valores inscritos em restos processados em razão de que a folha de pagamento e encargos apesar de pagos no próprio exercício só são quitados efetivamente no exercício seguinte pelo  trâmite de processamento no SIAFI. Já as Outras Despesas Correntes </w:t>
      </w:r>
      <w:r w:rsidR="00C00905">
        <w:rPr>
          <w:rFonts w:ascii="Arial" w:eastAsia="Arial Unicode MS" w:hAnsi="Arial" w:cs="Arial"/>
          <w:sz w:val="20"/>
          <w:szCs w:val="20"/>
        </w:rPr>
        <w:t xml:space="preserve">no montante de </w:t>
      </w:r>
      <w:r>
        <w:rPr>
          <w:rFonts w:ascii="Arial" w:eastAsia="Arial Unicode MS" w:hAnsi="Arial" w:cs="Arial"/>
          <w:sz w:val="20"/>
          <w:szCs w:val="20"/>
        </w:rPr>
        <w:t xml:space="preserve">R$ </w:t>
      </w:r>
      <w:r w:rsidR="00C00905">
        <w:rPr>
          <w:rFonts w:ascii="Arial" w:eastAsia="Arial Unicode MS" w:hAnsi="Arial" w:cs="Arial"/>
          <w:sz w:val="20"/>
          <w:szCs w:val="20"/>
        </w:rPr>
        <w:t>4,55</w:t>
      </w:r>
      <w:r>
        <w:rPr>
          <w:rFonts w:ascii="Arial" w:eastAsia="Arial Unicode MS" w:hAnsi="Arial" w:cs="Arial"/>
          <w:sz w:val="20"/>
          <w:szCs w:val="20"/>
        </w:rPr>
        <w:t xml:space="preserve"> milhões, representam </w:t>
      </w:r>
      <w:r w:rsidR="00753DE7">
        <w:rPr>
          <w:rFonts w:ascii="Arial" w:eastAsia="Arial Unicode MS" w:hAnsi="Arial" w:cs="Arial"/>
          <w:sz w:val="20"/>
          <w:szCs w:val="20"/>
        </w:rPr>
        <w:t xml:space="preserve">aproximadamente </w:t>
      </w:r>
      <w:r>
        <w:rPr>
          <w:rFonts w:ascii="Arial" w:eastAsia="Arial Unicode MS" w:hAnsi="Arial" w:cs="Arial"/>
          <w:sz w:val="20"/>
          <w:szCs w:val="20"/>
        </w:rPr>
        <w:t>1</w:t>
      </w:r>
      <w:r w:rsidR="00C00905">
        <w:rPr>
          <w:rFonts w:ascii="Arial" w:eastAsia="Arial Unicode MS" w:hAnsi="Arial" w:cs="Arial"/>
          <w:sz w:val="20"/>
          <w:szCs w:val="20"/>
        </w:rPr>
        <w:t>3</w:t>
      </w:r>
      <w:r>
        <w:rPr>
          <w:rFonts w:ascii="Arial" w:eastAsia="Arial Unicode MS" w:hAnsi="Arial" w:cs="Arial"/>
          <w:sz w:val="20"/>
          <w:szCs w:val="20"/>
        </w:rPr>
        <w:t xml:space="preserve">% dos valores processados inscritos e referem-se especialmente a benefícios decorrentes da despesa com pessoal como auxílio alimentação, ressarcimentos do plano de saúde, auxílio transporte e de compromissos assumidos pela prestação de serviços de terceiros, (vigilância, limpeza, energia, comunicação, etc...).,  e os Investimentos R$ </w:t>
      </w:r>
      <w:r w:rsidR="00C00905">
        <w:rPr>
          <w:rFonts w:ascii="Arial" w:eastAsia="Arial Unicode MS" w:hAnsi="Arial" w:cs="Arial"/>
          <w:sz w:val="20"/>
          <w:szCs w:val="20"/>
        </w:rPr>
        <w:t>108</w:t>
      </w:r>
      <w:r>
        <w:rPr>
          <w:rFonts w:ascii="Arial" w:eastAsia="Arial Unicode MS" w:hAnsi="Arial" w:cs="Arial"/>
          <w:sz w:val="20"/>
          <w:szCs w:val="20"/>
        </w:rPr>
        <w:t xml:space="preserve"> mil, que representam </w:t>
      </w:r>
      <w:r w:rsidR="00C00905">
        <w:rPr>
          <w:rFonts w:ascii="Arial" w:eastAsia="Arial Unicode MS" w:hAnsi="Arial" w:cs="Arial"/>
          <w:sz w:val="20"/>
          <w:szCs w:val="20"/>
        </w:rPr>
        <w:t>0,32</w:t>
      </w:r>
      <w:r>
        <w:rPr>
          <w:rFonts w:ascii="Arial" w:eastAsia="Arial Unicode MS" w:hAnsi="Arial" w:cs="Arial"/>
          <w:sz w:val="20"/>
          <w:szCs w:val="20"/>
        </w:rPr>
        <w:t>% do montante e referem-se a obras e instalações e aquisição de equipamentos e materiais permanentes. Observe-se que no exercício de 20</w:t>
      </w:r>
      <w:r w:rsidR="006169D2">
        <w:rPr>
          <w:rFonts w:ascii="Arial" w:eastAsia="Arial Unicode MS" w:hAnsi="Arial" w:cs="Arial"/>
          <w:sz w:val="20"/>
          <w:szCs w:val="20"/>
        </w:rPr>
        <w:t>20</w:t>
      </w:r>
      <w:r>
        <w:rPr>
          <w:rFonts w:ascii="Arial" w:eastAsia="Arial Unicode MS" w:hAnsi="Arial" w:cs="Arial"/>
          <w:sz w:val="20"/>
          <w:szCs w:val="20"/>
        </w:rPr>
        <w:t xml:space="preserve"> o IFRS pagou o valor de R$ 3</w:t>
      </w:r>
      <w:r w:rsidR="006169D2">
        <w:rPr>
          <w:rFonts w:ascii="Arial" w:eastAsia="Arial Unicode MS" w:hAnsi="Arial" w:cs="Arial"/>
          <w:sz w:val="20"/>
          <w:szCs w:val="20"/>
        </w:rPr>
        <w:t>4</w:t>
      </w:r>
      <w:r>
        <w:rPr>
          <w:rFonts w:ascii="Arial" w:eastAsia="Arial Unicode MS" w:hAnsi="Arial" w:cs="Arial"/>
          <w:sz w:val="20"/>
          <w:szCs w:val="20"/>
        </w:rPr>
        <w:t xml:space="preserve"> milhões de Restos a Pagar Processados, equivalentes a 99,</w:t>
      </w:r>
      <w:r w:rsidR="00C27A5F">
        <w:rPr>
          <w:rFonts w:ascii="Arial" w:eastAsia="Arial Unicode MS" w:hAnsi="Arial" w:cs="Arial"/>
          <w:sz w:val="20"/>
          <w:szCs w:val="20"/>
        </w:rPr>
        <w:t>90</w:t>
      </w:r>
      <w:r>
        <w:rPr>
          <w:rFonts w:ascii="Arial" w:eastAsia="Arial Unicode MS" w:hAnsi="Arial" w:cs="Arial"/>
          <w:sz w:val="20"/>
          <w:szCs w:val="20"/>
        </w:rPr>
        <w:t xml:space="preserve">% do montante processado inscrito, o que evidencia a busca permanente do IFRS em quitar os compromissos assumidos com seus fornecedores. </w:t>
      </w:r>
    </w:p>
    <w:p w14:paraId="3A2A8FB6" w14:textId="03540B87" w:rsidR="00FA50D8" w:rsidRDefault="00FA50D8" w:rsidP="00FA50D8">
      <w:pPr>
        <w:spacing w:after="40"/>
        <w:rPr>
          <w:rFonts w:ascii="Arial" w:eastAsia="Arial Unicode MS" w:hAnsi="Arial" w:cs="Arial"/>
          <w:sz w:val="20"/>
          <w:szCs w:val="20"/>
        </w:rPr>
      </w:pPr>
      <w:r>
        <w:rPr>
          <w:rFonts w:ascii="Arial" w:eastAsia="Arial Unicode MS" w:hAnsi="Arial" w:cs="Arial"/>
          <w:sz w:val="20"/>
          <w:szCs w:val="20"/>
        </w:rPr>
        <w:t>Quanto aos Restos a Pagar Não Processados, 49</w:t>
      </w:r>
      <w:r w:rsidR="006169D2">
        <w:rPr>
          <w:rFonts w:ascii="Arial" w:eastAsia="Arial Unicode MS" w:hAnsi="Arial" w:cs="Arial"/>
          <w:sz w:val="20"/>
          <w:szCs w:val="20"/>
        </w:rPr>
        <w:t>,60</w:t>
      </w:r>
      <w:r>
        <w:rPr>
          <w:rFonts w:ascii="Arial" w:eastAsia="Arial Unicode MS" w:hAnsi="Arial" w:cs="Arial"/>
          <w:sz w:val="20"/>
          <w:szCs w:val="20"/>
        </w:rPr>
        <w:t>% referem-se Outras Despesas Correntes equivalentes a R$ 1</w:t>
      </w:r>
      <w:r w:rsidR="006169D2">
        <w:rPr>
          <w:rFonts w:ascii="Arial" w:eastAsia="Arial Unicode MS" w:hAnsi="Arial" w:cs="Arial"/>
          <w:sz w:val="20"/>
          <w:szCs w:val="20"/>
        </w:rPr>
        <w:t>2,4</w:t>
      </w:r>
      <w:r w:rsidR="00545DDE">
        <w:rPr>
          <w:rFonts w:ascii="Arial" w:eastAsia="Arial Unicode MS" w:hAnsi="Arial" w:cs="Arial"/>
          <w:sz w:val="20"/>
          <w:szCs w:val="20"/>
        </w:rPr>
        <w:t>2</w:t>
      </w:r>
      <w:r>
        <w:rPr>
          <w:rFonts w:ascii="Arial" w:eastAsia="Arial Unicode MS" w:hAnsi="Arial" w:cs="Arial"/>
          <w:sz w:val="20"/>
          <w:szCs w:val="20"/>
        </w:rPr>
        <w:t xml:space="preserve"> milhões, composto principalmente pela aquisição de diversos materiais de consumo e também pela contratação de serviços de terceiros pessoa jurídica. </w:t>
      </w:r>
      <w:r w:rsidR="006169D2">
        <w:rPr>
          <w:rFonts w:ascii="Arial" w:eastAsia="Arial Unicode MS" w:hAnsi="Arial" w:cs="Arial"/>
          <w:sz w:val="20"/>
          <w:szCs w:val="20"/>
        </w:rPr>
        <w:t>44,47</w:t>
      </w:r>
      <w:r>
        <w:rPr>
          <w:rFonts w:ascii="Arial" w:eastAsia="Arial Unicode MS" w:hAnsi="Arial" w:cs="Arial"/>
          <w:sz w:val="20"/>
          <w:szCs w:val="20"/>
        </w:rPr>
        <w:t xml:space="preserve">% dos valores inscritos em não processados referem-se a Investimentos equivalentes a R$ </w:t>
      </w:r>
      <w:r w:rsidR="006169D2">
        <w:rPr>
          <w:rFonts w:ascii="Arial" w:eastAsia="Arial Unicode MS" w:hAnsi="Arial" w:cs="Arial"/>
          <w:sz w:val="20"/>
          <w:szCs w:val="20"/>
        </w:rPr>
        <w:t>11,1</w:t>
      </w:r>
      <w:r w:rsidR="00545DDE">
        <w:rPr>
          <w:rFonts w:ascii="Arial" w:eastAsia="Arial Unicode MS" w:hAnsi="Arial" w:cs="Arial"/>
          <w:sz w:val="20"/>
          <w:szCs w:val="20"/>
        </w:rPr>
        <w:t>3</w:t>
      </w:r>
      <w:r>
        <w:rPr>
          <w:rFonts w:ascii="Arial" w:eastAsia="Arial Unicode MS" w:hAnsi="Arial" w:cs="Arial"/>
          <w:sz w:val="20"/>
          <w:szCs w:val="20"/>
        </w:rPr>
        <w:t xml:space="preserve"> milhões, composto por obras e instalações e equipamentos e </w:t>
      </w:r>
      <w:r>
        <w:rPr>
          <w:rFonts w:ascii="Arial" w:eastAsia="Arial Unicode MS" w:hAnsi="Arial" w:cs="Arial"/>
          <w:sz w:val="20"/>
          <w:szCs w:val="20"/>
        </w:rPr>
        <w:lastRenderedPageBreak/>
        <w:t xml:space="preserve">materiais permanentes e </w:t>
      </w:r>
      <w:r w:rsidR="00545DDE">
        <w:rPr>
          <w:rFonts w:ascii="Arial" w:eastAsia="Arial Unicode MS" w:hAnsi="Arial" w:cs="Arial"/>
          <w:sz w:val="20"/>
          <w:szCs w:val="20"/>
        </w:rPr>
        <w:t>5,60</w:t>
      </w:r>
      <w:r>
        <w:rPr>
          <w:rFonts w:ascii="Arial" w:eastAsia="Arial Unicode MS" w:hAnsi="Arial" w:cs="Arial"/>
          <w:sz w:val="20"/>
          <w:szCs w:val="20"/>
        </w:rPr>
        <w:t xml:space="preserve">% refere-se a valores de Restos a Pagar </w:t>
      </w:r>
      <w:r w:rsidR="00545DDE">
        <w:rPr>
          <w:rFonts w:ascii="Arial" w:eastAsia="Arial Unicode MS" w:hAnsi="Arial" w:cs="Arial"/>
          <w:sz w:val="20"/>
          <w:szCs w:val="20"/>
        </w:rPr>
        <w:t xml:space="preserve">Não Processados </w:t>
      </w:r>
      <w:r>
        <w:rPr>
          <w:rFonts w:ascii="Arial" w:eastAsia="Arial Unicode MS" w:hAnsi="Arial" w:cs="Arial"/>
          <w:sz w:val="20"/>
          <w:szCs w:val="20"/>
        </w:rPr>
        <w:t xml:space="preserve">Reinscritos, que correspondem </w:t>
      </w:r>
      <w:proofErr w:type="gramStart"/>
      <w:r>
        <w:rPr>
          <w:rFonts w:ascii="Arial" w:eastAsia="Arial Unicode MS" w:hAnsi="Arial" w:cs="Arial"/>
          <w:sz w:val="20"/>
          <w:szCs w:val="20"/>
        </w:rPr>
        <w:t>a  R</w:t>
      </w:r>
      <w:proofErr w:type="gramEnd"/>
      <w:r>
        <w:rPr>
          <w:rFonts w:ascii="Arial" w:eastAsia="Arial Unicode MS" w:hAnsi="Arial" w:cs="Arial"/>
          <w:sz w:val="20"/>
          <w:szCs w:val="20"/>
        </w:rPr>
        <w:t xml:space="preserve">$ </w:t>
      </w:r>
      <w:r w:rsidR="00545DDE">
        <w:rPr>
          <w:rFonts w:ascii="Arial" w:eastAsia="Arial Unicode MS" w:hAnsi="Arial" w:cs="Arial"/>
          <w:sz w:val="20"/>
          <w:szCs w:val="20"/>
        </w:rPr>
        <w:t>1,40</w:t>
      </w:r>
      <w:r>
        <w:rPr>
          <w:rFonts w:ascii="Arial" w:eastAsia="Arial Unicode MS" w:hAnsi="Arial" w:cs="Arial"/>
          <w:sz w:val="20"/>
          <w:szCs w:val="20"/>
        </w:rPr>
        <w:t xml:space="preserve"> milhões. Ao longo do exercício de 20</w:t>
      </w:r>
      <w:r w:rsidR="00545DDE">
        <w:rPr>
          <w:rFonts w:ascii="Arial" w:eastAsia="Arial Unicode MS" w:hAnsi="Arial" w:cs="Arial"/>
          <w:sz w:val="20"/>
          <w:szCs w:val="20"/>
        </w:rPr>
        <w:t>20</w:t>
      </w:r>
      <w:r>
        <w:rPr>
          <w:rFonts w:ascii="Arial" w:eastAsia="Arial Unicode MS" w:hAnsi="Arial" w:cs="Arial"/>
          <w:sz w:val="20"/>
          <w:szCs w:val="20"/>
        </w:rPr>
        <w:t xml:space="preserve"> o IFRS pagou o montante de R$ </w:t>
      </w:r>
      <w:r w:rsidR="000338B8">
        <w:rPr>
          <w:rFonts w:ascii="Arial" w:eastAsia="Arial Unicode MS" w:hAnsi="Arial" w:cs="Arial"/>
          <w:sz w:val="20"/>
          <w:szCs w:val="20"/>
        </w:rPr>
        <w:t>13,88</w:t>
      </w:r>
      <w:r>
        <w:rPr>
          <w:rFonts w:ascii="Arial" w:eastAsia="Arial Unicode MS" w:hAnsi="Arial" w:cs="Arial"/>
          <w:sz w:val="20"/>
          <w:szCs w:val="20"/>
        </w:rPr>
        <w:t xml:space="preserve"> milhões em Restos Não Processados, equivalentes a </w:t>
      </w:r>
      <w:r w:rsidR="000338B8">
        <w:rPr>
          <w:rFonts w:ascii="Arial" w:eastAsia="Arial Unicode MS" w:hAnsi="Arial" w:cs="Arial"/>
          <w:sz w:val="20"/>
          <w:szCs w:val="20"/>
        </w:rPr>
        <w:t>55,44</w:t>
      </w:r>
      <w:r>
        <w:rPr>
          <w:rFonts w:ascii="Arial" w:eastAsia="Arial Unicode MS" w:hAnsi="Arial" w:cs="Arial"/>
          <w:sz w:val="20"/>
          <w:szCs w:val="20"/>
        </w:rPr>
        <w:t xml:space="preserve">% dos compromissos assumidos, restando o montante de R$ </w:t>
      </w:r>
      <w:r w:rsidR="000338B8">
        <w:rPr>
          <w:rFonts w:ascii="Arial" w:eastAsia="Arial Unicode MS" w:hAnsi="Arial" w:cs="Arial"/>
          <w:sz w:val="20"/>
          <w:szCs w:val="20"/>
        </w:rPr>
        <w:t>5,75</w:t>
      </w:r>
      <w:r>
        <w:rPr>
          <w:rFonts w:ascii="Arial" w:eastAsia="Arial Unicode MS" w:hAnsi="Arial" w:cs="Arial"/>
          <w:sz w:val="20"/>
          <w:szCs w:val="20"/>
        </w:rPr>
        <w:t xml:space="preserve"> milhões para serem pagos, o que equivale a </w:t>
      </w:r>
      <w:r w:rsidR="000338B8">
        <w:rPr>
          <w:rFonts w:ascii="Arial" w:eastAsia="Arial Unicode MS" w:hAnsi="Arial" w:cs="Arial"/>
          <w:sz w:val="20"/>
          <w:szCs w:val="20"/>
        </w:rPr>
        <w:t>40,66</w:t>
      </w:r>
      <w:r>
        <w:rPr>
          <w:rFonts w:ascii="Arial" w:eastAsia="Arial Unicode MS" w:hAnsi="Arial" w:cs="Arial"/>
          <w:sz w:val="20"/>
          <w:szCs w:val="20"/>
        </w:rPr>
        <w:t>% do total inscrito</w:t>
      </w:r>
      <w:r w:rsidR="00992D93">
        <w:rPr>
          <w:rFonts w:ascii="Arial" w:eastAsia="Arial Unicode MS" w:hAnsi="Arial" w:cs="Arial"/>
          <w:sz w:val="20"/>
          <w:szCs w:val="20"/>
        </w:rPr>
        <w:t xml:space="preserve">, já descontando os valores cancelados no exercício e que correspondem a </w:t>
      </w:r>
      <w:r w:rsidR="000338B8">
        <w:rPr>
          <w:rFonts w:ascii="Arial" w:eastAsia="Arial Unicode MS" w:hAnsi="Arial" w:cs="Arial"/>
          <w:sz w:val="20"/>
          <w:szCs w:val="20"/>
        </w:rPr>
        <w:t>3,90</w:t>
      </w:r>
      <w:r w:rsidR="00992D93">
        <w:rPr>
          <w:rFonts w:ascii="Arial" w:eastAsia="Arial Unicode MS" w:hAnsi="Arial" w:cs="Arial"/>
          <w:sz w:val="20"/>
          <w:szCs w:val="20"/>
        </w:rPr>
        <w:t xml:space="preserve">%, equivalentes a R$ </w:t>
      </w:r>
      <w:r w:rsidR="000338B8">
        <w:rPr>
          <w:rFonts w:ascii="Arial" w:eastAsia="Arial Unicode MS" w:hAnsi="Arial" w:cs="Arial"/>
          <w:sz w:val="20"/>
          <w:szCs w:val="20"/>
        </w:rPr>
        <w:t>820</w:t>
      </w:r>
      <w:r w:rsidR="00992D93">
        <w:rPr>
          <w:rFonts w:ascii="Arial" w:eastAsia="Arial Unicode MS" w:hAnsi="Arial" w:cs="Arial"/>
          <w:sz w:val="20"/>
          <w:szCs w:val="20"/>
        </w:rPr>
        <w:t xml:space="preserve"> mil</w:t>
      </w:r>
      <w:r>
        <w:rPr>
          <w:rFonts w:ascii="Arial" w:eastAsia="Arial Unicode MS" w:hAnsi="Arial" w:cs="Arial"/>
          <w:sz w:val="20"/>
          <w:szCs w:val="20"/>
        </w:rPr>
        <w:t xml:space="preserve">. </w:t>
      </w:r>
    </w:p>
    <w:p w14:paraId="27427F3E" w14:textId="4ABD1038" w:rsidR="000338B8" w:rsidRDefault="000338B8" w:rsidP="00FA50D8">
      <w:pPr>
        <w:spacing w:after="40"/>
        <w:rPr>
          <w:rFonts w:ascii="Arial" w:eastAsia="Arial Unicode MS" w:hAnsi="Arial" w:cs="Arial"/>
          <w:sz w:val="20"/>
          <w:szCs w:val="20"/>
        </w:rPr>
      </w:pPr>
      <w:r w:rsidRPr="000338B8">
        <w:rPr>
          <w:rFonts w:ascii="Arial" w:eastAsia="Arial Unicode MS" w:hAnsi="Arial" w:cs="Arial"/>
          <w:noProof/>
          <w:sz w:val="20"/>
          <w:szCs w:val="20"/>
        </w:rPr>
        <w:drawing>
          <wp:inline distT="0" distB="0" distL="0" distR="0" wp14:anchorId="34725965" wp14:editId="416D85AF">
            <wp:extent cx="6479540" cy="2358390"/>
            <wp:effectExtent l="0" t="0" r="0"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79540" cy="2358390"/>
                    </a:xfrm>
                    <a:prstGeom prst="rect">
                      <a:avLst/>
                    </a:prstGeom>
                    <a:noFill/>
                    <a:ln>
                      <a:noFill/>
                    </a:ln>
                  </pic:spPr>
                </pic:pic>
              </a:graphicData>
            </a:graphic>
          </wp:inline>
        </w:drawing>
      </w:r>
    </w:p>
    <w:p w14:paraId="5B43EFBF" w14:textId="01512757" w:rsidR="00FA50D8" w:rsidRDefault="00FA50D8" w:rsidP="00FA50D8">
      <w:pPr>
        <w:spacing w:after="40"/>
        <w:rPr>
          <w:rFonts w:ascii="Arial" w:eastAsia="Arial Unicode MS" w:hAnsi="Arial" w:cs="Arial"/>
          <w:b/>
          <w:sz w:val="20"/>
          <w:szCs w:val="20"/>
        </w:rPr>
      </w:pPr>
      <w:r w:rsidRPr="000C545F">
        <w:rPr>
          <w:rFonts w:ascii="Arial" w:eastAsia="Arial Unicode MS" w:hAnsi="Arial" w:cs="Arial"/>
          <w:b/>
          <w:sz w:val="20"/>
          <w:szCs w:val="20"/>
        </w:rPr>
        <w:t>Restos a Pagar Processados</w:t>
      </w:r>
    </w:p>
    <w:p w14:paraId="215EF33F" w14:textId="79632BDE" w:rsidR="007D1028" w:rsidRDefault="007D1028" w:rsidP="00FA50D8">
      <w:pPr>
        <w:spacing w:after="40"/>
        <w:rPr>
          <w:rFonts w:ascii="Arial" w:eastAsia="Arial Unicode MS" w:hAnsi="Arial" w:cs="Arial"/>
          <w:b/>
          <w:sz w:val="20"/>
          <w:szCs w:val="20"/>
        </w:rPr>
      </w:pPr>
      <w:r w:rsidRPr="007D1028">
        <w:rPr>
          <w:rFonts w:ascii="Arial" w:eastAsia="Arial Unicode MS" w:hAnsi="Arial" w:cs="Arial"/>
          <w:b/>
          <w:noProof/>
          <w:sz w:val="20"/>
          <w:szCs w:val="20"/>
        </w:rPr>
        <w:drawing>
          <wp:inline distT="0" distB="0" distL="0" distR="0" wp14:anchorId="0E24A31C" wp14:editId="6C32F162">
            <wp:extent cx="4579620" cy="2750820"/>
            <wp:effectExtent l="0" t="0" r="0" b="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14:paraId="5075098D" w14:textId="77777777" w:rsidR="00BD0095" w:rsidRDefault="00BD0095" w:rsidP="00FA50D8">
      <w:pPr>
        <w:spacing w:after="40"/>
        <w:jc w:val="center"/>
        <w:rPr>
          <w:rFonts w:ascii="Arial" w:eastAsia="Arial Unicode MS" w:hAnsi="Arial" w:cs="Arial"/>
          <w:sz w:val="20"/>
          <w:szCs w:val="20"/>
        </w:rPr>
      </w:pPr>
    </w:p>
    <w:p w14:paraId="7EFEAC1F" w14:textId="77777777" w:rsidR="00FA50D8" w:rsidRDefault="00FA50D8" w:rsidP="00FA50D8">
      <w:pPr>
        <w:spacing w:after="40"/>
        <w:jc w:val="center"/>
        <w:rPr>
          <w:rFonts w:ascii="Arial" w:eastAsia="Arial Unicode MS" w:hAnsi="Arial" w:cs="Arial"/>
          <w:sz w:val="20"/>
          <w:szCs w:val="20"/>
        </w:rPr>
        <w:sectPr w:rsidR="00FA50D8" w:rsidSect="00E576AD">
          <w:type w:val="continuous"/>
          <w:pgSz w:w="11906" w:h="16838"/>
          <w:pgMar w:top="1021" w:right="851" w:bottom="851" w:left="851" w:header="709" w:footer="0" w:gutter="0"/>
          <w:cols w:space="708"/>
          <w:docGrid w:linePitch="360"/>
        </w:sectPr>
      </w:pPr>
    </w:p>
    <w:p w14:paraId="2F15D9F0" w14:textId="6B833FBD" w:rsidR="000C545F" w:rsidRPr="00533035" w:rsidRDefault="00FA50D8" w:rsidP="007A19D5">
      <w:pPr>
        <w:spacing w:after="40"/>
        <w:rPr>
          <w:rFonts w:ascii="Arial" w:eastAsia="Arial Unicode MS" w:hAnsi="Arial" w:cs="Arial"/>
          <w:sz w:val="20"/>
          <w:szCs w:val="20"/>
        </w:rPr>
      </w:pPr>
      <w:r w:rsidRPr="000C545F">
        <w:rPr>
          <w:rFonts w:ascii="Arial" w:eastAsia="Arial Unicode MS" w:hAnsi="Arial" w:cs="Arial"/>
          <w:b/>
          <w:sz w:val="20"/>
          <w:szCs w:val="20"/>
        </w:rPr>
        <w:t>Restos a Pagar Não Processados</w:t>
      </w:r>
      <w:r w:rsidR="007D1028" w:rsidRPr="007D1028">
        <w:rPr>
          <w:rFonts w:ascii="Arial" w:eastAsia="Arial Unicode MS" w:hAnsi="Arial" w:cs="Arial"/>
          <w:b/>
          <w:noProof/>
          <w:sz w:val="20"/>
          <w:szCs w:val="20"/>
        </w:rPr>
        <w:drawing>
          <wp:inline distT="0" distB="0" distL="0" distR="0" wp14:anchorId="7F3989D2" wp14:editId="493F161B">
            <wp:extent cx="4579620" cy="2750820"/>
            <wp:effectExtent l="0" t="0" r="0" b="0"/>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sectPr w:rsidR="000C545F" w:rsidRPr="00533035" w:rsidSect="00E576AD">
      <w:type w:val="continuous"/>
      <w:pgSz w:w="11906" w:h="16838"/>
      <w:pgMar w:top="102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B7D6D" w14:textId="77777777" w:rsidR="00A0799D" w:rsidRDefault="00A0799D" w:rsidP="00AC63FF">
      <w:pPr>
        <w:spacing w:after="0" w:line="240" w:lineRule="auto"/>
      </w:pPr>
      <w:r>
        <w:separator/>
      </w:r>
    </w:p>
  </w:endnote>
  <w:endnote w:type="continuationSeparator" w:id="0">
    <w:p w14:paraId="30EB710D" w14:textId="77777777" w:rsidR="00A0799D" w:rsidRDefault="00A0799D" w:rsidP="00AC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4773" w:type="dxa"/>
      <w:tblInd w:w="601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92"/>
      <w:gridCol w:w="3339"/>
      <w:gridCol w:w="442"/>
    </w:tblGrid>
    <w:tr w:rsidR="00A0799D" w14:paraId="74448C52" w14:textId="77777777" w:rsidTr="008F1E64">
      <w:trPr>
        <w:trHeight w:val="421"/>
      </w:trPr>
      <w:tc>
        <w:tcPr>
          <w:tcW w:w="992" w:type="dxa"/>
          <w:shd w:val="clear" w:color="auto" w:fill="009999"/>
          <w:vAlign w:val="center"/>
        </w:tcPr>
        <w:p w14:paraId="58BF90FC" w14:textId="77777777" w:rsidR="00A0799D" w:rsidRPr="009C5B7B" w:rsidRDefault="00A0799D" w:rsidP="009C5B7B">
          <w:pPr>
            <w:pStyle w:val="Rodap"/>
            <w:tabs>
              <w:tab w:val="clear" w:pos="4252"/>
              <w:tab w:val="clear" w:pos="8504"/>
            </w:tabs>
            <w:jc w:val="center"/>
            <w:rPr>
              <w:color w:val="FFFFFF" w:themeColor="background1"/>
              <w:sz w:val="18"/>
              <w:szCs w:val="18"/>
            </w:rPr>
          </w:pPr>
          <w:r w:rsidRPr="009C5B7B">
            <w:rPr>
              <w:color w:val="FFFFFF" w:themeColor="background1"/>
              <w:sz w:val="18"/>
              <w:szCs w:val="18"/>
            </w:rPr>
            <w:t>Capítulo 01</w:t>
          </w:r>
        </w:p>
      </w:tc>
      <w:tc>
        <w:tcPr>
          <w:tcW w:w="3339" w:type="dxa"/>
          <w:vAlign w:val="center"/>
        </w:tcPr>
        <w:p w14:paraId="482A0BBB" w14:textId="1D9EBD03" w:rsidR="00A0799D" w:rsidRDefault="00A0799D" w:rsidP="009462A5">
          <w:pPr>
            <w:pStyle w:val="Rodap"/>
            <w:tabs>
              <w:tab w:val="clear" w:pos="4252"/>
              <w:tab w:val="clear" w:pos="8504"/>
            </w:tabs>
            <w:rPr>
              <w:sz w:val="18"/>
              <w:szCs w:val="18"/>
            </w:rPr>
          </w:pPr>
          <w:r>
            <w:rPr>
              <w:sz w:val="18"/>
              <w:szCs w:val="18"/>
            </w:rPr>
            <w:t>Relatório Contábil</w:t>
          </w:r>
        </w:p>
      </w:tc>
      <w:tc>
        <w:tcPr>
          <w:tcW w:w="442" w:type="dxa"/>
          <w:vAlign w:val="center"/>
        </w:tcPr>
        <w:p w14:paraId="1010EC43" w14:textId="1BB5B3A2" w:rsidR="00A0799D" w:rsidRDefault="00A0799D" w:rsidP="009462A5">
          <w:pPr>
            <w:pStyle w:val="Rodap"/>
            <w:tabs>
              <w:tab w:val="clear" w:pos="4252"/>
              <w:tab w:val="clear" w:pos="8504"/>
            </w:tabs>
            <w:jc w:val="center"/>
            <w:rPr>
              <w:sz w:val="18"/>
              <w:szCs w:val="18"/>
            </w:rPr>
          </w:pPr>
          <w:r w:rsidRPr="002B53FF">
            <w:rPr>
              <w:sz w:val="18"/>
              <w:szCs w:val="18"/>
            </w:rPr>
            <w:fldChar w:fldCharType="begin"/>
          </w:r>
          <w:r w:rsidRPr="002B53FF">
            <w:rPr>
              <w:sz w:val="18"/>
              <w:szCs w:val="18"/>
            </w:rPr>
            <w:instrText>PAGE   \* MERGEFORMAT</w:instrText>
          </w:r>
          <w:r w:rsidRPr="002B53FF">
            <w:rPr>
              <w:sz w:val="18"/>
              <w:szCs w:val="18"/>
            </w:rPr>
            <w:fldChar w:fldCharType="separate"/>
          </w:r>
          <w:r>
            <w:rPr>
              <w:noProof/>
              <w:sz w:val="18"/>
              <w:szCs w:val="18"/>
            </w:rPr>
            <w:t>20</w:t>
          </w:r>
          <w:r w:rsidRPr="002B53FF">
            <w:rPr>
              <w:sz w:val="18"/>
              <w:szCs w:val="18"/>
            </w:rPr>
            <w:fldChar w:fldCharType="end"/>
          </w:r>
        </w:p>
      </w:tc>
    </w:tr>
  </w:tbl>
  <w:p w14:paraId="04C818A8" w14:textId="77777777" w:rsidR="00A0799D" w:rsidRDefault="00A079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Ind w:w="1033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22"/>
      <w:gridCol w:w="222"/>
      <w:gridCol w:w="308"/>
    </w:tblGrid>
    <w:tr w:rsidR="00A0799D" w14:paraId="46BADB0C" w14:textId="77777777" w:rsidTr="009C5B7B">
      <w:trPr>
        <w:trHeight w:val="421"/>
      </w:trPr>
      <w:tc>
        <w:tcPr>
          <w:tcW w:w="992" w:type="dxa"/>
          <w:shd w:val="clear" w:color="auto" w:fill="auto"/>
          <w:vAlign w:val="center"/>
        </w:tcPr>
        <w:p w14:paraId="7C9626A2" w14:textId="77777777" w:rsidR="00A0799D" w:rsidRPr="009C5B7B" w:rsidRDefault="00A0799D" w:rsidP="009C5B7B">
          <w:pPr>
            <w:pStyle w:val="Rodap"/>
            <w:tabs>
              <w:tab w:val="clear" w:pos="4252"/>
              <w:tab w:val="clear" w:pos="8504"/>
            </w:tabs>
            <w:jc w:val="center"/>
            <w:rPr>
              <w:color w:val="FFFFFF" w:themeColor="background1"/>
              <w:sz w:val="18"/>
              <w:szCs w:val="18"/>
            </w:rPr>
          </w:pPr>
        </w:p>
      </w:tc>
      <w:tc>
        <w:tcPr>
          <w:tcW w:w="3339" w:type="dxa"/>
          <w:vAlign w:val="center"/>
        </w:tcPr>
        <w:p w14:paraId="27550F5C" w14:textId="77777777" w:rsidR="00A0799D" w:rsidRDefault="00A0799D" w:rsidP="002B53FF">
          <w:pPr>
            <w:pStyle w:val="Rodap"/>
            <w:tabs>
              <w:tab w:val="clear" w:pos="4252"/>
              <w:tab w:val="clear" w:pos="8504"/>
            </w:tabs>
            <w:rPr>
              <w:sz w:val="18"/>
              <w:szCs w:val="18"/>
            </w:rPr>
          </w:pPr>
        </w:p>
      </w:tc>
      <w:tc>
        <w:tcPr>
          <w:tcW w:w="442" w:type="dxa"/>
          <w:vAlign w:val="center"/>
        </w:tcPr>
        <w:p w14:paraId="053B15AA" w14:textId="5A69F52D" w:rsidR="00A0799D" w:rsidRDefault="00A0799D" w:rsidP="002B53FF">
          <w:pPr>
            <w:pStyle w:val="Rodap"/>
            <w:tabs>
              <w:tab w:val="clear" w:pos="4252"/>
              <w:tab w:val="clear" w:pos="8504"/>
            </w:tabs>
            <w:jc w:val="center"/>
            <w:rPr>
              <w:sz w:val="18"/>
              <w:szCs w:val="18"/>
            </w:rPr>
          </w:pPr>
          <w:r w:rsidRPr="002B53FF">
            <w:rPr>
              <w:sz w:val="18"/>
              <w:szCs w:val="18"/>
            </w:rPr>
            <w:fldChar w:fldCharType="begin"/>
          </w:r>
          <w:r w:rsidRPr="002B53FF">
            <w:rPr>
              <w:sz w:val="18"/>
              <w:szCs w:val="18"/>
            </w:rPr>
            <w:instrText>PAGE   \* MERGEFORMAT</w:instrText>
          </w:r>
          <w:r w:rsidRPr="002B53FF">
            <w:rPr>
              <w:sz w:val="18"/>
              <w:szCs w:val="18"/>
            </w:rPr>
            <w:fldChar w:fldCharType="separate"/>
          </w:r>
          <w:r>
            <w:rPr>
              <w:noProof/>
              <w:sz w:val="18"/>
              <w:szCs w:val="18"/>
            </w:rPr>
            <w:t>19</w:t>
          </w:r>
          <w:r w:rsidRPr="002B53FF">
            <w:rPr>
              <w:sz w:val="18"/>
              <w:szCs w:val="18"/>
            </w:rPr>
            <w:fldChar w:fldCharType="end"/>
          </w:r>
        </w:p>
      </w:tc>
    </w:tr>
  </w:tbl>
  <w:p w14:paraId="09722F5C" w14:textId="77777777" w:rsidR="00A0799D" w:rsidRPr="00A73874" w:rsidRDefault="00A0799D" w:rsidP="002B53FF">
    <w:pPr>
      <w:pStyle w:val="Rodap"/>
      <w:tabs>
        <w:tab w:val="clear" w:pos="4252"/>
        <w:tab w:val="clear" w:pos="8504"/>
      </w:tabs>
      <w:jc w:val="right"/>
      <w:rPr>
        <w:sz w:val="18"/>
        <w:szCs w:val="18"/>
      </w:rPr>
    </w:pPr>
  </w:p>
  <w:p w14:paraId="7C8F8149" w14:textId="77777777" w:rsidR="00A0799D" w:rsidRDefault="00A079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44405" w14:textId="77777777" w:rsidR="00A0799D" w:rsidRDefault="00A0799D" w:rsidP="00AC63FF">
      <w:pPr>
        <w:spacing w:after="0" w:line="240" w:lineRule="auto"/>
      </w:pPr>
      <w:r>
        <w:separator/>
      </w:r>
    </w:p>
  </w:footnote>
  <w:footnote w:type="continuationSeparator" w:id="0">
    <w:p w14:paraId="49F46379" w14:textId="77777777" w:rsidR="00A0799D" w:rsidRDefault="00A0799D" w:rsidP="00AC6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7C09"/>
    <w:multiLevelType w:val="multilevel"/>
    <w:tmpl w:val="503676D8"/>
    <w:lvl w:ilvl="0">
      <w:start w:val="1"/>
      <w:numFmt w:val="lowerLetter"/>
      <w:lvlText w:val="(%1)"/>
      <w:lvlJc w:val="left"/>
      <w:pPr>
        <w:ind w:left="720" w:hanging="360"/>
      </w:pPr>
      <w:rPr>
        <w:rFonts w:hint="default"/>
        <w:b/>
        <w:i w:val="0"/>
      </w:rPr>
    </w:lvl>
    <w:lvl w:ilvl="1">
      <w:start w:val="1"/>
      <w:numFmt w:val="decimal"/>
      <w:lvlText w:val="(%1.%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E5D72"/>
    <w:multiLevelType w:val="hybridMultilevel"/>
    <w:tmpl w:val="42145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DD3F60"/>
    <w:multiLevelType w:val="hybridMultilevel"/>
    <w:tmpl w:val="9BEE688C"/>
    <w:lvl w:ilvl="0" w:tplc="314C7E8A">
      <w:start w:val="1"/>
      <w:numFmt w:val="upperRoman"/>
      <w:lvlText w:val="%1."/>
      <w:lvlJc w:val="center"/>
      <w:pPr>
        <w:ind w:left="1004" w:hanging="720"/>
      </w:pPr>
      <w:rPr>
        <w:rFonts w:hint="default"/>
        <w:b/>
        <w:color w:val="C45911" w:themeColor="accent2" w:themeShade="BF"/>
        <w:sz w:val="28"/>
        <w14:textOutline w14:w="0" w14:cap="rnd" w14:cmpd="sng" w14:algn="ctr">
          <w14:noFill/>
          <w14:prstDash w14:val="solid"/>
          <w14:bevel/>
        </w14:textOutline>
        <w14:props3d w14:extrusionH="57150" w14:contourW="0" w14:prstMaterial="warmMatte">
          <w14:bevelT w14:w="69850" w14:h="38100" w14:prst="cross"/>
        </w14:props3d>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DC0023E"/>
    <w:multiLevelType w:val="hybridMultilevel"/>
    <w:tmpl w:val="3C667B40"/>
    <w:lvl w:ilvl="0" w:tplc="0E78602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1A44A5"/>
    <w:multiLevelType w:val="hybridMultilevel"/>
    <w:tmpl w:val="F592958E"/>
    <w:lvl w:ilvl="0" w:tplc="9FDAF2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1E4DED"/>
    <w:multiLevelType w:val="hybridMultilevel"/>
    <w:tmpl w:val="85AEE628"/>
    <w:lvl w:ilvl="0" w:tplc="19A89A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9939F3"/>
    <w:multiLevelType w:val="hybridMultilevel"/>
    <w:tmpl w:val="8196CF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A90B74"/>
    <w:multiLevelType w:val="hybridMultilevel"/>
    <w:tmpl w:val="309C1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10B69C6"/>
    <w:multiLevelType w:val="hybridMultilevel"/>
    <w:tmpl w:val="B382F562"/>
    <w:lvl w:ilvl="0" w:tplc="AE3E160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F65B20"/>
    <w:multiLevelType w:val="hybridMultilevel"/>
    <w:tmpl w:val="3C667B40"/>
    <w:lvl w:ilvl="0" w:tplc="0E78602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AD66ED4"/>
    <w:multiLevelType w:val="hybridMultilevel"/>
    <w:tmpl w:val="1F5EB93A"/>
    <w:lvl w:ilvl="0" w:tplc="D730E5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854205"/>
    <w:multiLevelType w:val="hybridMultilevel"/>
    <w:tmpl w:val="E8D82CC8"/>
    <w:lvl w:ilvl="0" w:tplc="19A89A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EB2242"/>
    <w:multiLevelType w:val="hybridMultilevel"/>
    <w:tmpl w:val="FF38AA88"/>
    <w:lvl w:ilvl="0" w:tplc="E18667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FD3B1F"/>
    <w:multiLevelType w:val="hybridMultilevel"/>
    <w:tmpl w:val="3C667B40"/>
    <w:lvl w:ilvl="0" w:tplc="0E78602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7"/>
  </w:num>
  <w:num w:numId="5">
    <w:abstractNumId w:val="1"/>
  </w:num>
  <w:num w:numId="6">
    <w:abstractNumId w:val="5"/>
  </w:num>
  <w:num w:numId="7">
    <w:abstractNumId w:val="11"/>
  </w:num>
  <w:num w:numId="8">
    <w:abstractNumId w:val="4"/>
  </w:num>
  <w:num w:numId="9">
    <w:abstractNumId w:val="9"/>
  </w:num>
  <w:num w:numId="10">
    <w:abstractNumId w:val="10"/>
  </w:num>
  <w:num w:numId="11">
    <w:abstractNumId w:val="1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CD"/>
    <w:rsid w:val="00000222"/>
    <w:rsid w:val="00000310"/>
    <w:rsid w:val="00001A54"/>
    <w:rsid w:val="00002769"/>
    <w:rsid w:val="00002926"/>
    <w:rsid w:val="00004FBA"/>
    <w:rsid w:val="00006B51"/>
    <w:rsid w:val="00007B61"/>
    <w:rsid w:val="00015AC6"/>
    <w:rsid w:val="000217B5"/>
    <w:rsid w:val="000218E5"/>
    <w:rsid w:val="000338B8"/>
    <w:rsid w:val="00043F0E"/>
    <w:rsid w:val="00045D11"/>
    <w:rsid w:val="0004649C"/>
    <w:rsid w:val="000474B7"/>
    <w:rsid w:val="00047FFE"/>
    <w:rsid w:val="00051174"/>
    <w:rsid w:val="0005486A"/>
    <w:rsid w:val="00057B49"/>
    <w:rsid w:val="00057E5B"/>
    <w:rsid w:val="00061057"/>
    <w:rsid w:val="00062418"/>
    <w:rsid w:val="00067CFF"/>
    <w:rsid w:val="00067E45"/>
    <w:rsid w:val="00071250"/>
    <w:rsid w:val="00080DE8"/>
    <w:rsid w:val="000831F3"/>
    <w:rsid w:val="00085282"/>
    <w:rsid w:val="000869E0"/>
    <w:rsid w:val="000923C6"/>
    <w:rsid w:val="000A1C3D"/>
    <w:rsid w:val="000B02A5"/>
    <w:rsid w:val="000B1C2F"/>
    <w:rsid w:val="000B6B8C"/>
    <w:rsid w:val="000C0339"/>
    <w:rsid w:val="000C35BD"/>
    <w:rsid w:val="000C3A47"/>
    <w:rsid w:val="000C50D0"/>
    <w:rsid w:val="000C545F"/>
    <w:rsid w:val="000D2995"/>
    <w:rsid w:val="000E3FB3"/>
    <w:rsid w:val="000E5373"/>
    <w:rsid w:val="000E7041"/>
    <w:rsid w:val="000E71FC"/>
    <w:rsid w:val="000E7D97"/>
    <w:rsid w:val="000F211F"/>
    <w:rsid w:val="000F6171"/>
    <w:rsid w:val="000F654F"/>
    <w:rsid w:val="00100793"/>
    <w:rsid w:val="00102F17"/>
    <w:rsid w:val="001035F5"/>
    <w:rsid w:val="00104FBE"/>
    <w:rsid w:val="001126B8"/>
    <w:rsid w:val="00127894"/>
    <w:rsid w:val="0013723C"/>
    <w:rsid w:val="00137CCD"/>
    <w:rsid w:val="00143A10"/>
    <w:rsid w:val="00150CBC"/>
    <w:rsid w:val="0015202F"/>
    <w:rsid w:val="001536FD"/>
    <w:rsid w:val="00154E3E"/>
    <w:rsid w:val="001558C6"/>
    <w:rsid w:val="001574C0"/>
    <w:rsid w:val="001577CC"/>
    <w:rsid w:val="00157F04"/>
    <w:rsid w:val="00160E7A"/>
    <w:rsid w:val="00164FB4"/>
    <w:rsid w:val="00170F6E"/>
    <w:rsid w:val="001744D2"/>
    <w:rsid w:val="001767F3"/>
    <w:rsid w:val="00183A74"/>
    <w:rsid w:val="00184136"/>
    <w:rsid w:val="00186117"/>
    <w:rsid w:val="001905D5"/>
    <w:rsid w:val="00193192"/>
    <w:rsid w:val="00194608"/>
    <w:rsid w:val="00194DCC"/>
    <w:rsid w:val="001951AF"/>
    <w:rsid w:val="00196075"/>
    <w:rsid w:val="0019740A"/>
    <w:rsid w:val="001A0664"/>
    <w:rsid w:val="001A0BC1"/>
    <w:rsid w:val="001A2937"/>
    <w:rsid w:val="001B3E00"/>
    <w:rsid w:val="001B45F5"/>
    <w:rsid w:val="001B7CE3"/>
    <w:rsid w:val="001C697A"/>
    <w:rsid w:val="001C6AF6"/>
    <w:rsid w:val="001D05AD"/>
    <w:rsid w:val="001D06CA"/>
    <w:rsid w:val="001D0F55"/>
    <w:rsid w:val="001E10C7"/>
    <w:rsid w:val="001E35C9"/>
    <w:rsid w:val="001E6457"/>
    <w:rsid w:val="001F3950"/>
    <w:rsid w:val="001F5BB9"/>
    <w:rsid w:val="001F7B7F"/>
    <w:rsid w:val="00200863"/>
    <w:rsid w:val="00200D58"/>
    <w:rsid w:val="00206672"/>
    <w:rsid w:val="00215F93"/>
    <w:rsid w:val="00226D54"/>
    <w:rsid w:val="00230C5D"/>
    <w:rsid w:val="0023179A"/>
    <w:rsid w:val="00233AFC"/>
    <w:rsid w:val="00235E1B"/>
    <w:rsid w:val="00246CFE"/>
    <w:rsid w:val="00247FD1"/>
    <w:rsid w:val="00255673"/>
    <w:rsid w:val="00255FFC"/>
    <w:rsid w:val="00256BFD"/>
    <w:rsid w:val="0026165C"/>
    <w:rsid w:val="002637B7"/>
    <w:rsid w:val="00266915"/>
    <w:rsid w:val="00267FCF"/>
    <w:rsid w:val="00272AEC"/>
    <w:rsid w:val="002738E2"/>
    <w:rsid w:val="00276886"/>
    <w:rsid w:val="00277932"/>
    <w:rsid w:val="00284AEB"/>
    <w:rsid w:val="0028512D"/>
    <w:rsid w:val="00291467"/>
    <w:rsid w:val="00293A77"/>
    <w:rsid w:val="00294B65"/>
    <w:rsid w:val="00295684"/>
    <w:rsid w:val="00296376"/>
    <w:rsid w:val="002A3837"/>
    <w:rsid w:val="002A7C59"/>
    <w:rsid w:val="002B53FF"/>
    <w:rsid w:val="002B7F19"/>
    <w:rsid w:val="002C1DE1"/>
    <w:rsid w:val="002E567C"/>
    <w:rsid w:val="002F28FE"/>
    <w:rsid w:val="002F6E62"/>
    <w:rsid w:val="003114B7"/>
    <w:rsid w:val="00313283"/>
    <w:rsid w:val="003216D5"/>
    <w:rsid w:val="00323367"/>
    <w:rsid w:val="003265F3"/>
    <w:rsid w:val="00326B0E"/>
    <w:rsid w:val="00330B3C"/>
    <w:rsid w:val="00336E24"/>
    <w:rsid w:val="00337D88"/>
    <w:rsid w:val="0034064D"/>
    <w:rsid w:val="0034086C"/>
    <w:rsid w:val="00350213"/>
    <w:rsid w:val="00351483"/>
    <w:rsid w:val="00352C59"/>
    <w:rsid w:val="00353E0E"/>
    <w:rsid w:val="0035462D"/>
    <w:rsid w:val="003548FD"/>
    <w:rsid w:val="00354A3F"/>
    <w:rsid w:val="00371D61"/>
    <w:rsid w:val="003735F4"/>
    <w:rsid w:val="003750CE"/>
    <w:rsid w:val="00384404"/>
    <w:rsid w:val="003864F1"/>
    <w:rsid w:val="003936A6"/>
    <w:rsid w:val="003A255F"/>
    <w:rsid w:val="003B1292"/>
    <w:rsid w:val="003B29B8"/>
    <w:rsid w:val="003D1FBC"/>
    <w:rsid w:val="003D6EB0"/>
    <w:rsid w:val="003E2C50"/>
    <w:rsid w:val="003E6C52"/>
    <w:rsid w:val="003F1674"/>
    <w:rsid w:val="003F256B"/>
    <w:rsid w:val="003F2DB6"/>
    <w:rsid w:val="003F2FDA"/>
    <w:rsid w:val="003F341A"/>
    <w:rsid w:val="003F721B"/>
    <w:rsid w:val="004006D5"/>
    <w:rsid w:val="004078AA"/>
    <w:rsid w:val="004111FC"/>
    <w:rsid w:val="00411FEC"/>
    <w:rsid w:val="004210AF"/>
    <w:rsid w:val="00423FC0"/>
    <w:rsid w:val="00425053"/>
    <w:rsid w:val="00433D43"/>
    <w:rsid w:val="00436BA4"/>
    <w:rsid w:val="00441F98"/>
    <w:rsid w:val="00444394"/>
    <w:rsid w:val="004461AC"/>
    <w:rsid w:val="004463C6"/>
    <w:rsid w:val="00446D58"/>
    <w:rsid w:val="00451578"/>
    <w:rsid w:val="00452D5C"/>
    <w:rsid w:val="00455C37"/>
    <w:rsid w:val="0046073E"/>
    <w:rsid w:val="004610BE"/>
    <w:rsid w:val="0047106B"/>
    <w:rsid w:val="00472D3C"/>
    <w:rsid w:val="0047599C"/>
    <w:rsid w:val="00481706"/>
    <w:rsid w:val="00483D6C"/>
    <w:rsid w:val="00484257"/>
    <w:rsid w:val="004868CD"/>
    <w:rsid w:val="00487828"/>
    <w:rsid w:val="00493D8A"/>
    <w:rsid w:val="004A12EC"/>
    <w:rsid w:val="004A5832"/>
    <w:rsid w:val="004A6918"/>
    <w:rsid w:val="004B1DEA"/>
    <w:rsid w:val="004B6577"/>
    <w:rsid w:val="004C27C4"/>
    <w:rsid w:val="004E66F7"/>
    <w:rsid w:val="004F2EEF"/>
    <w:rsid w:val="004F52C5"/>
    <w:rsid w:val="004F53A5"/>
    <w:rsid w:val="004F5480"/>
    <w:rsid w:val="004F5DE8"/>
    <w:rsid w:val="00500A3B"/>
    <w:rsid w:val="005034B1"/>
    <w:rsid w:val="00503EF7"/>
    <w:rsid w:val="0050412B"/>
    <w:rsid w:val="005110D6"/>
    <w:rsid w:val="0052109E"/>
    <w:rsid w:val="005229A3"/>
    <w:rsid w:val="00522A33"/>
    <w:rsid w:val="005236B9"/>
    <w:rsid w:val="005301E0"/>
    <w:rsid w:val="00532E30"/>
    <w:rsid w:val="00533035"/>
    <w:rsid w:val="00541414"/>
    <w:rsid w:val="005425B1"/>
    <w:rsid w:val="0054318E"/>
    <w:rsid w:val="005432E7"/>
    <w:rsid w:val="00545DDE"/>
    <w:rsid w:val="00546FBD"/>
    <w:rsid w:val="00554772"/>
    <w:rsid w:val="00556AC6"/>
    <w:rsid w:val="00567B75"/>
    <w:rsid w:val="00571C29"/>
    <w:rsid w:val="00575BF0"/>
    <w:rsid w:val="005826CE"/>
    <w:rsid w:val="00582C4D"/>
    <w:rsid w:val="00582C54"/>
    <w:rsid w:val="0059492D"/>
    <w:rsid w:val="005975DA"/>
    <w:rsid w:val="005B41AD"/>
    <w:rsid w:val="005B5C65"/>
    <w:rsid w:val="005C2193"/>
    <w:rsid w:val="005C2D04"/>
    <w:rsid w:val="005C2F56"/>
    <w:rsid w:val="005D08FB"/>
    <w:rsid w:val="005D1AE2"/>
    <w:rsid w:val="005D3E33"/>
    <w:rsid w:val="005D44DB"/>
    <w:rsid w:val="005E18CB"/>
    <w:rsid w:val="005E38C5"/>
    <w:rsid w:val="005F013C"/>
    <w:rsid w:val="005F2145"/>
    <w:rsid w:val="005F36C0"/>
    <w:rsid w:val="0060333F"/>
    <w:rsid w:val="00605E1E"/>
    <w:rsid w:val="00611B22"/>
    <w:rsid w:val="00611B4B"/>
    <w:rsid w:val="00611F4F"/>
    <w:rsid w:val="00612A6E"/>
    <w:rsid w:val="006169D2"/>
    <w:rsid w:val="006310EB"/>
    <w:rsid w:val="00633965"/>
    <w:rsid w:val="00633C81"/>
    <w:rsid w:val="00635A7B"/>
    <w:rsid w:val="006433CD"/>
    <w:rsid w:val="00643596"/>
    <w:rsid w:val="00647285"/>
    <w:rsid w:val="0064731A"/>
    <w:rsid w:val="00650A4D"/>
    <w:rsid w:val="00651B67"/>
    <w:rsid w:val="006559A6"/>
    <w:rsid w:val="00656750"/>
    <w:rsid w:val="00656AF7"/>
    <w:rsid w:val="006631B3"/>
    <w:rsid w:val="00667313"/>
    <w:rsid w:val="0067151A"/>
    <w:rsid w:val="00671CCC"/>
    <w:rsid w:val="00673CE8"/>
    <w:rsid w:val="00674BE0"/>
    <w:rsid w:val="00676BFE"/>
    <w:rsid w:val="00687736"/>
    <w:rsid w:val="0069027F"/>
    <w:rsid w:val="00692A35"/>
    <w:rsid w:val="00692B25"/>
    <w:rsid w:val="006946B1"/>
    <w:rsid w:val="006A2E46"/>
    <w:rsid w:val="006B1AC8"/>
    <w:rsid w:val="006B1C3A"/>
    <w:rsid w:val="006C0788"/>
    <w:rsid w:val="006C0BB4"/>
    <w:rsid w:val="006C2AB8"/>
    <w:rsid w:val="006C4DD4"/>
    <w:rsid w:val="006D06CA"/>
    <w:rsid w:val="006D6AB6"/>
    <w:rsid w:val="006D7255"/>
    <w:rsid w:val="006E0B81"/>
    <w:rsid w:val="006F3D9F"/>
    <w:rsid w:val="006F5B28"/>
    <w:rsid w:val="006F648B"/>
    <w:rsid w:val="00713248"/>
    <w:rsid w:val="00716110"/>
    <w:rsid w:val="00726941"/>
    <w:rsid w:val="00730DA8"/>
    <w:rsid w:val="00733F74"/>
    <w:rsid w:val="007344C6"/>
    <w:rsid w:val="00742ADB"/>
    <w:rsid w:val="00743C04"/>
    <w:rsid w:val="00744CDB"/>
    <w:rsid w:val="00744DAC"/>
    <w:rsid w:val="00750150"/>
    <w:rsid w:val="007509F9"/>
    <w:rsid w:val="00752C54"/>
    <w:rsid w:val="00753DE7"/>
    <w:rsid w:val="00756B26"/>
    <w:rsid w:val="00764927"/>
    <w:rsid w:val="00764A48"/>
    <w:rsid w:val="00770AFC"/>
    <w:rsid w:val="007723FC"/>
    <w:rsid w:val="0077424E"/>
    <w:rsid w:val="007757A3"/>
    <w:rsid w:val="0078110C"/>
    <w:rsid w:val="007820A0"/>
    <w:rsid w:val="0079552E"/>
    <w:rsid w:val="007961E5"/>
    <w:rsid w:val="00797FED"/>
    <w:rsid w:val="007A0FB0"/>
    <w:rsid w:val="007A19D5"/>
    <w:rsid w:val="007A2071"/>
    <w:rsid w:val="007A6170"/>
    <w:rsid w:val="007B1669"/>
    <w:rsid w:val="007B2AD1"/>
    <w:rsid w:val="007B34DC"/>
    <w:rsid w:val="007B7427"/>
    <w:rsid w:val="007C1093"/>
    <w:rsid w:val="007C45C4"/>
    <w:rsid w:val="007D09F3"/>
    <w:rsid w:val="007D0ABB"/>
    <w:rsid w:val="007D0BBE"/>
    <w:rsid w:val="007D1028"/>
    <w:rsid w:val="007D6891"/>
    <w:rsid w:val="007F07C5"/>
    <w:rsid w:val="007F1A7C"/>
    <w:rsid w:val="007F3501"/>
    <w:rsid w:val="007F5F4F"/>
    <w:rsid w:val="0080023D"/>
    <w:rsid w:val="00800967"/>
    <w:rsid w:val="00806359"/>
    <w:rsid w:val="008077D5"/>
    <w:rsid w:val="00822AE3"/>
    <w:rsid w:val="00823B1C"/>
    <w:rsid w:val="00831930"/>
    <w:rsid w:val="00832297"/>
    <w:rsid w:val="00832B59"/>
    <w:rsid w:val="00835C24"/>
    <w:rsid w:val="00837429"/>
    <w:rsid w:val="00837C80"/>
    <w:rsid w:val="00841497"/>
    <w:rsid w:val="00842592"/>
    <w:rsid w:val="0085002F"/>
    <w:rsid w:val="00851C9F"/>
    <w:rsid w:val="008532AD"/>
    <w:rsid w:val="00854455"/>
    <w:rsid w:val="00856772"/>
    <w:rsid w:val="008613BD"/>
    <w:rsid w:val="008618B1"/>
    <w:rsid w:val="00864F90"/>
    <w:rsid w:val="00865981"/>
    <w:rsid w:val="00865B74"/>
    <w:rsid w:val="00867F88"/>
    <w:rsid w:val="00874534"/>
    <w:rsid w:val="008803DA"/>
    <w:rsid w:val="008821E5"/>
    <w:rsid w:val="00883D0F"/>
    <w:rsid w:val="00890FE3"/>
    <w:rsid w:val="0089261B"/>
    <w:rsid w:val="00893DD4"/>
    <w:rsid w:val="00896743"/>
    <w:rsid w:val="008A6408"/>
    <w:rsid w:val="008B03EB"/>
    <w:rsid w:val="008B31CD"/>
    <w:rsid w:val="008B58CC"/>
    <w:rsid w:val="008B5AE4"/>
    <w:rsid w:val="008C268B"/>
    <w:rsid w:val="008C53FD"/>
    <w:rsid w:val="008D0F60"/>
    <w:rsid w:val="008D4672"/>
    <w:rsid w:val="008E1C59"/>
    <w:rsid w:val="008E35BC"/>
    <w:rsid w:val="008E66EE"/>
    <w:rsid w:val="008E7D56"/>
    <w:rsid w:val="008F080C"/>
    <w:rsid w:val="008F1E64"/>
    <w:rsid w:val="008F6014"/>
    <w:rsid w:val="008F7CB1"/>
    <w:rsid w:val="0090210B"/>
    <w:rsid w:val="009152D8"/>
    <w:rsid w:val="00916702"/>
    <w:rsid w:val="00917365"/>
    <w:rsid w:val="0092098E"/>
    <w:rsid w:val="00923301"/>
    <w:rsid w:val="0092356D"/>
    <w:rsid w:val="00924498"/>
    <w:rsid w:val="00924B29"/>
    <w:rsid w:val="00927C3F"/>
    <w:rsid w:val="0093005A"/>
    <w:rsid w:val="00930A4D"/>
    <w:rsid w:val="00942C57"/>
    <w:rsid w:val="009462A5"/>
    <w:rsid w:val="009505D2"/>
    <w:rsid w:val="009512BA"/>
    <w:rsid w:val="0095169E"/>
    <w:rsid w:val="00951B2C"/>
    <w:rsid w:val="009536DF"/>
    <w:rsid w:val="009547DA"/>
    <w:rsid w:val="00957044"/>
    <w:rsid w:val="009602C6"/>
    <w:rsid w:val="00961EAA"/>
    <w:rsid w:val="009649FC"/>
    <w:rsid w:val="00966DA2"/>
    <w:rsid w:val="00970CC0"/>
    <w:rsid w:val="009717C7"/>
    <w:rsid w:val="00972AB8"/>
    <w:rsid w:val="00985BFF"/>
    <w:rsid w:val="009919A0"/>
    <w:rsid w:val="00992D93"/>
    <w:rsid w:val="0099533F"/>
    <w:rsid w:val="00996B00"/>
    <w:rsid w:val="00996DDE"/>
    <w:rsid w:val="009B156D"/>
    <w:rsid w:val="009B41F7"/>
    <w:rsid w:val="009B68E2"/>
    <w:rsid w:val="009C0F56"/>
    <w:rsid w:val="009C1E3A"/>
    <w:rsid w:val="009C444E"/>
    <w:rsid w:val="009C48A9"/>
    <w:rsid w:val="009C5B7B"/>
    <w:rsid w:val="009C71AA"/>
    <w:rsid w:val="009D1B44"/>
    <w:rsid w:val="009D1E72"/>
    <w:rsid w:val="009D3D0B"/>
    <w:rsid w:val="009D48A1"/>
    <w:rsid w:val="009D4D1D"/>
    <w:rsid w:val="009D674E"/>
    <w:rsid w:val="009D78DB"/>
    <w:rsid w:val="009F0309"/>
    <w:rsid w:val="009F38DB"/>
    <w:rsid w:val="009F4097"/>
    <w:rsid w:val="009F6D56"/>
    <w:rsid w:val="00A00A64"/>
    <w:rsid w:val="00A02669"/>
    <w:rsid w:val="00A04A4A"/>
    <w:rsid w:val="00A06965"/>
    <w:rsid w:val="00A06D31"/>
    <w:rsid w:val="00A0799D"/>
    <w:rsid w:val="00A100AF"/>
    <w:rsid w:val="00A1457E"/>
    <w:rsid w:val="00A176ED"/>
    <w:rsid w:val="00A24BF4"/>
    <w:rsid w:val="00A251E7"/>
    <w:rsid w:val="00A2640D"/>
    <w:rsid w:val="00A31D21"/>
    <w:rsid w:val="00A34EC1"/>
    <w:rsid w:val="00A4089F"/>
    <w:rsid w:val="00A419FD"/>
    <w:rsid w:val="00A51483"/>
    <w:rsid w:val="00A524EC"/>
    <w:rsid w:val="00A5260D"/>
    <w:rsid w:val="00A619F9"/>
    <w:rsid w:val="00A62755"/>
    <w:rsid w:val="00A7003B"/>
    <w:rsid w:val="00A73874"/>
    <w:rsid w:val="00A75B25"/>
    <w:rsid w:val="00A81412"/>
    <w:rsid w:val="00A81817"/>
    <w:rsid w:val="00A869F2"/>
    <w:rsid w:val="00A913B7"/>
    <w:rsid w:val="00AA0E39"/>
    <w:rsid w:val="00AA5EC5"/>
    <w:rsid w:val="00AA6CFC"/>
    <w:rsid w:val="00AA7EC7"/>
    <w:rsid w:val="00AB3CFF"/>
    <w:rsid w:val="00AB6ACD"/>
    <w:rsid w:val="00AB6E1C"/>
    <w:rsid w:val="00AC0CC4"/>
    <w:rsid w:val="00AC5B25"/>
    <w:rsid w:val="00AC5B88"/>
    <w:rsid w:val="00AC63FF"/>
    <w:rsid w:val="00AD38E4"/>
    <w:rsid w:val="00AE0479"/>
    <w:rsid w:val="00AE4817"/>
    <w:rsid w:val="00AF26AF"/>
    <w:rsid w:val="00AF3113"/>
    <w:rsid w:val="00AF3E0C"/>
    <w:rsid w:val="00AF503C"/>
    <w:rsid w:val="00AF597A"/>
    <w:rsid w:val="00B05322"/>
    <w:rsid w:val="00B1054A"/>
    <w:rsid w:val="00B1165C"/>
    <w:rsid w:val="00B17734"/>
    <w:rsid w:val="00B221FE"/>
    <w:rsid w:val="00B2479A"/>
    <w:rsid w:val="00B24948"/>
    <w:rsid w:val="00B2735E"/>
    <w:rsid w:val="00B31A11"/>
    <w:rsid w:val="00B33284"/>
    <w:rsid w:val="00B45147"/>
    <w:rsid w:val="00B47487"/>
    <w:rsid w:val="00B57866"/>
    <w:rsid w:val="00B62DD8"/>
    <w:rsid w:val="00B66194"/>
    <w:rsid w:val="00B670F0"/>
    <w:rsid w:val="00B675D1"/>
    <w:rsid w:val="00B70721"/>
    <w:rsid w:val="00B71846"/>
    <w:rsid w:val="00B72235"/>
    <w:rsid w:val="00B7382B"/>
    <w:rsid w:val="00B802A3"/>
    <w:rsid w:val="00B807CC"/>
    <w:rsid w:val="00B81850"/>
    <w:rsid w:val="00B866FF"/>
    <w:rsid w:val="00B907C7"/>
    <w:rsid w:val="00B92499"/>
    <w:rsid w:val="00B933DF"/>
    <w:rsid w:val="00BA024C"/>
    <w:rsid w:val="00BA2679"/>
    <w:rsid w:val="00BB08AD"/>
    <w:rsid w:val="00BB1791"/>
    <w:rsid w:val="00BB18A0"/>
    <w:rsid w:val="00BC1C3F"/>
    <w:rsid w:val="00BC4D6F"/>
    <w:rsid w:val="00BC7972"/>
    <w:rsid w:val="00BD0095"/>
    <w:rsid w:val="00BD7B51"/>
    <w:rsid w:val="00BE617D"/>
    <w:rsid w:val="00BF1A98"/>
    <w:rsid w:val="00BF5A16"/>
    <w:rsid w:val="00BF6634"/>
    <w:rsid w:val="00BF7988"/>
    <w:rsid w:val="00C0032D"/>
    <w:rsid w:val="00C00905"/>
    <w:rsid w:val="00C01365"/>
    <w:rsid w:val="00C03613"/>
    <w:rsid w:val="00C03B70"/>
    <w:rsid w:val="00C04806"/>
    <w:rsid w:val="00C054A7"/>
    <w:rsid w:val="00C0595E"/>
    <w:rsid w:val="00C16E5B"/>
    <w:rsid w:val="00C178D3"/>
    <w:rsid w:val="00C259E3"/>
    <w:rsid w:val="00C26B9C"/>
    <w:rsid w:val="00C27A5F"/>
    <w:rsid w:val="00C30501"/>
    <w:rsid w:val="00C34A91"/>
    <w:rsid w:val="00C37751"/>
    <w:rsid w:val="00C40707"/>
    <w:rsid w:val="00C4346D"/>
    <w:rsid w:val="00C46411"/>
    <w:rsid w:val="00C46E2A"/>
    <w:rsid w:val="00C475FD"/>
    <w:rsid w:val="00C4787D"/>
    <w:rsid w:val="00C53C56"/>
    <w:rsid w:val="00C544CF"/>
    <w:rsid w:val="00C631F3"/>
    <w:rsid w:val="00C63324"/>
    <w:rsid w:val="00C64849"/>
    <w:rsid w:val="00C652B2"/>
    <w:rsid w:val="00C658AF"/>
    <w:rsid w:val="00C70E2F"/>
    <w:rsid w:val="00C71ED1"/>
    <w:rsid w:val="00C73175"/>
    <w:rsid w:val="00C747A4"/>
    <w:rsid w:val="00C75EA2"/>
    <w:rsid w:val="00C81368"/>
    <w:rsid w:val="00C83293"/>
    <w:rsid w:val="00C90513"/>
    <w:rsid w:val="00C90AAF"/>
    <w:rsid w:val="00C90D2B"/>
    <w:rsid w:val="00C93403"/>
    <w:rsid w:val="00C94180"/>
    <w:rsid w:val="00C948DC"/>
    <w:rsid w:val="00CA293F"/>
    <w:rsid w:val="00CA6113"/>
    <w:rsid w:val="00CB04B5"/>
    <w:rsid w:val="00CB467B"/>
    <w:rsid w:val="00CC45A4"/>
    <w:rsid w:val="00CC7AF2"/>
    <w:rsid w:val="00CD2A10"/>
    <w:rsid w:val="00CD73D6"/>
    <w:rsid w:val="00CD7C19"/>
    <w:rsid w:val="00CF4CC9"/>
    <w:rsid w:val="00CF63D9"/>
    <w:rsid w:val="00D01F23"/>
    <w:rsid w:val="00D02C3D"/>
    <w:rsid w:val="00D03BBF"/>
    <w:rsid w:val="00D042F3"/>
    <w:rsid w:val="00D13B9B"/>
    <w:rsid w:val="00D150E4"/>
    <w:rsid w:val="00D21A38"/>
    <w:rsid w:val="00D224EB"/>
    <w:rsid w:val="00D2414C"/>
    <w:rsid w:val="00D27F5A"/>
    <w:rsid w:val="00D30662"/>
    <w:rsid w:val="00D30E8F"/>
    <w:rsid w:val="00D34E93"/>
    <w:rsid w:val="00D41400"/>
    <w:rsid w:val="00D41721"/>
    <w:rsid w:val="00D42983"/>
    <w:rsid w:val="00D42DC2"/>
    <w:rsid w:val="00D42FB9"/>
    <w:rsid w:val="00D43CA1"/>
    <w:rsid w:val="00D44694"/>
    <w:rsid w:val="00D47405"/>
    <w:rsid w:val="00D47FC1"/>
    <w:rsid w:val="00D559BD"/>
    <w:rsid w:val="00D60E41"/>
    <w:rsid w:val="00D65004"/>
    <w:rsid w:val="00D724D5"/>
    <w:rsid w:val="00D7747B"/>
    <w:rsid w:val="00D81423"/>
    <w:rsid w:val="00D84268"/>
    <w:rsid w:val="00D847EF"/>
    <w:rsid w:val="00D87082"/>
    <w:rsid w:val="00D90665"/>
    <w:rsid w:val="00D90931"/>
    <w:rsid w:val="00D922B1"/>
    <w:rsid w:val="00D96564"/>
    <w:rsid w:val="00D96ECC"/>
    <w:rsid w:val="00DA25EF"/>
    <w:rsid w:val="00DA343E"/>
    <w:rsid w:val="00DA4975"/>
    <w:rsid w:val="00DB781E"/>
    <w:rsid w:val="00DC3C24"/>
    <w:rsid w:val="00DD50B6"/>
    <w:rsid w:val="00DD6091"/>
    <w:rsid w:val="00DD7DE7"/>
    <w:rsid w:val="00DE11FD"/>
    <w:rsid w:val="00DE2B5D"/>
    <w:rsid w:val="00DE38EC"/>
    <w:rsid w:val="00DF2B7E"/>
    <w:rsid w:val="00E02FC4"/>
    <w:rsid w:val="00E10096"/>
    <w:rsid w:val="00E12944"/>
    <w:rsid w:val="00E156C7"/>
    <w:rsid w:val="00E2084D"/>
    <w:rsid w:val="00E22101"/>
    <w:rsid w:val="00E23038"/>
    <w:rsid w:val="00E23E9C"/>
    <w:rsid w:val="00E31DF9"/>
    <w:rsid w:val="00E331C8"/>
    <w:rsid w:val="00E33999"/>
    <w:rsid w:val="00E33C4B"/>
    <w:rsid w:val="00E37033"/>
    <w:rsid w:val="00E40488"/>
    <w:rsid w:val="00E4280D"/>
    <w:rsid w:val="00E44FFA"/>
    <w:rsid w:val="00E52177"/>
    <w:rsid w:val="00E5281B"/>
    <w:rsid w:val="00E53C3D"/>
    <w:rsid w:val="00E542DC"/>
    <w:rsid w:val="00E54887"/>
    <w:rsid w:val="00E576AD"/>
    <w:rsid w:val="00E60E46"/>
    <w:rsid w:val="00E66A55"/>
    <w:rsid w:val="00E71A1F"/>
    <w:rsid w:val="00E730C6"/>
    <w:rsid w:val="00E73ACF"/>
    <w:rsid w:val="00E82ABD"/>
    <w:rsid w:val="00E85EBB"/>
    <w:rsid w:val="00E86922"/>
    <w:rsid w:val="00E90B12"/>
    <w:rsid w:val="00E91251"/>
    <w:rsid w:val="00EA04D0"/>
    <w:rsid w:val="00EA715D"/>
    <w:rsid w:val="00EA7406"/>
    <w:rsid w:val="00EB0C9C"/>
    <w:rsid w:val="00EB5C89"/>
    <w:rsid w:val="00EC31E3"/>
    <w:rsid w:val="00EC4445"/>
    <w:rsid w:val="00EC786F"/>
    <w:rsid w:val="00ED0A96"/>
    <w:rsid w:val="00ED5DF0"/>
    <w:rsid w:val="00EE14D5"/>
    <w:rsid w:val="00EE3FC0"/>
    <w:rsid w:val="00EE3FCA"/>
    <w:rsid w:val="00EE6AEB"/>
    <w:rsid w:val="00EF1643"/>
    <w:rsid w:val="00EF1B81"/>
    <w:rsid w:val="00EF3111"/>
    <w:rsid w:val="00EF66C2"/>
    <w:rsid w:val="00EF68AF"/>
    <w:rsid w:val="00EF6E15"/>
    <w:rsid w:val="00EF79D0"/>
    <w:rsid w:val="00F03096"/>
    <w:rsid w:val="00F044FB"/>
    <w:rsid w:val="00F05556"/>
    <w:rsid w:val="00F07FA7"/>
    <w:rsid w:val="00F10971"/>
    <w:rsid w:val="00F13126"/>
    <w:rsid w:val="00F1490D"/>
    <w:rsid w:val="00F16ECF"/>
    <w:rsid w:val="00F20E5C"/>
    <w:rsid w:val="00F24902"/>
    <w:rsid w:val="00F26844"/>
    <w:rsid w:val="00F31011"/>
    <w:rsid w:val="00F3156B"/>
    <w:rsid w:val="00F3385E"/>
    <w:rsid w:val="00F403FD"/>
    <w:rsid w:val="00F411CE"/>
    <w:rsid w:val="00F416F2"/>
    <w:rsid w:val="00F43244"/>
    <w:rsid w:val="00F47706"/>
    <w:rsid w:val="00F622ED"/>
    <w:rsid w:val="00F62FEF"/>
    <w:rsid w:val="00F635D2"/>
    <w:rsid w:val="00F63FD2"/>
    <w:rsid w:val="00F77636"/>
    <w:rsid w:val="00F86480"/>
    <w:rsid w:val="00F93A0F"/>
    <w:rsid w:val="00F9673F"/>
    <w:rsid w:val="00F970DC"/>
    <w:rsid w:val="00FA08EB"/>
    <w:rsid w:val="00FA1D4D"/>
    <w:rsid w:val="00FA43AC"/>
    <w:rsid w:val="00FA50D8"/>
    <w:rsid w:val="00FB168E"/>
    <w:rsid w:val="00FB47E5"/>
    <w:rsid w:val="00FC36DA"/>
    <w:rsid w:val="00FD08BA"/>
    <w:rsid w:val="00FD0FE9"/>
    <w:rsid w:val="00FD1555"/>
    <w:rsid w:val="00FD63E4"/>
    <w:rsid w:val="00FE3E10"/>
    <w:rsid w:val="00FE42F2"/>
    <w:rsid w:val="00FF0595"/>
    <w:rsid w:val="00FF0689"/>
    <w:rsid w:val="00FF238A"/>
    <w:rsid w:val="00FF2AB6"/>
    <w:rsid w:val="00FF33B7"/>
    <w:rsid w:val="00FF7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B73B9"/>
  <w15:docId w15:val="{A766620C-62E2-4217-AFFF-C0E96DB4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63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3FF"/>
  </w:style>
  <w:style w:type="paragraph" w:styleId="Rodap">
    <w:name w:val="footer"/>
    <w:basedOn w:val="Normal"/>
    <w:link w:val="RodapChar"/>
    <w:uiPriority w:val="99"/>
    <w:unhideWhenUsed/>
    <w:rsid w:val="00AC63FF"/>
    <w:pPr>
      <w:tabs>
        <w:tab w:val="center" w:pos="4252"/>
        <w:tab w:val="right" w:pos="8504"/>
      </w:tabs>
      <w:spacing w:after="0" w:line="240" w:lineRule="auto"/>
    </w:pPr>
  </w:style>
  <w:style w:type="character" w:customStyle="1" w:styleId="RodapChar">
    <w:name w:val="Rodapé Char"/>
    <w:basedOn w:val="Fontepargpadro"/>
    <w:link w:val="Rodap"/>
    <w:uiPriority w:val="99"/>
    <w:rsid w:val="00AC63FF"/>
  </w:style>
  <w:style w:type="table" w:styleId="Tabelacomgrade">
    <w:name w:val="Table Grid"/>
    <w:basedOn w:val="Tabelanormal"/>
    <w:uiPriority w:val="59"/>
    <w:rsid w:val="002B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67F88"/>
    <w:pPr>
      <w:ind w:left="720"/>
      <w:contextualSpacing/>
    </w:pPr>
  </w:style>
  <w:style w:type="character" w:styleId="Refdecomentrio">
    <w:name w:val="annotation reference"/>
    <w:basedOn w:val="Fontepargpadro"/>
    <w:uiPriority w:val="99"/>
    <w:semiHidden/>
    <w:unhideWhenUsed/>
    <w:rsid w:val="007D0BBE"/>
    <w:rPr>
      <w:sz w:val="16"/>
      <w:szCs w:val="16"/>
    </w:rPr>
  </w:style>
  <w:style w:type="paragraph" w:styleId="Textodecomentrio">
    <w:name w:val="annotation text"/>
    <w:basedOn w:val="Normal"/>
    <w:link w:val="TextodecomentrioChar"/>
    <w:uiPriority w:val="99"/>
    <w:semiHidden/>
    <w:unhideWhenUsed/>
    <w:rsid w:val="007D0B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0BBE"/>
    <w:rPr>
      <w:sz w:val="20"/>
      <w:szCs w:val="20"/>
    </w:rPr>
  </w:style>
  <w:style w:type="paragraph" w:styleId="Assuntodocomentrio">
    <w:name w:val="annotation subject"/>
    <w:basedOn w:val="Textodecomentrio"/>
    <w:next w:val="Textodecomentrio"/>
    <w:link w:val="AssuntodocomentrioChar"/>
    <w:uiPriority w:val="99"/>
    <w:semiHidden/>
    <w:unhideWhenUsed/>
    <w:rsid w:val="007D0BBE"/>
    <w:rPr>
      <w:b/>
      <w:bCs/>
    </w:rPr>
  </w:style>
  <w:style w:type="character" w:customStyle="1" w:styleId="AssuntodocomentrioChar">
    <w:name w:val="Assunto do comentário Char"/>
    <w:basedOn w:val="TextodecomentrioChar"/>
    <w:link w:val="Assuntodocomentrio"/>
    <w:uiPriority w:val="99"/>
    <w:semiHidden/>
    <w:rsid w:val="007D0BBE"/>
    <w:rPr>
      <w:b/>
      <w:bCs/>
      <w:sz w:val="20"/>
      <w:szCs w:val="20"/>
    </w:rPr>
  </w:style>
  <w:style w:type="paragraph" w:styleId="Textodebalo">
    <w:name w:val="Balloon Text"/>
    <w:basedOn w:val="Normal"/>
    <w:link w:val="TextodebaloChar"/>
    <w:uiPriority w:val="99"/>
    <w:semiHidden/>
    <w:unhideWhenUsed/>
    <w:rsid w:val="007D0B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0BBE"/>
    <w:rPr>
      <w:rFonts w:ascii="Segoe UI" w:hAnsi="Segoe UI" w:cs="Segoe UI"/>
      <w:sz w:val="18"/>
      <w:szCs w:val="18"/>
    </w:rPr>
  </w:style>
  <w:style w:type="character" w:customStyle="1" w:styleId="tl8wme">
    <w:name w:val="tl8wme"/>
    <w:basedOn w:val="Fontepargpadro"/>
    <w:rsid w:val="0076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8566">
      <w:bodyDiv w:val="1"/>
      <w:marLeft w:val="0"/>
      <w:marRight w:val="0"/>
      <w:marTop w:val="0"/>
      <w:marBottom w:val="0"/>
      <w:divBdr>
        <w:top w:val="none" w:sz="0" w:space="0" w:color="auto"/>
        <w:left w:val="none" w:sz="0" w:space="0" w:color="auto"/>
        <w:bottom w:val="none" w:sz="0" w:space="0" w:color="auto"/>
        <w:right w:val="none" w:sz="0" w:space="0" w:color="auto"/>
      </w:divBdr>
    </w:div>
    <w:div w:id="206843618">
      <w:bodyDiv w:val="1"/>
      <w:marLeft w:val="0"/>
      <w:marRight w:val="0"/>
      <w:marTop w:val="0"/>
      <w:marBottom w:val="0"/>
      <w:divBdr>
        <w:top w:val="none" w:sz="0" w:space="0" w:color="auto"/>
        <w:left w:val="none" w:sz="0" w:space="0" w:color="auto"/>
        <w:bottom w:val="none" w:sz="0" w:space="0" w:color="auto"/>
        <w:right w:val="none" w:sz="0" w:space="0" w:color="auto"/>
      </w:divBdr>
    </w:div>
    <w:div w:id="326597810">
      <w:bodyDiv w:val="1"/>
      <w:marLeft w:val="0"/>
      <w:marRight w:val="0"/>
      <w:marTop w:val="0"/>
      <w:marBottom w:val="0"/>
      <w:divBdr>
        <w:top w:val="none" w:sz="0" w:space="0" w:color="auto"/>
        <w:left w:val="none" w:sz="0" w:space="0" w:color="auto"/>
        <w:bottom w:val="none" w:sz="0" w:space="0" w:color="auto"/>
        <w:right w:val="none" w:sz="0" w:space="0" w:color="auto"/>
      </w:divBdr>
    </w:div>
    <w:div w:id="448357111">
      <w:bodyDiv w:val="1"/>
      <w:marLeft w:val="0"/>
      <w:marRight w:val="0"/>
      <w:marTop w:val="0"/>
      <w:marBottom w:val="0"/>
      <w:divBdr>
        <w:top w:val="none" w:sz="0" w:space="0" w:color="auto"/>
        <w:left w:val="none" w:sz="0" w:space="0" w:color="auto"/>
        <w:bottom w:val="none" w:sz="0" w:space="0" w:color="auto"/>
        <w:right w:val="none" w:sz="0" w:space="0" w:color="auto"/>
      </w:divBdr>
    </w:div>
    <w:div w:id="561523850">
      <w:bodyDiv w:val="1"/>
      <w:marLeft w:val="0"/>
      <w:marRight w:val="0"/>
      <w:marTop w:val="0"/>
      <w:marBottom w:val="0"/>
      <w:divBdr>
        <w:top w:val="none" w:sz="0" w:space="0" w:color="auto"/>
        <w:left w:val="none" w:sz="0" w:space="0" w:color="auto"/>
        <w:bottom w:val="none" w:sz="0" w:space="0" w:color="auto"/>
        <w:right w:val="none" w:sz="0" w:space="0" w:color="auto"/>
      </w:divBdr>
    </w:div>
    <w:div w:id="703559702">
      <w:bodyDiv w:val="1"/>
      <w:marLeft w:val="0"/>
      <w:marRight w:val="0"/>
      <w:marTop w:val="0"/>
      <w:marBottom w:val="0"/>
      <w:divBdr>
        <w:top w:val="none" w:sz="0" w:space="0" w:color="auto"/>
        <w:left w:val="none" w:sz="0" w:space="0" w:color="auto"/>
        <w:bottom w:val="none" w:sz="0" w:space="0" w:color="auto"/>
        <w:right w:val="none" w:sz="0" w:space="0" w:color="auto"/>
      </w:divBdr>
    </w:div>
    <w:div w:id="747268524">
      <w:bodyDiv w:val="1"/>
      <w:marLeft w:val="0"/>
      <w:marRight w:val="0"/>
      <w:marTop w:val="0"/>
      <w:marBottom w:val="0"/>
      <w:divBdr>
        <w:top w:val="none" w:sz="0" w:space="0" w:color="auto"/>
        <w:left w:val="none" w:sz="0" w:space="0" w:color="auto"/>
        <w:bottom w:val="none" w:sz="0" w:space="0" w:color="auto"/>
        <w:right w:val="none" w:sz="0" w:space="0" w:color="auto"/>
      </w:divBdr>
    </w:div>
    <w:div w:id="785196615">
      <w:bodyDiv w:val="1"/>
      <w:marLeft w:val="0"/>
      <w:marRight w:val="0"/>
      <w:marTop w:val="0"/>
      <w:marBottom w:val="0"/>
      <w:divBdr>
        <w:top w:val="none" w:sz="0" w:space="0" w:color="auto"/>
        <w:left w:val="none" w:sz="0" w:space="0" w:color="auto"/>
        <w:bottom w:val="none" w:sz="0" w:space="0" w:color="auto"/>
        <w:right w:val="none" w:sz="0" w:space="0" w:color="auto"/>
      </w:divBdr>
    </w:div>
    <w:div w:id="941886648">
      <w:bodyDiv w:val="1"/>
      <w:marLeft w:val="0"/>
      <w:marRight w:val="0"/>
      <w:marTop w:val="0"/>
      <w:marBottom w:val="0"/>
      <w:divBdr>
        <w:top w:val="none" w:sz="0" w:space="0" w:color="auto"/>
        <w:left w:val="none" w:sz="0" w:space="0" w:color="auto"/>
        <w:bottom w:val="none" w:sz="0" w:space="0" w:color="auto"/>
        <w:right w:val="none" w:sz="0" w:space="0" w:color="auto"/>
      </w:divBdr>
      <w:divsChild>
        <w:div w:id="942541281">
          <w:marLeft w:val="0"/>
          <w:marRight w:val="0"/>
          <w:marTop w:val="0"/>
          <w:marBottom w:val="0"/>
          <w:divBdr>
            <w:top w:val="none" w:sz="0" w:space="0" w:color="auto"/>
            <w:left w:val="none" w:sz="0" w:space="0" w:color="auto"/>
            <w:bottom w:val="none" w:sz="0" w:space="0" w:color="auto"/>
            <w:right w:val="none" w:sz="0" w:space="0" w:color="auto"/>
          </w:divBdr>
        </w:div>
        <w:div w:id="128279207">
          <w:marLeft w:val="0"/>
          <w:marRight w:val="0"/>
          <w:marTop w:val="0"/>
          <w:marBottom w:val="0"/>
          <w:divBdr>
            <w:top w:val="none" w:sz="0" w:space="0" w:color="auto"/>
            <w:left w:val="none" w:sz="0" w:space="0" w:color="auto"/>
            <w:bottom w:val="none" w:sz="0" w:space="0" w:color="auto"/>
            <w:right w:val="none" w:sz="0" w:space="0" w:color="auto"/>
          </w:divBdr>
        </w:div>
      </w:divsChild>
    </w:div>
    <w:div w:id="1004362206">
      <w:bodyDiv w:val="1"/>
      <w:marLeft w:val="0"/>
      <w:marRight w:val="0"/>
      <w:marTop w:val="0"/>
      <w:marBottom w:val="0"/>
      <w:divBdr>
        <w:top w:val="none" w:sz="0" w:space="0" w:color="auto"/>
        <w:left w:val="none" w:sz="0" w:space="0" w:color="auto"/>
        <w:bottom w:val="none" w:sz="0" w:space="0" w:color="auto"/>
        <w:right w:val="none" w:sz="0" w:space="0" w:color="auto"/>
      </w:divBdr>
    </w:div>
    <w:div w:id="1173035952">
      <w:bodyDiv w:val="1"/>
      <w:marLeft w:val="0"/>
      <w:marRight w:val="0"/>
      <w:marTop w:val="0"/>
      <w:marBottom w:val="0"/>
      <w:divBdr>
        <w:top w:val="none" w:sz="0" w:space="0" w:color="auto"/>
        <w:left w:val="none" w:sz="0" w:space="0" w:color="auto"/>
        <w:bottom w:val="none" w:sz="0" w:space="0" w:color="auto"/>
        <w:right w:val="none" w:sz="0" w:space="0" w:color="auto"/>
      </w:divBdr>
    </w:div>
    <w:div w:id="1235310647">
      <w:bodyDiv w:val="1"/>
      <w:marLeft w:val="0"/>
      <w:marRight w:val="0"/>
      <w:marTop w:val="0"/>
      <w:marBottom w:val="0"/>
      <w:divBdr>
        <w:top w:val="none" w:sz="0" w:space="0" w:color="auto"/>
        <w:left w:val="none" w:sz="0" w:space="0" w:color="auto"/>
        <w:bottom w:val="none" w:sz="0" w:space="0" w:color="auto"/>
        <w:right w:val="none" w:sz="0" w:space="0" w:color="auto"/>
      </w:divBdr>
    </w:div>
    <w:div w:id="1395928519">
      <w:bodyDiv w:val="1"/>
      <w:marLeft w:val="0"/>
      <w:marRight w:val="0"/>
      <w:marTop w:val="0"/>
      <w:marBottom w:val="0"/>
      <w:divBdr>
        <w:top w:val="none" w:sz="0" w:space="0" w:color="auto"/>
        <w:left w:val="none" w:sz="0" w:space="0" w:color="auto"/>
        <w:bottom w:val="none" w:sz="0" w:space="0" w:color="auto"/>
        <w:right w:val="none" w:sz="0" w:space="0" w:color="auto"/>
      </w:divBdr>
    </w:div>
    <w:div w:id="1434668499">
      <w:bodyDiv w:val="1"/>
      <w:marLeft w:val="0"/>
      <w:marRight w:val="0"/>
      <w:marTop w:val="0"/>
      <w:marBottom w:val="0"/>
      <w:divBdr>
        <w:top w:val="none" w:sz="0" w:space="0" w:color="auto"/>
        <w:left w:val="none" w:sz="0" w:space="0" w:color="auto"/>
        <w:bottom w:val="none" w:sz="0" w:space="0" w:color="auto"/>
        <w:right w:val="none" w:sz="0" w:space="0" w:color="auto"/>
      </w:divBdr>
    </w:div>
    <w:div w:id="1580212105">
      <w:bodyDiv w:val="1"/>
      <w:marLeft w:val="0"/>
      <w:marRight w:val="0"/>
      <w:marTop w:val="0"/>
      <w:marBottom w:val="0"/>
      <w:divBdr>
        <w:top w:val="none" w:sz="0" w:space="0" w:color="auto"/>
        <w:left w:val="none" w:sz="0" w:space="0" w:color="auto"/>
        <w:bottom w:val="none" w:sz="0" w:space="0" w:color="auto"/>
        <w:right w:val="none" w:sz="0" w:space="0" w:color="auto"/>
      </w:divBdr>
    </w:div>
    <w:div w:id="1648166377">
      <w:bodyDiv w:val="1"/>
      <w:marLeft w:val="0"/>
      <w:marRight w:val="0"/>
      <w:marTop w:val="0"/>
      <w:marBottom w:val="0"/>
      <w:divBdr>
        <w:top w:val="none" w:sz="0" w:space="0" w:color="auto"/>
        <w:left w:val="none" w:sz="0" w:space="0" w:color="auto"/>
        <w:bottom w:val="none" w:sz="0" w:space="0" w:color="auto"/>
        <w:right w:val="none" w:sz="0" w:space="0" w:color="auto"/>
      </w:divBdr>
    </w:div>
    <w:div w:id="1849557451">
      <w:bodyDiv w:val="1"/>
      <w:marLeft w:val="0"/>
      <w:marRight w:val="0"/>
      <w:marTop w:val="0"/>
      <w:marBottom w:val="0"/>
      <w:divBdr>
        <w:top w:val="none" w:sz="0" w:space="0" w:color="auto"/>
        <w:left w:val="none" w:sz="0" w:space="0" w:color="auto"/>
        <w:bottom w:val="none" w:sz="0" w:space="0" w:color="auto"/>
        <w:right w:val="none" w:sz="0" w:space="0" w:color="auto"/>
      </w:divBdr>
    </w:div>
    <w:div w:id="19242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diagramQuickStyle" Target="diagrams/quickStyle1.xml"/><Relationship Id="rId39" Type="http://schemas.openxmlformats.org/officeDocument/2006/relationships/image" Target="media/image25.emf"/><Relationship Id="rId21" Type="http://schemas.openxmlformats.org/officeDocument/2006/relationships/image" Target="media/image12.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image" Target="media/image4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5.emf"/><Relationship Id="rId41" Type="http://schemas.openxmlformats.org/officeDocument/2006/relationships/image" Target="media/image27.emf"/><Relationship Id="rId54" Type="http://schemas.openxmlformats.org/officeDocument/2006/relationships/image" Target="media/image39.emf"/><Relationship Id="rId62"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8.emf"/><Relationship Id="rId58" Type="http://schemas.openxmlformats.org/officeDocument/2006/relationships/image" Target="media/image43.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microsoft.com/office/2007/relationships/diagramDrawing" Target="diagrams/drawing1.xml"/><Relationship Id="rId36" Type="http://schemas.openxmlformats.org/officeDocument/2006/relationships/image" Target="media/image22.emf"/><Relationship Id="rId49" Type="http://schemas.openxmlformats.org/officeDocument/2006/relationships/chart" Target="charts/chart1.xml"/><Relationship Id="rId57" Type="http://schemas.openxmlformats.org/officeDocument/2006/relationships/image" Target="media/image42.emf"/><Relationship Id="rId61" Type="http://schemas.openxmlformats.org/officeDocument/2006/relationships/image" Target="media/image45.emf"/><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7.emf"/><Relationship Id="rId60" Type="http://schemas.openxmlformats.org/officeDocument/2006/relationships/image" Target="media/image44.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diagramColors" Target="diagrams/colors1.xm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1.emf"/><Relationship Id="rId64" Type="http://schemas.openxmlformats.org/officeDocument/2006/relationships/image" Target="media/image48.emf"/><Relationship Id="rId8" Type="http://schemas.openxmlformats.org/officeDocument/2006/relationships/image" Target="media/image1.png"/><Relationship Id="rId51"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diagramLayout" Target="diagrams/layout1.xml"/><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z%20Antonio\Documents\TONICO\Luiz%20Antonio\CONTABILIDADE%20LUIZ\TELETRABALHO\NOTAS%20EXPLICATIVAS\3&#186;%20TRIMESTRE\Modelo_DC_IFRS_2x%20Tri%202020%20para%20R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z%20Antonio\Documents\TONICO\Luiz%20Antonio\CONTABILIDADE%20LUIZ\TELETRABALHO\NOTAS%20EXPLICATIVAS\3&#186;%20TRIMESTRE\Modelo_DC_IFRS_2x%20Tri%202020%20para%20R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921810665511714E-2"/>
          <c:y val="0.24427926509186351"/>
          <c:w val="0.93888888888888888"/>
          <c:h val="0.28777449693788276"/>
        </c:manualLayout>
      </c:layout>
      <c:pie3DChart>
        <c:varyColors val="1"/>
        <c:ser>
          <c:idx val="0"/>
          <c:order val="0"/>
          <c:dPt>
            <c:idx val="0"/>
            <c:bubble3D val="0"/>
            <c:spPr>
              <a:gradFill rotWithShape="1">
                <a:gsLst>
                  <a:gs pos="0">
                    <a:schemeClr val="accent6">
                      <a:shade val="58000"/>
                      <a:satMod val="103000"/>
                      <a:lumMod val="102000"/>
                      <a:tint val="94000"/>
                    </a:schemeClr>
                  </a:gs>
                  <a:gs pos="50000">
                    <a:schemeClr val="accent6">
                      <a:shade val="58000"/>
                      <a:satMod val="110000"/>
                      <a:lumMod val="100000"/>
                      <a:shade val="100000"/>
                    </a:schemeClr>
                  </a:gs>
                  <a:gs pos="100000">
                    <a:schemeClr val="accent6">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A98-455C-9AD3-9F8ECF67CBD6}"/>
              </c:ext>
            </c:extLst>
          </c:dPt>
          <c:dPt>
            <c:idx val="1"/>
            <c:bubble3D val="0"/>
            <c:spPr>
              <a:gradFill rotWithShape="1">
                <a:gsLst>
                  <a:gs pos="0">
                    <a:schemeClr val="accent6">
                      <a:shade val="86000"/>
                      <a:satMod val="103000"/>
                      <a:lumMod val="102000"/>
                      <a:tint val="94000"/>
                    </a:schemeClr>
                  </a:gs>
                  <a:gs pos="50000">
                    <a:schemeClr val="accent6">
                      <a:shade val="86000"/>
                      <a:satMod val="110000"/>
                      <a:lumMod val="100000"/>
                      <a:shade val="100000"/>
                    </a:schemeClr>
                  </a:gs>
                  <a:gs pos="100000">
                    <a:schemeClr val="accent6">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A98-455C-9AD3-9F8ECF67CBD6}"/>
              </c:ext>
            </c:extLst>
          </c:dPt>
          <c:dPt>
            <c:idx val="2"/>
            <c:bubble3D val="0"/>
            <c:spPr>
              <a:gradFill rotWithShape="1">
                <a:gsLst>
                  <a:gs pos="0">
                    <a:schemeClr val="accent6">
                      <a:tint val="86000"/>
                      <a:satMod val="103000"/>
                      <a:lumMod val="102000"/>
                      <a:tint val="94000"/>
                    </a:schemeClr>
                  </a:gs>
                  <a:gs pos="50000">
                    <a:schemeClr val="accent6">
                      <a:tint val="86000"/>
                      <a:satMod val="110000"/>
                      <a:lumMod val="100000"/>
                      <a:shade val="100000"/>
                    </a:schemeClr>
                  </a:gs>
                  <a:gs pos="100000">
                    <a:schemeClr val="accent6">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A98-455C-9AD3-9F8ECF67CBD6}"/>
              </c:ext>
            </c:extLst>
          </c:dPt>
          <c:dPt>
            <c:idx val="3"/>
            <c:bubble3D val="0"/>
            <c:spPr>
              <a:gradFill rotWithShape="1">
                <a:gsLst>
                  <a:gs pos="0">
                    <a:schemeClr val="accent6">
                      <a:tint val="58000"/>
                      <a:satMod val="103000"/>
                      <a:lumMod val="102000"/>
                      <a:tint val="94000"/>
                    </a:schemeClr>
                  </a:gs>
                  <a:gs pos="50000">
                    <a:schemeClr val="accent6">
                      <a:tint val="58000"/>
                      <a:satMod val="110000"/>
                      <a:lumMod val="100000"/>
                      <a:shade val="100000"/>
                    </a:schemeClr>
                  </a:gs>
                  <a:gs pos="100000">
                    <a:schemeClr val="accent6">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A98-455C-9AD3-9F8ECF67CBD6}"/>
              </c:ext>
            </c:extLst>
          </c:dPt>
          <c:dLbls>
            <c:dLbl>
              <c:idx val="0"/>
              <c:layout>
                <c:manualLayout>
                  <c:x val="-0.28267566910115638"/>
                  <c:y val="-6.495572199816486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419012623422067"/>
                      <c:h val="0.14490723142365824"/>
                    </c:manualLayout>
                  </c15:layout>
                </c:ext>
                <c:ext xmlns:c16="http://schemas.microsoft.com/office/drawing/2014/chart" uri="{C3380CC4-5D6E-409C-BE32-E72D297353CC}">
                  <c16:uniqueId val="{00000001-EA98-455C-9AD3-9F8ECF67CBD6}"/>
                </c:ext>
              </c:extLst>
            </c:dLbl>
            <c:dLbl>
              <c:idx val="2"/>
              <c:layout>
                <c:manualLayout>
                  <c:x val="8.9480851301631553E-2"/>
                  <c:y val="0.29553976484646738"/>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A98-455C-9AD3-9F8ECF67CBD6}"/>
                </c:ext>
              </c:extLst>
            </c:dLbl>
            <c:dLbl>
              <c:idx val="3"/>
              <c:layout>
                <c:manualLayout>
                  <c:x val="-8.7411726805712298E-2"/>
                  <c:y val="-0.11130059962016949"/>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A98-455C-9AD3-9F8ECF67CBD6}"/>
                </c:ext>
              </c:extLst>
            </c:dLbl>
            <c:spPr>
              <a:noFill/>
              <a:ln>
                <a:noFill/>
              </a:ln>
              <a:effectLst/>
            </c:spPr>
            <c:txPr>
              <a:bodyPr rot="0" spcFirstLastPara="1" vertOverflow="overflow" horzOverflow="overflow" vert="horz" wrap="square" lIns="36000" tIns="19050" rIns="38100" bIns="19050" anchor="t"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'Fig4 (2)'!$C$8:$C$11</c:f>
              <c:strCache>
                <c:ptCount val="4"/>
                <c:pt idx="0">
                  <c:v>COMPROVAÇÃO TEDS</c:v>
                </c:pt>
                <c:pt idx="1">
                  <c:v>BAIXA PASSIVOS (Cancel. DMAE + Bolsas)</c:v>
                </c:pt>
                <c:pt idx="2">
                  <c:v>OUTRAS DESINC. (Devoluções)</c:v>
                </c:pt>
                <c:pt idx="3">
                  <c:v>TRANSF.REC PAGTO PRECATÓRIOS TRF4</c:v>
                </c:pt>
              </c:strCache>
            </c:strRef>
          </c:cat>
          <c:val>
            <c:numRef>
              <c:f>'Fig4 (2)'!$D$8:$D$11</c:f>
              <c:numCache>
                <c:formatCode>#,##0.00;\(#,##0.00\)</c:formatCode>
                <c:ptCount val="4"/>
                <c:pt idx="0">
                  <c:v>2276277.23</c:v>
                </c:pt>
                <c:pt idx="1">
                  <c:v>19249</c:v>
                </c:pt>
                <c:pt idx="2">
                  <c:v>60640</c:v>
                </c:pt>
                <c:pt idx="3">
                  <c:v>11849664.289999999</c:v>
                </c:pt>
              </c:numCache>
            </c:numRef>
          </c:val>
          <c:extLst>
            <c:ext xmlns:c16="http://schemas.microsoft.com/office/drawing/2014/chart" uri="{C3380CC4-5D6E-409C-BE32-E72D297353CC}">
              <c16:uniqueId val="{00000008-EA98-455C-9AD3-9F8ECF67CBD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Naturezas de Despesas mais relevantes no exercício 2020</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pt-BR"/>
        </a:p>
      </c:txPr>
    </c:title>
    <c:autoTitleDeleted val="0"/>
    <c:plotArea>
      <c:layout/>
      <c:barChart>
        <c:barDir val="bar"/>
        <c:grouping val="clustered"/>
        <c:varyColors val="0"/>
        <c:ser>
          <c:idx val="0"/>
          <c:order val="0"/>
          <c:tx>
            <c:strRef>
              <c:f>'Fig5'!$B$3</c:f>
              <c:strCache>
                <c:ptCount val="1"/>
                <c:pt idx="0">
                  <c:v>30/09/2020</c:v>
                </c:pt>
              </c:strCache>
            </c:strRef>
          </c:tx>
          <c:spPr>
            <a:solidFill>
              <a:schemeClr val="accent1"/>
            </a:solidFill>
            <a:ln>
              <a:noFill/>
            </a:ln>
            <a:effectLst/>
          </c:spPr>
          <c:invertIfNegative val="0"/>
          <c:cat>
            <c:strRef>
              <c:f>'Fig5'!$A$4:$A$6</c:f>
              <c:strCache>
                <c:ptCount val="3"/>
                <c:pt idx="0">
                  <c:v>VENCIMENTOS E VANTAGENS FIXAS</c:v>
                </c:pt>
                <c:pt idx="1">
                  <c:v>OBRIGAÇÕES PATRONAIS - OP. INTRA-ORÇAMENTÁRIAS</c:v>
                </c:pt>
                <c:pt idx="2">
                  <c:v>APOSENTADORIAS DO RPPS</c:v>
                </c:pt>
              </c:strCache>
            </c:strRef>
          </c:cat>
          <c:val>
            <c:numRef>
              <c:f>'Fig5'!$B$4:$B$6</c:f>
              <c:numCache>
                <c:formatCode>#,##0.00;\(#,##0.00\)</c:formatCode>
                <c:ptCount val="3"/>
                <c:pt idx="0">
                  <c:v>282029191</c:v>
                </c:pt>
                <c:pt idx="1">
                  <c:v>50360332.359999999</c:v>
                </c:pt>
                <c:pt idx="2">
                  <c:v>22725538.850000001</c:v>
                </c:pt>
              </c:numCache>
            </c:numRef>
          </c:val>
          <c:extLst>
            <c:ext xmlns:c16="http://schemas.microsoft.com/office/drawing/2014/chart" uri="{C3380CC4-5D6E-409C-BE32-E72D297353CC}">
              <c16:uniqueId val="{00000000-BDE8-402E-A486-8A85E43ECAC7}"/>
            </c:ext>
          </c:extLst>
        </c:ser>
        <c:ser>
          <c:idx val="1"/>
          <c:order val="1"/>
          <c:tx>
            <c:strRef>
              <c:f>'Fig5'!$C$3</c:f>
              <c:strCache>
                <c:ptCount val="1"/>
                <c:pt idx="0">
                  <c:v>30/09/2019</c:v>
                </c:pt>
              </c:strCache>
            </c:strRef>
          </c:tx>
          <c:spPr>
            <a:solidFill>
              <a:schemeClr val="accent2"/>
            </a:solidFill>
            <a:ln>
              <a:noFill/>
            </a:ln>
            <a:effectLst/>
          </c:spPr>
          <c:invertIfNegative val="0"/>
          <c:cat>
            <c:strRef>
              <c:f>'Fig5'!$A$4:$A$6</c:f>
              <c:strCache>
                <c:ptCount val="3"/>
                <c:pt idx="0">
                  <c:v>VENCIMENTOS E VANTAGENS FIXAS</c:v>
                </c:pt>
                <c:pt idx="1">
                  <c:v>OBRIGAÇÕES PATRONAIS - OP. INTRA-ORÇAMENTÁRIAS</c:v>
                </c:pt>
                <c:pt idx="2">
                  <c:v>APOSENTADORIAS DO RPPS</c:v>
                </c:pt>
              </c:strCache>
            </c:strRef>
          </c:cat>
          <c:val>
            <c:numRef>
              <c:f>'Fig5'!$C$4:$C$6</c:f>
              <c:numCache>
                <c:formatCode>#,##0.00;\(#,##0.00\)</c:formatCode>
                <c:ptCount val="3"/>
                <c:pt idx="0">
                  <c:v>265409533.19</c:v>
                </c:pt>
                <c:pt idx="1">
                  <c:v>45947224.310000002</c:v>
                </c:pt>
                <c:pt idx="2">
                  <c:v>19136000</c:v>
                </c:pt>
              </c:numCache>
            </c:numRef>
          </c:val>
          <c:extLst>
            <c:ext xmlns:c16="http://schemas.microsoft.com/office/drawing/2014/chart" uri="{C3380CC4-5D6E-409C-BE32-E72D297353CC}">
              <c16:uniqueId val="{00000001-BDE8-402E-A486-8A85E43ECAC7}"/>
            </c:ext>
          </c:extLst>
        </c:ser>
        <c:dLbls>
          <c:showLegendKey val="0"/>
          <c:showVal val="0"/>
          <c:showCatName val="0"/>
          <c:showSerName val="0"/>
          <c:showPercent val="0"/>
          <c:showBubbleSize val="0"/>
        </c:dLbls>
        <c:gapWidth val="269"/>
        <c:overlap val="-48"/>
        <c:axId val="1306558367"/>
        <c:axId val="1306567103"/>
      </c:barChart>
      <c:catAx>
        <c:axId val="1306558367"/>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1306567103"/>
        <c:crosses val="autoZero"/>
        <c:auto val="1"/>
        <c:lblAlgn val="ctr"/>
        <c:lblOffset val="100"/>
        <c:noMultiLvlLbl val="0"/>
      </c:catAx>
      <c:valAx>
        <c:axId val="1306567103"/>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065583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4DEE9B-8FFF-42AB-9DEA-87F05E8D78FC}"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pt-BR"/>
        </a:p>
      </dgm:t>
    </dgm:pt>
    <dgm:pt modelId="{A3CE2C72-B2D8-4D08-AC7B-7C0BF559EB96}">
      <dgm:prSet phldrT="[Texto]"/>
      <dgm:spPr>
        <a:solidFill>
          <a:schemeClr val="accent6">
            <a:lumMod val="60000"/>
            <a:lumOff val="40000"/>
          </a:schemeClr>
        </a:solidFill>
      </dgm:spPr>
      <dgm:t>
        <a:bodyPr/>
        <a:lstStyle/>
        <a:p>
          <a:r>
            <a:rPr lang="pt-BR" b="1">
              <a:solidFill>
                <a:schemeClr val="accent6">
                  <a:lumMod val="75000"/>
                </a:schemeClr>
              </a:solidFill>
            </a:rPr>
            <a:t>III. Financeiro</a:t>
          </a:r>
        </a:p>
      </dgm:t>
    </dgm:pt>
    <dgm:pt modelId="{0F472CAD-339C-42BC-AF67-7622C904D52D}" type="parTrans" cxnId="{ECEE0165-5F42-489A-8572-365CAC8E69A3}">
      <dgm:prSet/>
      <dgm:spPr/>
      <dgm:t>
        <a:bodyPr/>
        <a:lstStyle/>
        <a:p>
          <a:endParaRPr lang="pt-BR" b="1"/>
        </a:p>
      </dgm:t>
    </dgm:pt>
    <dgm:pt modelId="{565E2B7F-D52C-4F87-AC6C-0F560F17E426}" type="sibTrans" cxnId="{ECEE0165-5F42-489A-8572-365CAC8E69A3}">
      <dgm:prSet/>
      <dgm:spPr/>
      <dgm:t>
        <a:bodyPr/>
        <a:lstStyle/>
        <a:p>
          <a:endParaRPr lang="pt-BR" b="1"/>
        </a:p>
      </dgm:t>
    </dgm:pt>
    <dgm:pt modelId="{FA94DC61-C9A9-4F7F-94AF-979BFE529586}">
      <dgm:prSet/>
      <dgm:spPr>
        <a:solidFill>
          <a:schemeClr val="accent6">
            <a:lumMod val="60000"/>
            <a:lumOff val="40000"/>
          </a:schemeClr>
        </a:solidFill>
      </dgm:spPr>
      <dgm:t>
        <a:bodyPr/>
        <a:lstStyle/>
        <a:p>
          <a:r>
            <a:rPr lang="pt-BR" b="1">
              <a:solidFill>
                <a:schemeClr val="accent6">
                  <a:lumMod val="75000"/>
                </a:schemeClr>
              </a:solidFill>
            </a:rPr>
            <a:t>II. Orçamentário</a:t>
          </a:r>
        </a:p>
      </dgm:t>
    </dgm:pt>
    <dgm:pt modelId="{A2A07032-8968-4165-954C-8A4320B9B4B7}" type="parTrans" cxnId="{74542C83-63D8-4212-B867-F1C435703A1D}">
      <dgm:prSet/>
      <dgm:spPr/>
      <dgm:t>
        <a:bodyPr/>
        <a:lstStyle/>
        <a:p>
          <a:endParaRPr lang="pt-BR" b="1"/>
        </a:p>
      </dgm:t>
    </dgm:pt>
    <dgm:pt modelId="{1380727C-EAC1-49B9-BE79-DDE363C9639F}" type="sibTrans" cxnId="{74542C83-63D8-4212-B867-F1C435703A1D}">
      <dgm:prSet/>
      <dgm:spPr/>
      <dgm:t>
        <a:bodyPr/>
        <a:lstStyle/>
        <a:p>
          <a:endParaRPr lang="pt-BR" b="1"/>
        </a:p>
      </dgm:t>
    </dgm:pt>
    <dgm:pt modelId="{735F8F9F-A9FE-4D9E-89F5-BCF707456D71}">
      <dgm:prSet/>
      <dgm:spPr>
        <a:solidFill>
          <a:schemeClr val="accent6">
            <a:lumMod val="60000"/>
            <a:lumOff val="40000"/>
          </a:schemeClr>
        </a:solidFill>
      </dgm:spPr>
      <dgm:t>
        <a:bodyPr/>
        <a:lstStyle/>
        <a:p>
          <a:r>
            <a:rPr lang="pt-BR" b="1">
              <a:solidFill>
                <a:schemeClr val="accent6">
                  <a:lumMod val="75000"/>
                </a:schemeClr>
              </a:solidFill>
            </a:rPr>
            <a:t>I. Patrimonial</a:t>
          </a:r>
        </a:p>
      </dgm:t>
    </dgm:pt>
    <dgm:pt modelId="{5BDC37A4-FE21-4C07-880B-354A59A9A3B4}" type="parTrans" cxnId="{988132E7-63C4-4BFC-8ED3-BF69656BABDB}">
      <dgm:prSet/>
      <dgm:spPr/>
      <dgm:t>
        <a:bodyPr/>
        <a:lstStyle/>
        <a:p>
          <a:endParaRPr lang="pt-BR" b="1"/>
        </a:p>
      </dgm:t>
    </dgm:pt>
    <dgm:pt modelId="{46B1B78D-9DBB-40E1-87AC-610D61BEE015}" type="sibTrans" cxnId="{988132E7-63C4-4BFC-8ED3-BF69656BABDB}">
      <dgm:prSet/>
      <dgm:spPr/>
      <dgm:t>
        <a:bodyPr/>
        <a:lstStyle/>
        <a:p>
          <a:endParaRPr lang="pt-BR" b="1"/>
        </a:p>
      </dgm:t>
    </dgm:pt>
    <dgm:pt modelId="{2A26CA57-DD3F-4786-88F9-3CAF87630586}" type="pres">
      <dgm:prSet presAssocID="{E94DEE9B-8FFF-42AB-9DEA-87F05E8D78FC}" presName="hierChild1" presStyleCnt="0">
        <dgm:presLayoutVars>
          <dgm:orgChart val="1"/>
          <dgm:chPref val="1"/>
          <dgm:dir val="rev"/>
          <dgm:animOne val="branch"/>
          <dgm:animLvl val="lvl"/>
          <dgm:resizeHandles/>
        </dgm:presLayoutVars>
      </dgm:prSet>
      <dgm:spPr/>
    </dgm:pt>
    <dgm:pt modelId="{67736234-5679-40DF-9FFA-D7A4FBB60DF1}" type="pres">
      <dgm:prSet presAssocID="{A3CE2C72-B2D8-4D08-AC7B-7C0BF559EB96}" presName="hierRoot1" presStyleCnt="0">
        <dgm:presLayoutVars>
          <dgm:hierBranch val="init"/>
        </dgm:presLayoutVars>
      </dgm:prSet>
      <dgm:spPr/>
    </dgm:pt>
    <dgm:pt modelId="{486E5479-7414-4797-B1BE-612793CAE0AD}" type="pres">
      <dgm:prSet presAssocID="{A3CE2C72-B2D8-4D08-AC7B-7C0BF559EB96}" presName="rootComposite1" presStyleCnt="0"/>
      <dgm:spPr/>
    </dgm:pt>
    <dgm:pt modelId="{44C17BF4-55D8-46F9-A99D-6F46A1732CE4}" type="pres">
      <dgm:prSet presAssocID="{A3CE2C72-B2D8-4D08-AC7B-7C0BF559EB96}" presName="rootText1" presStyleLbl="node0" presStyleIdx="0" presStyleCnt="1">
        <dgm:presLayoutVars>
          <dgm:chPref val="3"/>
        </dgm:presLayoutVars>
      </dgm:prSet>
      <dgm:spPr/>
    </dgm:pt>
    <dgm:pt modelId="{A4EED092-1EEA-40BE-92ED-1B46A76053BC}" type="pres">
      <dgm:prSet presAssocID="{A3CE2C72-B2D8-4D08-AC7B-7C0BF559EB96}" presName="rootConnector1" presStyleLbl="node1" presStyleIdx="0" presStyleCnt="0"/>
      <dgm:spPr/>
    </dgm:pt>
    <dgm:pt modelId="{50983584-C770-47F0-BDF3-AD7719180504}" type="pres">
      <dgm:prSet presAssocID="{A3CE2C72-B2D8-4D08-AC7B-7C0BF559EB96}" presName="hierChild2" presStyleCnt="0"/>
      <dgm:spPr/>
    </dgm:pt>
    <dgm:pt modelId="{D7CD2BED-6CA8-4CEC-9F4A-7C40681AAE45}" type="pres">
      <dgm:prSet presAssocID="{A2A07032-8968-4165-954C-8A4320B9B4B7}" presName="Name66" presStyleLbl="parChTrans1D2" presStyleIdx="0" presStyleCnt="1"/>
      <dgm:spPr/>
    </dgm:pt>
    <dgm:pt modelId="{0B1BCAE5-3C7B-4168-B0FD-F771FD5F32DE}" type="pres">
      <dgm:prSet presAssocID="{FA94DC61-C9A9-4F7F-94AF-979BFE529586}" presName="hierRoot2" presStyleCnt="0">
        <dgm:presLayoutVars>
          <dgm:hierBranch val="init"/>
        </dgm:presLayoutVars>
      </dgm:prSet>
      <dgm:spPr/>
    </dgm:pt>
    <dgm:pt modelId="{D9D545EF-BE80-4B67-BEBC-310386321A11}" type="pres">
      <dgm:prSet presAssocID="{FA94DC61-C9A9-4F7F-94AF-979BFE529586}" presName="rootComposite" presStyleCnt="0"/>
      <dgm:spPr/>
    </dgm:pt>
    <dgm:pt modelId="{F658355D-4D57-41B2-9128-C874E0708ABA}" type="pres">
      <dgm:prSet presAssocID="{FA94DC61-C9A9-4F7F-94AF-979BFE529586}" presName="rootText" presStyleLbl="node2" presStyleIdx="0" presStyleCnt="1">
        <dgm:presLayoutVars>
          <dgm:chPref val="3"/>
        </dgm:presLayoutVars>
      </dgm:prSet>
      <dgm:spPr/>
    </dgm:pt>
    <dgm:pt modelId="{A6FB6F8D-B18E-4CF8-8809-706FFA13A816}" type="pres">
      <dgm:prSet presAssocID="{FA94DC61-C9A9-4F7F-94AF-979BFE529586}" presName="rootConnector" presStyleLbl="node2" presStyleIdx="0" presStyleCnt="1"/>
      <dgm:spPr/>
    </dgm:pt>
    <dgm:pt modelId="{3D294F72-262C-4D47-A7AD-B81B018B35E1}" type="pres">
      <dgm:prSet presAssocID="{FA94DC61-C9A9-4F7F-94AF-979BFE529586}" presName="hierChild4" presStyleCnt="0"/>
      <dgm:spPr/>
    </dgm:pt>
    <dgm:pt modelId="{B1B96C90-4AA1-40D0-A564-47C5FDCD0D46}" type="pres">
      <dgm:prSet presAssocID="{5BDC37A4-FE21-4C07-880B-354A59A9A3B4}" presName="Name66" presStyleLbl="parChTrans1D3" presStyleIdx="0" presStyleCnt="1"/>
      <dgm:spPr/>
    </dgm:pt>
    <dgm:pt modelId="{7F1CCF3A-36C7-4F13-BDA1-384EFF472901}" type="pres">
      <dgm:prSet presAssocID="{735F8F9F-A9FE-4D9E-89F5-BCF707456D71}" presName="hierRoot2" presStyleCnt="0">
        <dgm:presLayoutVars>
          <dgm:hierBranch val="init"/>
        </dgm:presLayoutVars>
      </dgm:prSet>
      <dgm:spPr/>
    </dgm:pt>
    <dgm:pt modelId="{F9735CA3-48BE-4A3B-9B06-0270AD9A7A6B}" type="pres">
      <dgm:prSet presAssocID="{735F8F9F-A9FE-4D9E-89F5-BCF707456D71}" presName="rootComposite" presStyleCnt="0"/>
      <dgm:spPr/>
    </dgm:pt>
    <dgm:pt modelId="{1533B9A4-99D2-4808-AA1C-98EF8EA75C4A}" type="pres">
      <dgm:prSet presAssocID="{735F8F9F-A9FE-4D9E-89F5-BCF707456D71}" presName="rootText" presStyleLbl="node3" presStyleIdx="0" presStyleCnt="1">
        <dgm:presLayoutVars>
          <dgm:chPref val="3"/>
        </dgm:presLayoutVars>
      </dgm:prSet>
      <dgm:spPr/>
    </dgm:pt>
    <dgm:pt modelId="{E27E0511-8A6F-47BD-AF3F-7EAA4A572FD9}" type="pres">
      <dgm:prSet presAssocID="{735F8F9F-A9FE-4D9E-89F5-BCF707456D71}" presName="rootConnector" presStyleLbl="node3" presStyleIdx="0" presStyleCnt="1"/>
      <dgm:spPr/>
    </dgm:pt>
    <dgm:pt modelId="{721F0D67-7C3B-4647-8DAA-573E6F068A7A}" type="pres">
      <dgm:prSet presAssocID="{735F8F9F-A9FE-4D9E-89F5-BCF707456D71}" presName="hierChild4" presStyleCnt="0"/>
      <dgm:spPr/>
    </dgm:pt>
    <dgm:pt modelId="{E2566E86-48C4-44C5-8613-FD4CDE5C37F7}" type="pres">
      <dgm:prSet presAssocID="{735F8F9F-A9FE-4D9E-89F5-BCF707456D71}" presName="hierChild5" presStyleCnt="0"/>
      <dgm:spPr/>
    </dgm:pt>
    <dgm:pt modelId="{E32F9DA4-F0CE-4D7F-A893-1C8263B378F8}" type="pres">
      <dgm:prSet presAssocID="{FA94DC61-C9A9-4F7F-94AF-979BFE529586}" presName="hierChild5" presStyleCnt="0"/>
      <dgm:spPr/>
    </dgm:pt>
    <dgm:pt modelId="{0CF63C3F-57E6-4EA4-BA1A-6BB2F60F8FDA}" type="pres">
      <dgm:prSet presAssocID="{A3CE2C72-B2D8-4D08-AC7B-7C0BF559EB96}" presName="hierChild3" presStyleCnt="0"/>
      <dgm:spPr/>
    </dgm:pt>
  </dgm:ptLst>
  <dgm:cxnLst>
    <dgm:cxn modelId="{ABF3DC5C-473D-402C-AC89-85843149BF0E}" type="presOf" srcId="{FA94DC61-C9A9-4F7F-94AF-979BFE529586}" destId="{F658355D-4D57-41B2-9128-C874E0708ABA}" srcOrd="0" destOrd="0" presId="urn:microsoft.com/office/officeart/2009/3/layout/HorizontalOrganizationChart"/>
    <dgm:cxn modelId="{ECEE0165-5F42-489A-8572-365CAC8E69A3}" srcId="{E94DEE9B-8FFF-42AB-9DEA-87F05E8D78FC}" destId="{A3CE2C72-B2D8-4D08-AC7B-7C0BF559EB96}" srcOrd="0" destOrd="0" parTransId="{0F472CAD-339C-42BC-AF67-7622C904D52D}" sibTransId="{565E2B7F-D52C-4F87-AC6C-0F560F17E426}"/>
    <dgm:cxn modelId="{4E2F8165-48E6-4138-86DE-9F7B7E5FD47E}" type="presOf" srcId="{A3CE2C72-B2D8-4D08-AC7B-7C0BF559EB96}" destId="{A4EED092-1EEA-40BE-92ED-1B46A76053BC}" srcOrd="1" destOrd="0" presId="urn:microsoft.com/office/officeart/2009/3/layout/HorizontalOrganizationChart"/>
    <dgm:cxn modelId="{9FE6FF70-1446-45FD-BAA6-CC1ED0CC9173}" type="presOf" srcId="{735F8F9F-A9FE-4D9E-89F5-BCF707456D71}" destId="{E27E0511-8A6F-47BD-AF3F-7EAA4A572FD9}" srcOrd="1" destOrd="0" presId="urn:microsoft.com/office/officeart/2009/3/layout/HorizontalOrganizationChart"/>
    <dgm:cxn modelId="{74542C83-63D8-4212-B867-F1C435703A1D}" srcId="{A3CE2C72-B2D8-4D08-AC7B-7C0BF559EB96}" destId="{FA94DC61-C9A9-4F7F-94AF-979BFE529586}" srcOrd="0" destOrd="0" parTransId="{A2A07032-8968-4165-954C-8A4320B9B4B7}" sibTransId="{1380727C-EAC1-49B9-BE79-DDE363C9639F}"/>
    <dgm:cxn modelId="{FE6D6D90-B4A7-4A92-8B63-4B63DFADA3C7}" type="presOf" srcId="{E94DEE9B-8FFF-42AB-9DEA-87F05E8D78FC}" destId="{2A26CA57-DD3F-4786-88F9-3CAF87630586}" srcOrd="0" destOrd="0" presId="urn:microsoft.com/office/officeart/2009/3/layout/HorizontalOrganizationChart"/>
    <dgm:cxn modelId="{C3E2659E-38AB-435D-A1F7-34EC74FC0453}" type="presOf" srcId="{735F8F9F-A9FE-4D9E-89F5-BCF707456D71}" destId="{1533B9A4-99D2-4808-AA1C-98EF8EA75C4A}" srcOrd="0" destOrd="0" presId="urn:microsoft.com/office/officeart/2009/3/layout/HorizontalOrganizationChart"/>
    <dgm:cxn modelId="{CC8688D8-5704-4584-BF22-9350E83D0FBA}" type="presOf" srcId="{FA94DC61-C9A9-4F7F-94AF-979BFE529586}" destId="{A6FB6F8D-B18E-4CF8-8809-706FFA13A816}" srcOrd="1" destOrd="0" presId="urn:microsoft.com/office/officeart/2009/3/layout/HorizontalOrganizationChart"/>
    <dgm:cxn modelId="{A1C054D9-B843-4759-83C0-50F13ACF1A96}" type="presOf" srcId="{5BDC37A4-FE21-4C07-880B-354A59A9A3B4}" destId="{B1B96C90-4AA1-40D0-A564-47C5FDCD0D46}" srcOrd="0" destOrd="0" presId="urn:microsoft.com/office/officeart/2009/3/layout/HorizontalOrganizationChart"/>
    <dgm:cxn modelId="{33D97EDD-3146-4B81-9DCB-65B5B06DB6BF}" type="presOf" srcId="{A3CE2C72-B2D8-4D08-AC7B-7C0BF559EB96}" destId="{44C17BF4-55D8-46F9-A99D-6F46A1732CE4}" srcOrd="0" destOrd="0" presId="urn:microsoft.com/office/officeart/2009/3/layout/HorizontalOrganizationChart"/>
    <dgm:cxn modelId="{988132E7-63C4-4BFC-8ED3-BF69656BABDB}" srcId="{FA94DC61-C9A9-4F7F-94AF-979BFE529586}" destId="{735F8F9F-A9FE-4D9E-89F5-BCF707456D71}" srcOrd="0" destOrd="0" parTransId="{5BDC37A4-FE21-4C07-880B-354A59A9A3B4}" sibTransId="{46B1B78D-9DBB-40E1-87AC-610D61BEE015}"/>
    <dgm:cxn modelId="{003EE7E9-897B-4599-9BA2-4C373645C77C}" type="presOf" srcId="{A2A07032-8968-4165-954C-8A4320B9B4B7}" destId="{D7CD2BED-6CA8-4CEC-9F4A-7C40681AAE45}" srcOrd="0" destOrd="0" presId="urn:microsoft.com/office/officeart/2009/3/layout/HorizontalOrganizationChart"/>
    <dgm:cxn modelId="{1CDC00B1-F663-4B2E-8C11-E6B1156A80FE}" type="presParOf" srcId="{2A26CA57-DD3F-4786-88F9-3CAF87630586}" destId="{67736234-5679-40DF-9FFA-D7A4FBB60DF1}" srcOrd="0" destOrd="0" presId="urn:microsoft.com/office/officeart/2009/3/layout/HorizontalOrganizationChart"/>
    <dgm:cxn modelId="{E72FC633-25AF-480A-8D81-3FEB25CC6322}" type="presParOf" srcId="{67736234-5679-40DF-9FFA-D7A4FBB60DF1}" destId="{486E5479-7414-4797-B1BE-612793CAE0AD}" srcOrd="0" destOrd="0" presId="urn:microsoft.com/office/officeart/2009/3/layout/HorizontalOrganizationChart"/>
    <dgm:cxn modelId="{0DE006A9-DB62-4849-AA75-CFBD7B114B7F}" type="presParOf" srcId="{486E5479-7414-4797-B1BE-612793CAE0AD}" destId="{44C17BF4-55D8-46F9-A99D-6F46A1732CE4}" srcOrd="0" destOrd="0" presId="urn:microsoft.com/office/officeart/2009/3/layout/HorizontalOrganizationChart"/>
    <dgm:cxn modelId="{B8D43706-50CB-4030-B530-2E67DF94730E}" type="presParOf" srcId="{486E5479-7414-4797-B1BE-612793CAE0AD}" destId="{A4EED092-1EEA-40BE-92ED-1B46A76053BC}" srcOrd="1" destOrd="0" presId="urn:microsoft.com/office/officeart/2009/3/layout/HorizontalOrganizationChart"/>
    <dgm:cxn modelId="{F5A8BCE7-E11C-41C7-A9DE-554B6499C097}" type="presParOf" srcId="{67736234-5679-40DF-9FFA-D7A4FBB60DF1}" destId="{50983584-C770-47F0-BDF3-AD7719180504}" srcOrd="1" destOrd="0" presId="urn:microsoft.com/office/officeart/2009/3/layout/HorizontalOrganizationChart"/>
    <dgm:cxn modelId="{DBED17B4-B8AE-4382-AD36-D2F436F4F201}" type="presParOf" srcId="{50983584-C770-47F0-BDF3-AD7719180504}" destId="{D7CD2BED-6CA8-4CEC-9F4A-7C40681AAE45}" srcOrd="0" destOrd="0" presId="urn:microsoft.com/office/officeart/2009/3/layout/HorizontalOrganizationChart"/>
    <dgm:cxn modelId="{AE1C65B0-ED33-4048-8FE6-79F8F91ECDBB}" type="presParOf" srcId="{50983584-C770-47F0-BDF3-AD7719180504}" destId="{0B1BCAE5-3C7B-4168-B0FD-F771FD5F32DE}" srcOrd="1" destOrd="0" presId="urn:microsoft.com/office/officeart/2009/3/layout/HorizontalOrganizationChart"/>
    <dgm:cxn modelId="{D5901233-D32E-4333-96A3-1D80AA2E27F2}" type="presParOf" srcId="{0B1BCAE5-3C7B-4168-B0FD-F771FD5F32DE}" destId="{D9D545EF-BE80-4B67-BEBC-310386321A11}" srcOrd="0" destOrd="0" presId="urn:microsoft.com/office/officeart/2009/3/layout/HorizontalOrganizationChart"/>
    <dgm:cxn modelId="{AACACD71-2178-4DEA-8C19-B66FDF163434}" type="presParOf" srcId="{D9D545EF-BE80-4B67-BEBC-310386321A11}" destId="{F658355D-4D57-41B2-9128-C874E0708ABA}" srcOrd="0" destOrd="0" presId="urn:microsoft.com/office/officeart/2009/3/layout/HorizontalOrganizationChart"/>
    <dgm:cxn modelId="{15A09984-7BF5-4AFF-8B95-688A983CFC78}" type="presParOf" srcId="{D9D545EF-BE80-4B67-BEBC-310386321A11}" destId="{A6FB6F8D-B18E-4CF8-8809-706FFA13A816}" srcOrd="1" destOrd="0" presId="urn:microsoft.com/office/officeart/2009/3/layout/HorizontalOrganizationChart"/>
    <dgm:cxn modelId="{EF413F33-6FBF-4FB4-A3C5-D5C4F49E80F9}" type="presParOf" srcId="{0B1BCAE5-3C7B-4168-B0FD-F771FD5F32DE}" destId="{3D294F72-262C-4D47-A7AD-B81B018B35E1}" srcOrd="1" destOrd="0" presId="urn:microsoft.com/office/officeart/2009/3/layout/HorizontalOrganizationChart"/>
    <dgm:cxn modelId="{FE0764CE-B221-4B5A-9AAD-8385E1CFFD14}" type="presParOf" srcId="{3D294F72-262C-4D47-A7AD-B81B018B35E1}" destId="{B1B96C90-4AA1-40D0-A564-47C5FDCD0D46}" srcOrd="0" destOrd="0" presId="urn:microsoft.com/office/officeart/2009/3/layout/HorizontalOrganizationChart"/>
    <dgm:cxn modelId="{ADB29178-2EDA-49B0-B3DC-BC56B388DC09}" type="presParOf" srcId="{3D294F72-262C-4D47-A7AD-B81B018B35E1}" destId="{7F1CCF3A-36C7-4F13-BDA1-384EFF472901}" srcOrd="1" destOrd="0" presId="urn:microsoft.com/office/officeart/2009/3/layout/HorizontalOrganizationChart"/>
    <dgm:cxn modelId="{14B984A7-5CEB-4365-A61E-094B4BA3A227}" type="presParOf" srcId="{7F1CCF3A-36C7-4F13-BDA1-384EFF472901}" destId="{F9735CA3-48BE-4A3B-9B06-0270AD9A7A6B}" srcOrd="0" destOrd="0" presId="urn:microsoft.com/office/officeart/2009/3/layout/HorizontalOrganizationChart"/>
    <dgm:cxn modelId="{7A5C6673-CB28-43BD-875D-7F89D37ABD42}" type="presParOf" srcId="{F9735CA3-48BE-4A3B-9B06-0270AD9A7A6B}" destId="{1533B9A4-99D2-4808-AA1C-98EF8EA75C4A}" srcOrd="0" destOrd="0" presId="urn:microsoft.com/office/officeart/2009/3/layout/HorizontalOrganizationChart"/>
    <dgm:cxn modelId="{638135F2-3621-4159-8D2F-BB6D71E8074C}" type="presParOf" srcId="{F9735CA3-48BE-4A3B-9B06-0270AD9A7A6B}" destId="{E27E0511-8A6F-47BD-AF3F-7EAA4A572FD9}" srcOrd="1" destOrd="0" presId="urn:microsoft.com/office/officeart/2009/3/layout/HorizontalOrganizationChart"/>
    <dgm:cxn modelId="{55D5B75E-D49E-4BDB-BF3C-3D8E307FDBDC}" type="presParOf" srcId="{7F1CCF3A-36C7-4F13-BDA1-384EFF472901}" destId="{721F0D67-7C3B-4647-8DAA-573E6F068A7A}" srcOrd="1" destOrd="0" presId="urn:microsoft.com/office/officeart/2009/3/layout/HorizontalOrganizationChart"/>
    <dgm:cxn modelId="{166C042E-3782-4B49-93B6-4CF8564F105B}" type="presParOf" srcId="{7F1CCF3A-36C7-4F13-BDA1-384EFF472901}" destId="{E2566E86-48C4-44C5-8613-FD4CDE5C37F7}" srcOrd="2" destOrd="0" presId="urn:microsoft.com/office/officeart/2009/3/layout/HorizontalOrganizationChart"/>
    <dgm:cxn modelId="{B14CE28D-6773-447E-B312-EB978728239E}" type="presParOf" srcId="{0B1BCAE5-3C7B-4168-B0FD-F771FD5F32DE}" destId="{E32F9DA4-F0CE-4D7F-A893-1C8263B378F8}" srcOrd="2" destOrd="0" presId="urn:microsoft.com/office/officeart/2009/3/layout/HorizontalOrganizationChart"/>
    <dgm:cxn modelId="{34EB4530-F9A1-4D9A-9D0D-F4E1C2965D0C}" type="presParOf" srcId="{67736234-5679-40DF-9FFA-D7A4FBB60DF1}" destId="{0CF63C3F-57E6-4EA4-BA1A-6BB2F60F8FDA}"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B96C90-4AA1-40D0-A564-47C5FDCD0D46}">
      <dsp:nvSpPr>
        <dsp:cNvPr id="0" name=""/>
        <dsp:cNvSpPr/>
      </dsp:nvSpPr>
      <dsp:spPr>
        <a:xfrm>
          <a:off x="909499" y="92392"/>
          <a:ext cx="181014" cy="91440"/>
        </a:xfrm>
        <a:custGeom>
          <a:avLst/>
          <a:gdLst/>
          <a:ahLst/>
          <a:cxnLst/>
          <a:rect l="0" t="0" r="0" b="0"/>
          <a:pathLst>
            <a:path>
              <a:moveTo>
                <a:pt x="181014" y="45720"/>
              </a:moveTo>
              <a:lnTo>
                <a:pt x="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CD2BED-6CA8-4CEC-9F4A-7C40681AAE45}">
      <dsp:nvSpPr>
        <dsp:cNvPr id="0" name=""/>
        <dsp:cNvSpPr/>
      </dsp:nvSpPr>
      <dsp:spPr>
        <a:xfrm>
          <a:off x="1995586" y="92392"/>
          <a:ext cx="181014" cy="91440"/>
        </a:xfrm>
        <a:custGeom>
          <a:avLst/>
          <a:gdLst/>
          <a:ahLst/>
          <a:cxnLst/>
          <a:rect l="0" t="0" r="0" b="0"/>
          <a:pathLst>
            <a:path>
              <a:moveTo>
                <a:pt x="181014" y="45720"/>
              </a:moveTo>
              <a:lnTo>
                <a:pt x="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C17BF4-55D8-46F9-A99D-6F46A1732CE4}">
      <dsp:nvSpPr>
        <dsp:cNvPr id="0" name=""/>
        <dsp:cNvSpPr/>
      </dsp:nvSpPr>
      <dsp:spPr>
        <a:xfrm>
          <a:off x="2176600" y="88"/>
          <a:ext cx="905072" cy="27604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kern="1200">
              <a:solidFill>
                <a:schemeClr val="accent6">
                  <a:lumMod val="75000"/>
                </a:schemeClr>
              </a:solidFill>
            </a:rPr>
            <a:t>III. Financeiro</a:t>
          </a:r>
        </a:p>
      </dsp:txBody>
      <dsp:txXfrm>
        <a:off x="2176600" y="88"/>
        <a:ext cx="905072" cy="276047"/>
      </dsp:txXfrm>
    </dsp:sp>
    <dsp:sp modelId="{F658355D-4D57-41B2-9128-C874E0708ABA}">
      <dsp:nvSpPr>
        <dsp:cNvPr id="0" name=""/>
        <dsp:cNvSpPr/>
      </dsp:nvSpPr>
      <dsp:spPr>
        <a:xfrm>
          <a:off x="1090513" y="88"/>
          <a:ext cx="905072" cy="27604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kern="1200">
              <a:solidFill>
                <a:schemeClr val="accent6">
                  <a:lumMod val="75000"/>
                </a:schemeClr>
              </a:solidFill>
            </a:rPr>
            <a:t>II. Orçamentário</a:t>
          </a:r>
        </a:p>
      </dsp:txBody>
      <dsp:txXfrm>
        <a:off x="1090513" y="88"/>
        <a:ext cx="905072" cy="276047"/>
      </dsp:txXfrm>
    </dsp:sp>
    <dsp:sp modelId="{1533B9A4-99D2-4808-AA1C-98EF8EA75C4A}">
      <dsp:nvSpPr>
        <dsp:cNvPr id="0" name=""/>
        <dsp:cNvSpPr/>
      </dsp:nvSpPr>
      <dsp:spPr>
        <a:xfrm>
          <a:off x="4426" y="88"/>
          <a:ext cx="905072" cy="27604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kern="1200">
              <a:solidFill>
                <a:schemeClr val="accent6">
                  <a:lumMod val="75000"/>
                </a:schemeClr>
              </a:solidFill>
            </a:rPr>
            <a:t>I. Patrimonial</a:t>
          </a:r>
        </a:p>
      </dsp:txBody>
      <dsp:txXfrm>
        <a:off x="4426" y="88"/>
        <a:ext cx="905072" cy="27604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7D4F-16A2-4316-BE7C-D246435E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9112</Words>
  <Characters>49210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Goulart Morales</dc:creator>
  <cp:lastModifiedBy>ana luisa de moura hining</cp:lastModifiedBy>
  <cp:revision>2</cp:revision>
  <cp:lastPrinted>2020-01-24T18:45:00Z</cp:lastPrinted>
  <dcterms:created xsi:type="dcterms:W3CDTF">2020-10-30T19:38:00Z</dcterms:created>
  <dcterms:modified xsi:type="dcterms:W3CDTF">2020-10-30T19:38:00Z</dcterms:modified>
</cp:coreProperties>
</file>