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6135"/>
        <w:gridCol w:w="1134"/>
        <w:gridCol w:w="1237"/>
        <w:tblGridChange w:id="0">
          <w:tblGrid>
            <w:gridCol w:w="810"/>
            <w:gridCol w:w="6135"/>
            <w:gridCol w:w="1134"/>
            <w:gridCol w:w="1237"/>
          </w:tblGrid>
        </w:tblGridChange>
      </w:tblGrid>
      <w:tr>
        <w:trPr>
          <w:trHeight w:val="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CHECK LIST PARA CONFERÊNCIA DO PROCESSO DE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120015</wp:posOffset>
                  </wp:positionV>
                  <wp:extent cx="494983" cy="799972"/>
                  <wp:effectExtent b="0" l="0" r="0" t="0"/>
                  <wp:wrapSquare wrapText="bothSides" distB="0" distT="0" distL="114300" distR="114300"/>
                  <wp:docPr descr="http://www.ifrs.edu.br/site/midias/arquivos/20151026163240762logo_vertical.png" id="11" name="image1.png"/>
                  <a:graphic>
                    <a:graphicData uri="http://schemas.openxmlformats.org/drawingml/2006/picture">
                      <pic:pic>
                        <pic:nvPicPr>
                          <pic:cNvPr descr="http://www.ifrs.edu.br/site/midias/arquivos/20151026163240762logo_vertical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83" cy="7999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COMPRAS DISPENSAS Lei 8.666/93 Art. 24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PROCESSO Nº: 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DISPENSA  Nº: _______________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Verificação realizada pelo Servidor(a): _________________________________</w:t>
            </w:r>
          </w:p>
          <w:tbl>
            <w:tblPr>
              <w:tblStyle w:val="Table2"/>
              <w:tblW w:w="2572.000000000000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1"/>
              <w:gridCol w:w="583"/>
              <w:gridCol w:w="1428"/>
              <w:tblGridChange w:id="0">
                <w:tblGrid>
                  <w:gridCol w:w="561"/>
                  <w:gridCol w:w="583"/>
                  <w:gridCol w:w="1428"/>
                </w:tblGrid>
              </w:tblGridChange>
            </w:tblGrid>
            <w:tr>
              <w:trPr>
                <w:trHeight w:val="510" w:hRule="atLeast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A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shd w:fill="c2d69b" w:val="clear"/>
                </w:tcPr>
                <w:p w:rsidR="00000000" w:rsidDel="00000000" w:rsidP="00000000" w:rsidRDefault="00000000" w:rsidRPr="00000000" w14:paraId="0000000B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</w:t>
                  </w:r>
                </w:p>
              </w:tc>
              <w:tc>
                <w:tcPr>
                  <w:shd w:fill="c2d69b" w:val="clear"/>
                </w:tcPr>
                <w:p w:rsidR="00000000" w:rsidDel="00000000" w:rsidP="00000000" w:rsidRDefault="00000000" w:rsidRPr="00000000" w14:paraId="0000000C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NA</w:t>
                  </w:r>
                </w:p>
              </w:tc>
            </w:tr>
            <w:tr>
              <w:trPr>
                <w:trHeight w:val="510" w:hRule="atLeast"/>
              </w:trPr>
              <w:tc>
                <w:tcPr/>
                <w:p w:rsidR="00000000" w:rsidDel="00000000" w:rsidP="00000000" w:rsidRDefault="00000000" w:rsidRPr="00000000" w14:paraId="0000000D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Sim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keepNext w:val="1"/>
                    <w:keepLines w:val="1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Não se aplica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ATOS ADMINISTRATIVOS E DOCUMENTOS A SEREM VERIFICADOS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17">
            <w:pPr>
              <w:ind w:left="-108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S/N/NA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Página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FASE INTERNA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Abertura de processo administrativo devidamente autuado, protocolado e numerado (art. 38, caput, da Lei nº 8.666/93 e Portaria Interministerial n. 1.677/2015 - DOU de 08.10.2015, Seção 1, pg.31).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1.1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Para aquisições embasadas no inciso II do art. 24 da Lei 8.666/93: Solicitação de autorização da PROAD para fins de controle do fracionamento de despesas.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ff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highlight w:val="yellow"/>
                <w:rtl w:val="0"/>
              </w:rPr>
              <w:t xml:space="preserve">Encaminhar solicitação à DLC, via SIPAC.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1.2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 PROAD autorizou a aquisição/contratação?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SIM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Dar andamento.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             ( 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NÃO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Encerrar o processo.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1.3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Consta documento de autorização para aquisição/contratação emitido pela PROAD?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 o Documento de Formalização de Demanda conforme elaborado pelo setor requisitante?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autoridade competente da unidade demandante definiu o objeto do certame de forma precisa, suficiente e clara?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Se TIC, seguir IN 01/2019 Contratação de soluções de Tecnologia da Informação e Comunicação – TIC. TODOS TEMPLATES – modelos - no site do IFRS.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Foi preenchida coluna com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Há justificativa fundamentada dos quantitativos (bens/serviços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Ordem de Serviço ou Portaria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Obs:  O art. 8º, I da IN SEGES/ME nº 40/2020 estabelece que é facultada a elaboração dos Estudos Preliminares nas hipóteses dos incisos I, II, III, IV e XI do art. 24 da Lei nº 8.666, de 21 de junho de 1993. Com o advento da Medida Provisória nº 961, de 2020, o limite do art. 24, I e II passou para R$50.000,00 para aquisições e serviços em geral e R$100.000,00 para serviços de engenharia e obras.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Foram elaborados e juntados ao processo 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Estudos Técnicos Preliminares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conforme as diretrizes constantes da IN SEGES/MP nº 40/2020 se for o caso?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houver contrato, foi elaborado e junto aos autos 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Mapa de Riscos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previsto no art. 26, §1º, incisos I e II, de acordo com o modelo do anexo IV da IN/SEGES 5/2017? (arts. 20 e 26 da IN/SEGES 5/2017)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Constam ampla pesquisa de mercado nos termos da IN 73/2020 (art. 3º, III, da Lei nº 10.520/02, art. 3º, XI, “a”, “2” do Decreto 10.024/19 e arts. 15, III,  43, IV da Lei nº 8.666/93?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1º ?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Art. 8º IN 73/2020 As estimativas de preços de itens constantes nos Catálogos de 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green"/>
                <w:rtl w:val="0"/>
              </w:rPr>
              <w:t xml:space="preserve">Art. 1º § 1º IN 73/2020: para obras e serviços de engenharia, a estimativa de preços deve seguir o disposto no Decreto nº 7.983/2013.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Quando a pesquisa de preços for realizada com os fornecedores, nos termos do inciso IV, deverá ser observado: (art.5º §2º IN 73/2020) Validade do orçamento 6 meses.</w:t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- prazo de resposta conferido ao fornecedor compatível com a complexidade do objeto a ser licitado;</w:t>
            </w:r>
          </w:p>
          <w:p w:rsidR="00000000" w:rsidDel="00000000" w:rsidP="00000000" w:rsidRDefault="00000000" w:rsidRPr="00000000" w14:paraId="00000061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II - obtenção de propostas formais, contendo, no mínimo:</w:t>
            </w:r>
          </w:p>
          <w:p w:rsidR="00000000" w:rsidDel="00000000" w:rsidP="00000000" w:rsidRDefault="00000000" w:rsidRPr="00000000" w14:paraId="00000062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a) descrição do objeto, valor unitário e total;</w:t>
            </w:r>
          </w:p>
          <w:p w:rsidR="00000000" w:rsidDel="00000000" w:rsidP="00000000" w:rsidRDefault="00000000" w:rsidRPr="00000000" w14:paraId="00000063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b) número do CPF ou do CNPJ do proponente;</w:t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c) endereço e telefone de contato; e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d) data de emissão.</w:t>
            </w:r>
          </w:p>
          <w:p w:rsidR="00000000" w:rsidDel="00000000" w:rsidP="00000000" w:rsidRDefault="00000000" w:rsidRPr="00000000" w14:paraId="00000066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III - registro, nos autos da contratação correspondente, da relação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fornecedores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que foram consultados e não enviaram propostas como resposta à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de que trata o inciso IV do caput.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Quando da utilização de método de pesquisa diverso foi tal situação justificada? (art. 6º, § 1º da IN 73/2020) 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caso de pesquisa com menos de três preços/fornecedores, foi apresentada justificativa? (art. 6º, § 4º da IN 73/2020)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 disposto no artigo 7º da In 73/2020 aplica-se, no que couber, às hipóteses de dispensa de licitação, em especial as previstas nos incisos III, IV, XV, XVI e XVII Art 24, Lei 8666/93.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Mapa comparativo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(Item/ objeto/ Nº pregão – UASG/ fornecedor - CNPJ / qtde/ valor unitário/ média/ global)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Constar o método matemático aplicado para a definição do valor estimado; e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justificativas para a metodologia utilizada, em especial para a desconsideração de valores inexequíveis, inconsistentes e excessivamente elevados, se aplicável. (Inc I e II art 3º IN 73/2020)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 o nome do elaborador SIAPE, data e Assinatura?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face do valor do objeto, as participantes são microempresas, empresas de pequeno porte e sociedades cooperativas (art. 48, I, da LC nº 123/06, art. 6º do Decreto nº 8.538/15 e art. 34 da Lei nº 11.488/07)?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a vencedora não for ME/EPP, foi apresentada análise crítica para aceitação?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Incide uma das exceções previstas no art. 10 do Decreto nº 8.538/15, devidamente justificada, a afastar a exclusividade?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Foram observados os dispositivos legais que dispõem sobre a margem de preferência? (Decretos 7546/2011 e 8538/2015 e outros)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Há previsão de recursos orçamentários, com indicação das respectivas rubricas (arts. 7º, § 2º, III, 14 e 38, caput, da Lei nº 8.666/93)? (Documento de disponibilidade orçamentária)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Pré-empenho 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Declaração de inexistência de fracionamento de despesas, para processos embasados no art. 24,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Há justificativa para não utilização preferencial do sistema de cotação eletrônica no caso de bens (art. 4°, § 2°, Decreto 5.450/05)?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Projeto Básico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Nome, SIAPE e assinatura do(s) elaborador(es) (requisitantes).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Autorização e aprovação motivada da autoridade competente, para contratação direta no projeto básico (Art.50, IV, Lei 9.784/99):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Data, nome, SIAPE, assinatura e Portaria da Autoridade Competente.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(Reitor na Reitoria ou Diretor Geral nos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campi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Minuta de Contrato(quando houver necessidade)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Legislação: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Art. 62 da Lei 8.666/93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caso de aquisição de bens, consta documento contendo as especificações e a quantidade estimada do objeto, observadas as demais diretrizes do art. 15 da Lei 8.666/93? (Projeto Básico)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contratação de obra ou serviço, consta Projeto Básico simplificado constando aprovação motivada pela autoridade competente (art. 6°, IX, 7°, § 2°, I, e § 9°, Lei 8.666/93)?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rtl w:val="0"/>
              </w:rPr>
              <w:t xml:space="preserve">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preços?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green"/>
                <w:rtl w:val="0"/>
              </w:rPr>
              <w:t xml:space="preserve">Na contratação de obras e serviços de engenharia, existe orçamento detalhado em planilhas que expressem a composição de todos os seus custos unitários? (solicitar ao setor de engenharia a planilha orçamentária)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PORTARIAS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Portaria da Autoridade Competente que assinou Projeto Básico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Portaria(s) Substituto(s) quando for o caso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HABILITAÇÃO DA EMPRESA VENCEDORA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SICAF ou emissão das seguintes certidões: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regularidade fiscal federal conjunta com INSS (art. 193, Lei 5.172/66 e art. 195, §3°, CF 1988);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regularidade com o Fundo de Garantia por Tempo de Serviço (FGTS – art. 2°, Lei 9.012/95);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 regularidade trabalhista CNDT (Lei 12.440/11).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cumprimento aos termos da Lei 9.854/99 e que inexistem fatos impeditivos? (solicitar por e-mail declaração assinada).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Consulta de registro de penalidades: 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(a) Cadastro Nacional de Empresas Inidôneas e Suspensas – CEIS (http://www.portaltransparencia.gov.br);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(b) Lista de Inidôneos do Tribunal de Contas da União (https://contas.tcu.gov.br); 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(c) Sistema de Cadastro Unificado de Fornecedores – SICAF e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(d) Conselho Nacional de Justiça - CNJ (http://www.cnj.jus.br).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Obs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ACÓRDÃO Nº 260/2002 TCU – Plenário (trecho)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“8.3. determinar ao Superior Tribunal de Justiça que: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 RFB Nº 1234/2012 (NÃO RETENÇÃO). Estes 2 (dois) documentos não são para fins habilitatórios, podendo ser apresentados pela empresa até o momento do pagamento. Ex: casos de pagamento de anuidades.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entidades beneficentes de assistência social previstas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 de imune/isenta e Certificado de Entidade Beneficente de Assistência Social (Cebas), expedido pelos Ministérios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das respectivas áreas de atuação da entidade ( § 6º, art. 6º, IN RFB 1.234/2012) e, no caso de não apresentação do Cebas,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Para os processos em que não haja dúvida jurídica do gestor ou que não haja minuta de contrato não padronizada, incluir no relatório da etapa 14.1 a citação da ON AGU nº 46, de 26/02/2014 indicando a desnecessidade de encaminhamento do processo para análise jurídica nas aquisições com base no Art. 24 da Lei 8.666/93, incisos I e II. Neste caso, desconsiderar as etapas 15 a 19.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Relatório da Dispensa de Licitação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Assinado pelo Coordenador de Licitações e Compras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Atestado de Conformidade assinado pelo Ordenador de Despesas – Parecer referencial 01/2019 IFRS/PGF/AGU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(Quando processo não vai para análise jurídica, conforme etapa 14).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Ofício interno de encaminhamento à Procuradoria Jurídica para análise e parecer.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Análise e aprovação da minuta de edital e seus anexos pela assessoria jurídica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Legislação: (art. 38, parágrafo único, da Lei nº 8.666/93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Havendo apontamentos quanto ao processo pela Assessoria Jurídica. 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Foram procedidos os ajustes, complementação e respectivo relatório de procedimentos, ações e explicações após análise Jurídica?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Ofício interno de encaminhamento à Procuradoria Jurídica (caso seja necessário restituir o processo).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Reanálise e aprovação pela assessoria jurídica.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Homologação e Ratificação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(Autoridade competente – Reitor ou Diretor Geral)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FASE INTERNA – OPERACIONALIZAÇÃO PELO SETOR DE COMPRAS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Incluir no processo cópia da tela do encerramento do lançamento da Dispensa no Siasgnet.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Publicação da Homologação no Diário Oficial – DOU (para dispensas com valor acima do limite conforme art. 24, I e II) Lei 8666, art. 26 e Acórdão 1.336/2006 TCU/Plenário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para requisitante – informe Homologação, o número e valor do pré-empenho para preenchimento da requisição de empenho.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CONTROLES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bottom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Relatório dos dados da Dispensa na Planilha no Drive  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bottom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Relatório dos dados da Dispensa na Planilha de controle de fracionamento do ano por ND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919" w:left="1418" w:right="1418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 Ciência e Tecnologia do Rio Grande do Sul</w:t>
    </w:r>
  </w:p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Licitação e Contratos – DLC / Coordenadoria de Licitações e Compras - Reitoria</w:t>
    </w:r>
  </w:p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Revisado DEZEMBRO/2020</w:t>
    </w:r>
  </w:p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2" w:hanging="432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576" w:hanging="576"/>
      <w:jc w:val="both"/>
    </w:pPr>
    <w:rPr>
      <w:rFonts w:ascii="Arial" w:cs="Arial" w:eastAsia="Arial" w:hAnsi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 w:val="1"/>
    <w:uiPriority w:val="99"/>
    <w:qFormat w:val="1"/>
    <w:rsid w:val="00265B5E"/>
    <w:pPr>
      <w:keepNext w:val="1"/>
      <w:framePr w:lines="0" w:wrap="around" w:hAnchor="text" w:vAnchor="text" w:y="1"/>
      <w:numPr>
        <w:numId w:val="3"/>
      </w:numPr>
      <w:spacing w:line="360" w:lineRule="auto"/>
      <w:jc w:val="both"/>
      <w:outlineLvl w:val="0"/>
    </w:pPr>
    <w:rPr>
      <w:rFonts w:ascii="Arial" w:cs="Arial" w:eastAsia="Times New Roman" w:hAnsi="Arial"/>
      <w:b w:val="1"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 w:val="1"/>
    <w:uiPriority w:val="99"/>
    <w:qFormat w:val="1"/>
    <w:rsid w:val="00F153E7"/>
    <w:pPr>
      <w:keepNext w:val="1"/>
      <w:numPr>
        <w:ilvl w:val="1"/>
        <w:numId w:val="3"/>
      </w:numPr>
      <w:spacing w:line="360" w:lineRule="auto"/>
      <w:jc w:val="both"/>
      <w:outlineLvl w:val="1"/>
    </w:pPr>
    <w:rPr>
      <w:rFonts w:ascii="Arial" w:cs="Arial" w:hAnsi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rsid w:val="001441F4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9"/>
    <w:rsid w:val="00265B5E"/>
    <w:rPr>
      <w:rFonts w:ascii="Arial" w:cs="Arial" w:eastAsia="Times New Roman" w:hAnsi="Arial"/>
      <w:b w:val="1"/>
      <w:kern w:val="32"/>
      <w:sz w:val="24"/>
      <w:szCs w:val="32"/>
      <w:lang w:eastAsia="pt-BR"/>
    </w:rPr>
  </w:style>
  <w:style w:type="character" w:styleId="Ttulo2Char" w:customStyle="1">
    <w:name w:val="Título 2 Char"/>
    <w:basedOn w:val="Fontepargpadro"/>
    <w:link w:val="Ttulo2"/>
    <w:uiPriority w:val="99"/>
    <w:rsid w:val="00F153E7"/>
    <w:rPr>
      <w:rFonts w:ascii="Arial" w:cs="Arial" w:hAnsi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B863AF"/>
    <w:pPr>
      <w:spacing w:after="200" w:line="276" w:lineRule="auto"/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3307D"/>
    <w:pPr>
      <w:spacing w:after="200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307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307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rsid w:val="00227D18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227D1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27D18"/>
  </w:style>
  <w:style w:type="paragraph" w:styleId="western" w:customStyle="1">
    <w:name w:val="western"/>
    <w:basedOn w:val="Normal"/>
    <w:rsid w:val="0059234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592348"/>
    <w:rPr>
      <w:color w:val="0000ff" w:themeColor="hyperlink"/>
      <w:u w:val="single"/>
    </w:rPr>
  </w:style>
  <w:style w:type="character" w:styleId="apple-converted-space" w:customStyle="1">
    <w:name w:val="apple-converted-space"/>
    <w:basedOn w:val="Fontepargpadro"/>
    <w:rsid w:val="0008018A"/>
  </w:style>
  <w:style w:type="character" w:styleId="Ttulo9Char" w:customStyle="1">
    <w:name w:val="Título 9 Char"/>
    <w:basedOn w:val="Fontepargpadro"/>
    <w:link w:val="Ttulo9"/>
    <w:uiPriority w:val="9"/>
    <w:rsid w:val="001441F4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F3528"/>
    <w:pPr>
      <w:spacing w:after="0"/>
    </w:pPr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F3528"/>
    <w:rPr>
      <w:b w:val="1"/>
      <w:bCs w:val="1"/>
      <w:sz w:val="20"/>
      <w:szCs w:val="20"/>
    </w:rPr>
  </w:style>
  <w:style w:type="character" w:styleId="TextodenotaderodapChar" w:customStyle="1">
    <w:name w:val="Texto de nota de rodapé Char"/>
    <w:aliases w:val="Char Char"/>
    <w:basedOn w:val="Fontepargpadro"/>
    <w:link w:val="Textodenotaderodap"/>
    <w:uiPriority w:val="99"/>
    <w:locked w:val="1"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 w:val="1"/>
    <w:rsid w:val="001864BF"/>
    <w:pPr>
      <w:spacing w:after="200" w:line="276" w:lineRule="auto"/>
    </w:pPr>
  </w:style>
  <w:style w:type="character" w:styleId="TextodenotaderodapChar1" w:customStyle="1">
    <w:name w:val="Texto de nota de rodapé Char1"/>
    <w:basedOn w:val="Fontepargpadro"/>
    <w:uiPriority w:val="99"/>
    <w:semiHidden w:val="1"/>
    <w:rsid w:val="001864BF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MzRPkGbQxjLWEm/wCbm93AI6A==">AMUW2mXzSwM8GYQ8x9E6fQ9UPg6yRwvYWQ1FpnzAwtIePCyoESAvv6vbvBmJ99lgQwyi2GyxTj6XgcZ79w4/f/i6JSGBa9GY8oJECCgNAVpLmMdR9XtUziVJm5PZTZOYy3GhbWXnjisG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2020-11-13T13:59:00Z</dcterms:created>
  <dc:creator>..</dc:creator>
</cp:coreProperties>
</file>