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0EC77" w14:textId="26EF5CC6" w:rsidR="00D47FC1" w:rsidRPr="00546553" w:rsidRDefault="00D47FC1" w:rsidP="0047106B">
      <w:pPr>
        <w:ind w:left="10206"/>
        <w:jc w:val="center"/>
        <w:rPr>
          <w:b/>
          <w:color w:val="1F4E79" w:themeColor="accent1" w:themeShade="80"/>
          <w:sz w:val="36"/>
          <w:szCs w:val="36"/>
        </w:rPr>
      </w:pPr>
      <w:r>
        <w:rPr>
          <w:noProof/>
          <w:lang w:eastAsia="pt-BR"/>
        </w:rPr>
        <w:drawing>
          <wp:anchor distT="0" distB="0" distL="114300" distR="114300" simplePos="0" relativeHeight="251666432" behindDoc="0" locked="0" layoutInCell="1" allowOverlap="1" wp14:anchorId="0D9570DA" wp14:editId="50DB3CD5">
            <wp:simplePos x="0" y="0"/>
            <wp:positionH relativeFrom="margin">
              <wp:posOffset>2973705</wp:posOffset>
            </wp:positionH>
            <wp:positionV relativeFrom="page">
              <wp:posOffset>146050</wp:posOffset>
            </wp:positionV>
            <wp:extent cx="3035300" cy="2158365"/>
            <wp:effectExtent l="0" t="0" r="0" b="0"/>
            <wp:wrapNone/>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horizontal_simplificado-0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5300" cy="2158365"/>
                    </a:xfrm>
                    <a:prstGeom prst="rect">
                      <a:avLst/>
                    </a:prstGeom>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5408" behindDoc="0" locked="0" layoutInCell="1" allowOverlap="1" wp14:anchorId="462FFBEC" wp14:editId="71102156">
            <wp:simplePos x="0" y="0"/>
            <wp:positionH relativeFrom="column">
              <wp:posOffset>185420</wp:posOffset>
            </wp:positionH>
            <wp:positionV relativeFrom="margin">
              <wp:align>top</wp:align>
            </wp:positionV>
            <wp:extent cx="1263015" cy="1266825"/>
            <wp:effectExtent l="0" t="0" r="0" b="9525"/>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asao-do-brasil-republic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3015" cy="1266825"/>
                    </a:xfrm>
                    <a:prstGeom prst="rect">
                      <a:avLst/>
                    </a:prstGeom>
                  </pic:spPr>
                </pic:pic>
              </a:graphicData>
            </a:graphic>
            <wp14:sizeRelH relativeFrom="page">
              <wp14:pctWidth>0</wp14:pctWidth>
            </wp14:sizeRelH>
            <wp14:sizeRelV relativeFrom="page">
              <wp14:pctHeight>0</wp14:pctHeight>
            </wp14:sizeRelV>
          </wp:anchor>
        </w:drawing>
      </w:r>
      <w:r w:rsidRPr="00546553">
        <w:rPr>
          <w:b/>
          <w:color w:val="1F4E79" w:themeColor="accent1" w:themeShade="80"/>
          <w:sz w:val="36"/>
          <w:szCs w:val="36"/>
        </w:rPr>
        <w:t>Ministério da Educação</w:t>
      </w:r>
    </w:p>
    <w:p w14:paraId="3CCC884B" w14:textId="77777777" w:rsidR="00D47FC1" w:rsidRPr="00546553" w:rsidRDefault="00D47FC1" w:rsidP="0047106B">
      <w:pPr>
        <w:ind w:left="10206"/>
        <w:jc w:val="center"/>
        <w:rPr>
          <w:b/>
          <w:color w:val="1F4E79" w:themeColor="accent1" w:themeShade="80"/>
          <w:sz w:val="36"/>
          <w:szCs w:val="36"/>
        </w:rPr>
      </w:pPr>
      <w:r w:rsidRPr="00546553">
        <w:rPr>
          <w:b/>
          <w:color w:val="1F4E79" w:themeColor="accent1" w:themeShade="80"/>
          <w:sz w:val="36"/>
          <w:szCs w:val="36"/>
        </w:rPr>
        <w:t>Instituto Federal de Educação, Ciência e Tecnologia do Rio Grande do Sul</w:t>
      </w:r>
    </w:p>
    <w:p w14:paraId="74E5CDC7" w14:textId="2919FFD4" w:rsidR="004868CD" w:rsidRDefault="004868CD" w:rsidP="004F53A5">
      <w:pPr>
        <w:spacing w:after="40"/>
        <w:rPr>
          <w:rFonts w:ascii="Arial" w:eastAsia="Arial Unicode MS" w:hAnsi="Arial" w:cs="Arial"/>
          <w:sz w:val="20"/>
          <w:szCs w:val="20"/>
        </w:rPr>
      </w:pPr>
    </w:p>
    <w:p w14:paraId="2C009D3D" w14:textId="4FEC56FE" w:rsidR="00D47FC1" w:rsidRDefault="00D47FC1" w:rsidP="00D47FC1"/>
    <w:p w14:paraId="2E9D0594" w14:textId="0CF52D91" w:rsidR="00D47FC1" w:rsidRDefault="0047106B" w:rsidP="00D47FC1">
      <w:r>
        <w:rPr>
          <w:noProof/>
          <w:lang w:eastAsia="pt-BR"/>
        </w:rPr>
        <mc:AlternateContent>
          <mc:Choice Requires="wps">
            <w:drawing>
              <wp:anchor distT="0" distB="0" distL="114300" distR="114300" simplePos="0" relativeHeight="251668480" behindDoc="1" locked="0" layoutInCell="1" allowOverlap="1" wp14:anchorId="69B02B2C" wp14:editId="622AF37C">
                <wp:simplePos x="0" y="0"/>
                <wp:positionH relativeFrom="page">
                  <wp:posOffset>4619625</wp:posOffset>
                </wp:positionH>
                <wp:positionV relativeFrom="paragraph">
                  <wp:posOffset>63500</wp:posOffset>
                </wp:positionV>
                <wp:extent cx="6496050" cy="3048000"/>
                <wp:effectExtent l="0" t="0" r="0" b="0"/>
                <wp:wrapNone/>
                <wp:docPr id="50" name="Retângulo 50"/>
                <wp:cNvGraphicFramePr/>
                <a:graphic xmlns:a="http://schemas.openxmlformats.org/drawingml/2006/main">
                  <a:graphicData uri="http://schemas.microsoft.com/office/word/2010/wordprocessingShape">
                    <wps:wsp>
                      <wps:cNvSpPr/>
                      <wps:spPr>
                        <a:xfrm>
                          <a:off x="0" y="0"/>
                          <a:ext cx="6496050" cy="30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7D10C" id="Retângulo 50" o:spid="_x0000_s1026" style="position:absolute;margin-left:363.75pt;margin-top:5pt;width:511.5pt;height:24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" fillcolor="#5b9bd5 [3204]" stroked="f" strokeweight="1pt">
                <w10:wrap anchorx="page"/>
              </v:rect>
            </w:pict>
          </mc:Fallback>
        </mc:AlternateContent>
      </w:r>
    </w:p>
    <w:p w14:paraId="58EBBF21" w14:textId="77777777" w:rsidR="00D47FC1" w:rsidRDefault="00D47FC1" w:rsidP="00D47FC1"/>
    <w:p w14:paraId="67102FF3" w14:textId="77777777" w:rsidR="00D47FC1" w:rsidRPr="00546553" w:rsidRDefault="00D47FC1" w:rsidP="00D47FC1">
      <w:pPr>
        <w:jc w:val="right"/>
        <w:rPr>
          <w:b/>
          <w:color w:val="FFFFFF" w:themeColor="background1"/>
          <w:sz w:val="72"/>
          <w:szCs w:val="72"/>
        </w:rPr>
      </w:pPr>
      <w:r w:rsidRPr="00546553">
        <w:rPr>
          <w:b/>
          <w:color w:val="FFFFFF" w:themeColor="background1"/>
          <w:sz w:val="72"/>
          <w:szCs w:val="72"/>
        </w:rPr>
        <w:t>Balanço Geral do IFRS</w:t>
      </w:r>
    </w:p>
    <w:p w14:paraId="730C6ABF" w14:textId="77777777" w:rsidR="00D47FC1" w:rsidRPr="00546553" w:rsidRDefault="00D47FC1" w:rsidP="00D47FC1">
      <w:pPr>
        <w:jc w:val="right"/>
        <w:rPr>
          <w:color w:val="FFFFFF" w:themeColor="background1"/>
          <w:sz w:val="36"/>
          <w:szCs w:val="36"/>
        </w:rPr>
      </w:pPr>
      <w:r w:rsidRPr="00546553">
        <w:rPr>
          <w:color w:val="FFFFFF" w:themeColor="background1"/>
          <w:sz w:val="36"/>
          <w:szCs w:val="36"/>
        </w:rPr>
        <w:t>Demonstrações Contábeis Consolidadas do IFRS</w:t>
      </w:r>
    </w:p>
    <w:p w14:paraId="3E6809B0" w14:textId="77777777" w:rsidR="00D47FC1" w:rsidRPr="00F70D98" w:rsidRDefault="00D47FC1" w:rsidP="00D47FC1"/>
    <w:p w14:paraId="384878C8" w14:textId="1BA46F37" w:rsidR="00D47FC1" w:rsidRPr="00546553" w:rsidRDefault="0047106B" w:rsidP="00D47FC1">
      <w:pPr>
        <w:jc w:val="right"/>
        <w:rPr>
          <w:b/>
          <w:color w:val="FFFFFF" w:themeColor="background1"/>
          <w:sz w:val="36"/>
          <w:szCs w:val="36"/>
        </w:rPr>
      </w:pPr>
      <w:r>
        <w:rPr>
          <w:b/>
          <w:color w:val="FFFFFF" w:themeColor="background1"/>
          <w:sz w:val="36"/>
          <w:szCs w:val="36"/>
        </w:rPr>
        <w:t>1</w:t>
      </w:r>
      <w:r w:rsidR="00D47FC1" w:rsidRPr="00546553">
        <w:rPr>
          <w:b/>
          <w:color w:val="FFFFFF" w:themeColor="background1"/>
          <w:sz w:val="36"/>
          <w:szCs w:val="36"/>
        </w:rPr>
        <w:t xml:space="preserve">º </w:t>
      </w:r>
      <w:r>
        <w:rPr>
          <w:b/>
          <w:color w:val="FFFFFF" w:themeColor="background1"/>
          <w:sz w:val="36"/>
          <w:szCs w:val="36"/>
        </w:rPr>
        <w:t>Trimestre/2019</w:t>
      </w:r>
    </w:p>
    <w:p w14:paraId="4F4E744F" w14:textId="77777777" w:rsidR="00D47FC1" w:rsidRPr="00F70D98" w:rsidRDefault="00D47FC1" w:rsidP="00D47FC1"/>
    <w:p w14:paraId="0FD0EADF" w14:textId="054213CC" w:rsidR="00D47FC1" w:rsidRPr="00546553" w:rsidRDefault="00D47FC1" w:rsidP="00D47FC1">
      <w:pPr>
        <w:jc w:val="right"/>
        <w:rPr>
          <w:color w:val="FFFFFF" w:themeColor="background1"/>
          <w:sz w:val="28"/>
          <w:szCs w:val="28"/>
        </w:rPr>
      </w:pPr>
      <w:r w:rsidRPr="00546553">
        <w:rPr>
          <w:color w:val="FFFFFF" w:themeColor="background1"/>
          <w:sz w:val="28"/>
          <w:szCs w:val="28"/>
        </w:rPr>
        <w:t>Bento Gonçalves, 201</w:t>
      </w:r>
      <w:r w:rsidR="0047106B">
        <w:rPr>
          <w:color w:val="FFFFFF" w:themeColor="background1"/>
          <w:sz w:val="28"/>
          <w:szCs w:val="28"/>
        </w:rPr>
        <w:t>9</w:t>
      </w:r>
    </w:p>
    <w:p w14:paraId="5CCF1D44" w14:textId="77777777" w:rsidR="00D47FC1" w:rsidRDefault="00D47FC1" w:rsidP="00D47FC1"/>
    <w:p w14:paraId="10A292A5" w14:textId="3A868828" w:rsidR="00D47FC1" w:rsidRDefault="0047106B" w:rsidP="00D47FC1">
      <w:r>
        <w:rPr>
          <w:noProof/>
          <w:lang w:eastAsia="pt-BR"/>
        </w:rPr>
        <mc:AlternateContent>
          <mc:Choice Requires="wps">
            <w:drawing>
              <wp:anchor distT="0" distB="0" distL="114300" distR="114300" simplePos="0" relativeHeight="251669504" behindDoc="1" locked="0" layoutInCell="1" allowOverlap="1" wp14:anchorId="7477DBCB" wp14:editId="24D9F1B9">
                <wp:simplePos x="0" y="0"/>
                <wp:positionH relativeFrom="page">
                  <wp:posOffset>4638675</wp:posOffset>
                </wp:positionH>
                <wp:positionV relativeFrom="paragraph">
                  <wp:posOffset>166370</wp:posOffset>
                </wp:positionV>
                <wp:extent cx="6496050" cy="1143000"/>
                <wp:effectExtent l="0" t="0" r="0" b="0"/>
                <wp:wrapNone/>
                <wp:docPr id="51" name="Retângulo 51"/>
                <wp:cNvGraphicFramePr/>
                <a:graphic xmlns:a="http://schemas.openxmlformats.org/drawingml/2006/main">
                  <a:graphicData uri="http://schemas.microsoft.com/office/word/2010/wordprocessingShape">
                    <wps:wsp>
                      <wps:cNvSpPr/>
                      <wps:spPr>
                        <a:xfrm>
                          <a:off x="0" y="0"/>
                          <a:ext cx="6496050" cy="1143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3EF97" id="Retângulo 51" o:spid="_x0000_s1026" style="position:absolute;margin-left:365.25pt;margin-top:13.1pt;width:511.5pt;height:9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" fillcolor="#5b9bd5 [3204]" stroked="f" strokeweight="1pt">
                <w10:wrap anchorx="page"/>
              </v:rect>
            </w:pict>
          </mc:Fallback>
        </mc:AlternateContent>
      </w:r>
    </w:p>
    <w:p w14:paraId="47E08EB8" w14:textId="6ACFA1FE" w:rsidR="00D47FC1" w:rsidRDefault="00D47FC1" w:rsidP="00D47FC1"/>
    <w:p w14:paraId="0CD00D53" w14:textId="77777777" w:rsidR="00D47FC1" w:rsidRPr="00546553" w:rsidRDefault="00D47FC1" w:rsidP="00D47FC1">
      <w:pPr>
        <w:jc w:val="right"/>
        <w:rPr>
          <w:b/>
          <w:color w:val="FFFFFF" w:themeColor="background1"/>
          <w:sz w:val="36"/>
          <w:szCs w:val="36"/>
        </w:rPr>
      </w:pPr>
      <w:r w:rsidRPr="00546553">
        <w:rPr>
          <w:b/>
          <w:color w:val="FFFFFF" w:themeColor="background1"/>
          <w:sz w:val="36"/>
          <w:szCs w:val="36"/>
        </w:rPr>
        <w:t>DCONIFRS</w:t>
      </w:r>
    </w:p>
    <w:p w14:paraId="669211BB" w14:textId="77777777" w:rsidR="00D47FC1" w:rsidRPr="009201DB" w:rsidRDefault="00D47FC1" w:rsidP="00D47FC1">
      <w:pPr>
        <w:spacing w:after="0"/>
        <w:rPr>
          <w:b/>
          <w:sz w:val="28"/>
          <w:szCs w:val="28"/>
        </w:rPr>
      </w:pPr>
      <w:r w:rsidRPr="009201DB">
        <w:rPr>
          <w:b/>
          <w:sz w:val="28"/>
          <w:szCs w:val="28"/>
        </w:rPr>
        <w:lastRenderedPageBreak/>
        <w:t>REITOR</w:t>
      </w:r>
    </w:p>
    <w:p w14:paraId="0CBF1146" w14:textId="77777777" w:rsidR="00D47FC1" w:rsidRPr="009201DB" w:rsidRDefault="00D47FC1" w:rsidP="00D47FC1">
      <w:pPr>
        <w:spacing w:after="0"/>
        <w:rPr>
          <w:sz w:val="28"/>
          <w:szCs w:val="28"/>
        </w:rPr>
      </w:pPr>
      <w:r w:rsidRPr="009201DB">
        <w:rPr>
          <w:sz w:val="28"/>
          <w:szCs w:val="28"/>
        </w:rPr>
        <w:t>Julio Xandro Heck</w:t>
      </w:r>
    </w:p>
    <w:p w14:paraId="190651D8" w14:textId="77777777" w:rsidR="00D47FC1" w:rsidRPr="008A72FB" w:rsidRDefault="00D47FC1" w:rsidP="00D47FC1"/>
    <w:p w14:paraId="227E93C7" w14:textId="77777777" w:rsidR="00D47FC1" w:rsidRPr="009201DB" w:rsidRDefault="00D47FC1" w:rsidP="00D47FC1">
      <w:pPr>
        <w:spacing w:after="0"/>
        <w:rPr>
          <w:b/>
          <w:sz w:val="28"/>
          <w:szCs w:val="28"/>
        </w:rPr>
      </w:pPr>
      <w:r w:rsidRPr="009201DB">
        <w:rPr>
          <w:b/>
          <w:sz w:val="28"/>
          <w:szCs w:val="28"/>
        </w:rPr>
        <w:t>PRÓ-REITORA DE ADMINISTRAÇÃO</w:t>
      </w:r>
    </w:p>
    <w:p w14:paraId="6CF7F7A2" w14:textId="77777777" w:rsidR="00D47FC1" w:rsidRPr="009201DB" w:rsidRDefault="00D47FC1" w:rsidP="00D47FC1">
      <w:pPr>
        <w:spacing w:after="0"/>
        <w:rPr>
          <w:sz w:val="28"/>
          <w:szCs w:val="28"/>
        </w:rPr>
      </w:pPr>
      <w:r w:rsidRPr="009201DB">
        <w:rPr>
          <w:sz w:val="28"/>
          <w:szCs w:val="28"/>
        </w:rPr>
        <w:t>Tatiana Weber</w:t>
      </w:r>
    </w:p>
    <w:p w14:paraId="7FE3E07C" w14:textId="77777777" w:rsidR="00D47FC1" w:rsidRPr="008A72FB" w:rsidRDefault="00D47FC1" w:rsidP="00D47FC1"/>
    <w:p w14:paraId="6427DEC5" w14:textId="77777777" w:rsidR="00D47FC1" w:rsidRPr="009201DB" w:rsidRDefault="00D47FC1" w:rsidP="00D47FC1">
      <w:pPr>
        <w:spacing w:after="0"/>
        <w:rPr>
          <w:b/>
          <w:sz w:val="28"/>
          <w:szCs w:val="28"/>
        </w:rPr>
      </w:pPr>
      <w:r w:rsidRPr="009201DB">
        <w:rPr>
          <w:b/>
          <w:sz w:val="28"/>
          <w:szCs w:val="28"/>
        </w:rPr>
        <w:t>PRÓ-REITOR ADJUNTO DE ADMINISTRAÇÃO</w:t>
      </w:r>
    </w:p>
    <w:p w14:paraId="689A10CB" w14:textId="77777777" w:rsidR="00D47FC1" w:rsidRPr="009201DB" w:rsidRDefault="00D47FC1" w:rsidP="00D47FC1">
      <w:pPr>
        <w:spacing w:after="0"/>
        <w:rPr>
          <w:sz w:val="28"/>
          <w:szCs w:val="28"/>
        </w:rPr>
      </w:pPr>
      <w:r w:rsidRPr="009201DB">
        <w:rPr>
          <w:sz w:val="28"/>
          <w:szCs w:val="28"/>
        </w:rPr>
        <w:t>Márcio Cristiano dos Santos</w:t>
      </w:r>
    </w:p>
    <w:p w14:paraId="798324CB" w14:textId="77777777" w:rsidR="00D47FC1" w:rsidRPr="008A72FB" w:rsidRDefault="00D47FC1" w:rsidP="00D47FC1"/>
    <w:p w14:paraId="372772E9" w14:textId="77777777" w:rsidR="00D47FC1" w:rsidRPr="009201DB" w:rsidRDefault="00D47FC1" w:rsidP="00D47FC1">
      <w:pPr>
        <w:spacing w:after="0"/>
        <w:rPr>
          <w:b/>
          <w:sz w:val="28"/>
          <w:szCs w:val="28"/>
        </w:rPr>
      </w:pPr>
      <w:r w:rsidRPr="009201DB">
        <w:rPr>
          <w:b/>
          <w:sz w:val="28"/>
          <w:szCs w:val="28"/>
        </w:rPr>
        <w:t>DIRETORA DE ORÇAMENTO E FINANÇAS</w:t>
      </w:r>
    </w:p>
    <w:p w14:paraId="7F703586" w14:textId="77777777" w:rsidR="00D47FC1" w:rsidRPr="009201DB" w:rsidRDefault="00D47FC1" w:rsidP="00D47FC1">
      <w:pPr>
        <w:spacing w:after="0"/>
        <w:rPr>
          <w:sz w:val="28"/>
          <w:szCs w:val="28"/>
        </w:rPr>
      </w:pPr>
      <w:r w:rsidRPr="009201DB">
        <w:rPr>
          <w:sz w:val="28"/>
          <w:szCs w:val="28"/>
        </w:rPr>
        <w:t>Rosane Fabris</w:t>
      </w:r>
    </w:p>
    <w:p w14:paraId="0EC25091" w14:textId="77777777" w:rsidR="00D47FC1" w:rsidRPr="008A72FB" w:rsidRDefault="00D47FC1" w:rsidP="00D47FC1"/>
    <w:p w14:paraId="4F9979F4" w14:textId="77777777" w:rsidR="00D47FC1" w:rsidRPr="009201DB" w:rsidRDefault="00D47FC1" w:rsidP="00D47FC1">
      <w:pPr>
        <w:spacing w:after="0"/>
        <w:rPr>
          <w:b/>
          <w:sz w:val="28"/>
          <w:szCs w:val="28"/>
        </w:rPr>
      </w:pPr>
      <w:r w:rsidRPr="009201DB">
        <w:rPr>
          <w:b/>
          <w:sz w:val="28"/>
          <w:szCs w:val="28"/>
        </w:rPr>
        <w:t>Chefe do Departamento de Contabilidade</w:t>
      </w:r>
    </w:p>
    <w:p w14:paraId="4DE87715" w14:textId="77777777" w:rsidR="00D47FC1" w:rsidRPr="009201DB" w:rsidRDefault="00D47FC1" w:rsidP="00D47FC1">
      <w:pPr>
        <w:spacing w:after="0"/>
        <w:rPr>
          <w:sz w:val="28"/>
          <w:szCs w:val="28"/>
        </w:rPr>
      </w:pPr>
      <w:r w:rsidRPr="009201DB">
        <w:rPr>
          <w:sz w:val="28"/>
          <w:szCs w:val="28"/>
        </w:rPr>
        <w:t>Luiz Antônio Hining</w:t>
      </w:r>
    </w:p>
    <w:p w14:paraId="6A2D3A9E" w14:textId="77777777" w:rsidR="00D47FC1" w:rsidRPr="008A72FB" w:rsidRDefault="00D47FC1" w:rsidP="00D47FC1"/>
    <w:p w14:paraId="642E9F01" w14:textId="77777777" w:rsidR="00D47FC1" w:rsidRPr="009201DB" w:rsidRDefault="00D47FC1" w:rsidP="00D47FC1">
      <w:pPr>
        <w:spacing w:after="0"/>
        <w:rPr>
          <w:b/>
          <w:sz w:val="28"/>
          <w:szCs w:val="28"/>
        </w:rPr>
      </w:pPr>
      <w:r w:rsidRPr="009201DB">
        <w:rPr>
          <w:b/>
          <w:sz w:val="28"/>
          <w:szCs w:val="28"/>
        </w:rPr>
        <w:t>EQUIPE TÉCNICA – contadores</w:t>
      </w:r>
    </w:p>
    <w:p w14:paraId="28BFAD56" w14:textId="77777777" w:rsidR="0047106B" w:rsidRDefault="0047106B" w:rsidP="00D47FC1">
      <w:pPr>
        <w:spacing w:after="0"/>
        <w:rPr>
          <w:sz w:val="28"/>
          <w:szCs w:val="28"/>
        </w:rPr>
        <w:sectPr w:rsidR="0047106B" w:rsidSect="009C1E3A">
          <w:footerReference w:type="even" r:id="rId10"/>
          <w:footerReference w:type="default" r:id="rId11"/>
          <w:pgSz w:w="16838" w:h="11906" w:orient="landscape"/>
          <w:pgMar w:top="1021" w:right="851" w:bottom="1021" w:left="851" w:header="709" w:footer="0" w:gutter="0"/>
          <w:cols w:space="708"/>
          <w:docGrid w:linePitch="360"/>
        </w:sectPr>
      </w:pPr>
    </w:p>
    <w:p w14:paraId="6B96E0DF" w14:textId="582F46E5" w:rsidR="00D47FC1" w:rsidRPr="009201DB" w:rsidRDefault="00D47FC1" w:rsidP="00D47FC1">
      <w:pPr>
        <w:spacing w:after="0"/>
        <w:rPr>
          <w:sz w:val="28"/>
          <w:szCs w:val="28"/>
        </w:rPr>
      </w:pPr>
      <w:r w:rsidRPr="009201DB">
        <w:rPr>
          <w:sz w:val="28"/>
          <w:szCs w:val="28"/>
        </w:rPr>
        <w:t>Ademir Gautério Troina Junior</w:t>
      </w:r>
    </w:p>
    <w:p w14:paraId="163DC05A" w14:textId="77777777" w:rsidR="00D47FC1" w:rsidRPr="009201DB" w:rsidRDefault="00D47FC1" w:rsidP="00D47FC1">
      <w:pPr>
        <w:spacing w:after="0"/>
        <w:rPr>
          <w:sz w:val="28"/>
          <w:szCs w:val="28"/>
        </w:rPr>
      </w:pPr>
      <w:r w:rsidRPr="009201DB">
        <w:rPr>
          <w:sz w:val="28"/>
          <w:szCs w:val="28"/>
        </w:rPr>
        <w:t>Cristiane Ancila Michelin</w:t>
      </w:r>
    </w:p>
    <w:p w14:paraId="5A09018E" w14:textId="77777777" w:rsidR="00D47FC1" w:rsidRPr="009201DB" w:rsidRDefault="00D47FC1" w:rsidP="00D47FC1">
      <w:pPr>
        <w:spacing w:after="0"/>
        <w:rPr>
          <w:sz w:val="28"/>
          <w:szCs w:val="28"/>
        </w:rPr>
      </w:pPr>
      <w:r w:rsidRPr="009201DB">
        <w:rPr>
          <w:sz w:val="28"/>
          <w:szCs w:val="28"/>
        </w:rPr>
        <w:t>Elisangela Batista Maciel</w:t>
      </w:r>
    </w:p>
    <w:p w14:paraId="268D7BA8" w14:textId="77777777" w:rsidR="00D47FC1" w:rsidRPr="009201DB" w:rsidRDefault="00D47FC1" w:rsidP="00D47FC1">
      <w:pPr>
        <w:spacing w:after="0"/>
        <w:rPr>
          <w:sz w:val="28"/>
          <w:szCs w:val="28"/>
        </w:rPr>
      </w:pPr>
      <w:r w:rsidRPr="009201DB">
        <w:rPr>
          <w:sz w:val="28"/>
          <w:szCs w:val="28"/>
        </w:rPr>
        <w:t>Jane Marusa Nunes Luiz</w:t>
      </w:r>
    </w:p>
    <w:p w14:paraId="1CCD920F" w14:textId="77777777" w:rsidR="00D47FC1" w:rsidRPr="009201DB" w:rsidRDefault="00D47FC1" w:rsidP="00D47FC1">
      <w:pPr>
        <w:spacing w:after="0"/>
        <w:rPr>
          <w:sz w:val="28"/>
          <w:szCs w:val="28"/>
        </w:rPr>
      </w:pPr>
      <w:r w:rsidRPr="009201DB">
        <w:rPr>
          <w:sz w:val="28"/>
          <w:szCs w:val="28"/>
        </w:rPr>
        <w:t>Luciana Lopes de Freitas</w:t>
      </w:r>
    </w:p>
    <w:p w14:paraId="1568FB81" w14:textId="77777777" w:rsidR="00D47FC1" w:rsidRPr="009201DB" w:rsidRDefault="00D47FC1" w:rsidP="00D47FC1">
      <w:pPr>
        <w:spacing w:after="0"/>
        <w:rPr>
          <w:sz w:val="28"/>
          <w:szCs w:val="28"/>
        </w:rPr>
      </w:pPr>
      <w:r w:rsidRPr="009201DB">
        <w:rPr>
          <w:sz w:val="28"/>
          <w:szCs w:val="28"/>
        </w:rPr>
        <w:t>Lidiane Zambenedetti</w:t>
      </w:r>
    </w:p>
    <w:p w14:paraId="77854439" w14:textId="77777777" w:rsidR="00D47FC1" w:rsidRPr="009201DB" w:rsidRDefault="00D47FC1" w:rsidP="00D47FC1">
      <w:pPr>
        <w:spacing w:after="0"/>
        <w:rPr>
          <w:sz w:val="28"/>
          <w:szCs w:val="28"/>
        </w:rPr>
      </w:pPr>
      <w:r w:rsidRPr="009201DB">
        <w:rPr>
          <w:sz w:val="28"/>
          <w:szCs w:val="28"/>
        </w:rPr>
        <w:t>Luis Fernando Espinosa de Farias</w:t>
      </w:r>
    </w:p>
    <w:p w14:paraId="4E974008" w14:textId="77777777" w:rsidR="00D47FC1" w:rsidRPr="009201DB" w:rsidRDefault="00D47FC1" w:rsidP="00D47FC1">
      <w:pPr>
        <w:spacing w:after="0"/>
        <w:rPr>
          <w:sz w:val="28"/>
          <w:szCs w:val="28"/>
        </w:rPr>
      </w:pPr>
      <w:r w:rsidRPr="009201DB">
        <w:rPr>
          <w:sz w:val="28"/>
          <w:szCs w:val="28"/>
        </w:rPr>
        <w:t>Magali Teresinha da Silva</w:t>
      </w:r>
    </w:p>
    <w:p w14:paraId="1B806087" w14:textId="77777777" w:rsidR="00D47FC1" w:rsidRPr="009201DB" w:rsidRDefault="00D47FC1" w:rsidP="00D47FC1">
      <w:pPr>
        <w:spacing w:after="0"/>
        <w:rPr>
          <w:sz w:val="28"/>
          <w:szCs w:val="28"/>
        </w:rPr>
      </w:pPr>
      <w:r w:rsidRPr="009201DB">
        <w:rPr>
          <w:sz w:val="28"/>
          <w:szCs w:val="28"/>
        </w:rPr>
        <w:t>Maicon Goulart Morales</w:t>
      </w:r>
    </w:p>
    <w:p w14:paraId="2703EAEB" w14:textId="77777777" w:rsidR="00D47FC1" w:rsidRPr="009201DB" w:rsidRDefault="00D47FC1" w:rsidP="00D47FC1">
      <w:pPr>
        <w:spacing w:after="0"/>
        <w:rPr>
          <w:sz w:val="28"/>
          <w:szCs w:val="28"/>
        </w:rPr>
      </w:pPr>
      <w:r w:rsidRPr="009201DB">
        <w:rPr>
          <w:sz w:val="28"/>
          <w:szCs w:val="28"/>
        </w:rPr>
        <w:t>Marinez Mauer</w:t>
      </w:r>
    </w:p>
    <w:p w14:paraId="5C5804F9" w14:textId="77777777" w:rsidR="00D47FC1" w:rsidRPr="009201DB" w:rsidRDefault="00D47FC1" w:rsidP="00D47FC1">
      <w:pPr>
        <w:spacing w:after="0"/>
        <w:rPr>
          <w:sz w:val="28"/>
          <w:szCs w:val="28"/>
        </w:rPr>
      </w:pPr>
      <w:r w:rsidRPr="009201DB">
        <w:rPr>
          <w:sz w:val="28"/>
          <w:szCs w:val="28"/>
        </w:rPr>
        <w:t>Patricia Kissner</w:t>
      </w:r>
    </w:p>
    <w:p w14:paraId="37C3A8DD" w14:textId="77777777" w:rsidR="00D47FC1" w:rsidRPr="009201DB" w:rsidRDefault="00D47FC1" w:rsidP="00D47FC1">
      <w:pPr>
        <w:spacing w:after="0"/>
        <w:rPr>
          <w:sz w:val="28"/>
          <w:szCs w:val="28"/>
        </w:rPr>
      </w:pPr>
      <w:r w:rsidRPr="009201DB">
        <w:rPr>
          <w:sz w:val="28"/>
          <w:szCs w:val="28"/>
        </w:rPr>
        <w:t>Pedro Sergio Mendes Leite</w:t>
      </w:r>
    </w:p>
    <w:p w14:paraId="6831E90B" w14:textId="77777777" w:rsidR="00D47FC1" w:rsidRPr="009201DB" w:rsidRDefault="00D47FC1" w:rsidP="00D47FC1">
      <w:pPr>
        <w:spacing w:after="0"/>
        <w:rPr>
          <w:sz w:val="28"/>
          <w:szCs w:val="28"/>
        </w:rPr>
      </w:pPr>
      <w:r w:rsidRPr="009201DB">
        <w:rPr>
          <w:sz w:val="28"/>
          <w:szCs w:val="28"/>
        </w:rPr>
        <w:t>Roberto Russell Fossati</w:t>
      </w:r>
    </w:p>
    <w:p w14:paraId="5DC64521" w14:textId="77777777" w:rsidR="00D47FC1" w:rsidRPr="009201DB" w:rsidRDefault="00D47FC1" w:rsidP="00D47FC1">
      <w:pPr>
        <w:spacing w:after="0"/>
        <w:rPr>
          <w:sz w:val="28"/>
          <w:szCs w:val="28"/>
        </w:rPr>
      </w:pPr>
      <w:r w:rsidRPr="009201DB">
        <w:rPr>
          <w:sz w:val="28"/>
          <w:szCs w:val="28"/>
        </w:rPr>
        <w:t>Robson da Silva Telles</w:t>
      </w:r>
    </w:p>
    <w:p w14:paraId="1A56DFAD" w14:textId="77777777" w:rsidR="00D47FC1" w:rsidRDefault="00D47FC1" w:rsidP="00D47FC1">
      <w:pPr>
        <w:spacing w:after="0"/>
        <w:rPr>
          <w:sz w:val="28"/>
          <w:szCs w:val="28"/>
        </w:rPr>
      </w:pPr>
      <w:r>
        <w:rPr>
          <w:sz w:val="28"/>
          <w:szCs w:val="28"/>
        </w:rPr>
        <w:t>Tatiane Berenice Gómez</w:t>
      </w:r>
    </w:p>
    <w:p w14:paraId="59C0B486" w14:textId="77777777" w:rsidR="0047106B" w:rsidRDefault="0047106B" w:rsidP="00D47FC1">
      <w:pPr>
        <w:spacing w:after="0"/>
        <w:rPr>
          <w:sz w:val="28"/>
          <w:szCs w:val="28"/>
        </w:rPr>
        <w:sectPr w:rsidR="0047106B" w:rsidSect="0047106B">
          <w:type w:val="continuous"/>
          <w:pgSz w:w="16838" w:h="11906" w:orient="landscape"/>
          <w:pgMar w:top="1021" w:right="851" w:bottom="1021" w:left="851" w:header="709" w:footer="0" w:gutter="0"/>
          <w:cols w:num="3" w:space="708"/>
          <w:docGrid w:linePitch="360"/>
        </w:sectPr>
      </w:pPr>
    </w:p>
    <w:p w14:paraId="11CFBDC7" w14:textId="5C699688" w:rsidR="00D47FC1" w:rsidRDefault="00D47FC1" w:rsidP="00D47FC1">
      <w:pPr>
        <w:spacing w:after="0"/>
        <w:rPr>
          <w:sz w:val="28"/>
          <w:szCs w:val="28"/>
        </w:rPr>
      </w:pPr>
    </w:p>
    <w:p w14:paraId="21384359" w14:textId="77777777" w:rsidR="004F53A5" w:rsidRPr="00533035" w:rsidRDefault="004F53A5">
      <w:pPr>
        <w:rPr>
          <w:rFonts w:ascii="Arial" w:eastAsia="Arial Unicode MS" w:hAnsi="Arial" w:cs="Arial"/>
          <w:sz w:val="20"/>
          <w:szCs w:val="20"/>
        </w:rPr>
      </w:pPr>
      <w:r w:rsidRPr="00533035">
        <w:rPr>
          <w:rFonts w:ascii="Arial" w:eastAsia="Arial Unicode MS" w:hAnsi="Arial" w:cs="Arial"/>
          <w:sz w:val="20"/>
          <w:szCs w:val="20"/>
        </w:rPr>
        <w:br w:type="page"/>
      </w:r>
    </w:p>
    <w:p w14:paraId="2D59224E" w14:textId="77777777" w:rsidR="004F53A5" w:rsidRPr="00533035" w:rsidRDefault="004F53A5" w:rsidP="003216D5">
      <w:pPr>
        <w:spacing w:after="240"/>
        <w:ind w:firstLine="993"/>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Demonstrações contábeis</w:t>
      </w:r>
    </w:p>
    <w:p w14:paraId="4F85C4A1" w14:textId="77777777" w:rsidR="00AC63FF" w:rsidRPr="00533035" w:rsidRDefault="003216D5" w:rsidP="00533035">
      <w:pPr>
        <w:spacing w:after="40"/>
        <w:ind w:firstLine="567"/>
        <w:rPr>
          <w:rFonts w:ascii="Arial" w:eastAsia="Arial Unicode MS" w:hAnsi="Arial" w:cs="Arial"/>
          <w:sz w:val="28"/>
          <w:szCs w:val="28"/>
        </w:rPr>
        <w:sectPr w:rsidR="00AC63FF" w:rsidRPr="00533035" w:rsidSect="009C1E3A">
          <w:type w:val="continuous"/>
          <w:pgSz w:w="16838" w:h="11906" w:orient="landscape"/>
          <w:pgMar w:top="1021" w:right="851" w:bottom="1021" w:left="851" w:header="0" w:footer="0" w:gutter="0"/>
          <w:cols w:space="708"/>
          <w:titlePg/>
          <w:docGrid w:linePitch="360"/>
        </w:sectPr>
      </w:pPr>
      <w:r w:rsidRPr="00533035">
        <w:rPr>
          <w:rFonts w:ascii="Arial" w:eastAsia="Arial Unicode MS" w:hAnsi="Arial" w:cs="Arial"/>
          <w:sz w:val="28"/>
          <w:szCs w:val="28"/>
        </w:rPr>
        <w:t>Balanço Patrimonial</w:t>
      </w:r>
    </w:p>
    <w:p w14:paraId="59D53A77" w14:textId="77777777" w:rsidR="0092098E" w:rsidRDefault="0092098E" w:rsidP="004F53A5">
      <w:pPr>
        <w:spacing w:after="40"/>
        <w:rPr>
          <w:rFonts w:ascii="Arial" w:eastAsia="Arial Unicode MS" w:hAnsi="Arial" w:cs="Arial"/>
          <w:sz w:val="20"/>
          <w:szCs w:val="20"/>
        </w:rPr>
      </w:pPr>
      <w:r w:rsidRPr="0092098E">
        <w:rPr>
          <w:noProof/>
          <w:lang w:eastAsia="pt-BR"/>
        </w:rPr>
        <w:drawing>
          <wp:inline distT="0" distB="0" distL="0" distR="0" wp14:anchorId="4CBDE7B5" wp14:editId="2C6EF0F5">
            <wp:extent cx="4362450" cy="549592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2450" cy="5495925"/>
                    </a:xfrm>
                    <a:prstGeom prst="rect">
                      <a:avLst/>
                    </a:prstGeom>
                    <a:noFill/>
                    <a:ln>
                      <a:noFill/>
                    </a:ln>
                  </pic:spPr>
                </pic:pic>
              </a:graphicData>
            </a:graphic>
          </wp:inline>
        </w:drawing>
      </w:r>
    </w:p>
    <w:p w14:paraId="58BA94CF" w14:textId="3209E363" w:rsidR="00A06D31" w:rsidRDefault="00A06D31" w:rsidP="004F53A5">
      <w:pPr>
        <w:spacing w:after="40"/>
        <w:rPr>
          <w:rFonts w:ascii="Arial" w:eastAsia="Arial Unicode MS" w:hAnsi="Arial" w:cs="Arial"/>
          <w:sz w:val="20"/>
          <w:szCs w:val="20"/>
        </w:rPr>
      </w:pPr>
      <w:r>
        <w:rPr>
          <w:rFonts w:ascii="Arial" w:eastAsia="Arial Unicode MS" w:hAnsi="Arial" w:cs="Arial"/>
          <w:noProof/>
          <w:sz w:val="20"/>
          <w:szCs w:val="20"/>
          <w:lang w:eastAsia="pt-BR"/>
        </w:rPr>
        <w:drawing>
          <wp:anchor distT="0" distB="0" distL="114300" distR="114300" simplePos="0" relativeHeight="251663360" behindDoc="1" locked="0" layoutInCell="1" allowOverlap="1" wp14:anchorId="1F7F4586" wp14:editId="1318BF6D">
            <wp:simplePos x="0" y="0"/>
            <wp:positionH relativeFrom="column">
              <wp:posOffset>-138982</wp:posOffset>
            </wp:positionH>
            <wp:positionV relativeFrom="paragraph">
              <wp:posOffset>3921125</wp:posOffset>
            </wp:positionV>
            <wp:extent cx="2501817" cy="1657350"/>
            <wp:effectExtent l="0" t="0" r="0" b="0"/>
            <wp:wrapTight wrapText="bothSides">
              <wp:wrapPolygon edited="0">
                <wp:start x="0" y="0"/>
                <wp:lineTo x="0" y="21352"/>
                <wp:lineTo x="21386" y="21352"/>
                <wp:lineTo x="21386" y="0"/>
                <wp:lineTo x="0" y="0"/>
              </wp:wrapPolygon>
            </wp:wrapTight>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4880" cy="1659379"/>
                    </a:xfrm>
                    <a:prstGeom prst="rect">
                      <a:avLst/>
                    </a:prstGeom>
                    <a:noFill/>
                  </pic:spPr>
                </pic:pic>
              </a:graphicData>
            </a:graphic>
            <wp14:sizeRelH relativeFrom="page">
              <wp14:pctWidth>0</wp14:pctWidth>
            </wp14:sizeRelH>
            <wp14:sizeRelV relativeFrom="page">
              <wp14:pctHeight>0</wp14:pctHeight>
            </wp14:sizeRelV>
          </wp:anchor>
        </w:drawing>
      </w:r>
      <w:r w:rsidR="00837429" w:rsidRPr="00837429">
        <w:rPr>
          <w:noProof/>
          <w:lang w:eastAsia="pt-BR"/>
        </w:rPr>
        <w:drawing>
          <wp:inline distT="0" distB="0" distL="0" distR="0" wp14:anchorId="371EB78D" wp14:editId="3074802E">
            <wp:extent cx="4276725" cy="3895725"/>
            <wp:effectExtent l="0" t="0" r="9525"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76725" cy="3895725"/>
                    </a:xfrm>
                    <a:prstGeom prst="rect">
                      <a:avLst/>
                    </a:prstGeom>
                    <a:noFill/>
                    <a:ln>
                      <a:noFill/>
                    </a:ln>
                  </pic:spPr>
                </pic:pic>
              </a:graphicData>
            </a:graphic>
          </wp:inline>
        </w:drawing>
      </w:r>
    </w:p>
    <w:p w14:paraId="4D565193" w14:textId="71C51D81" w:rsidR="00A06D31" w:rsidRDefault="00A06D31" w:rsidP="004F53A5">
      <w:pPr>
        <w:spacing w:after="40"/>
        <w:rPr>
          <w:rFonts w:ascii="Arial" w:eastAsia="Arial Unicode MS" w:hAnsi="Arial" w:cs="Arial"/>
          <w:b/>
          <w:sz w:val="20"/>
          <w:szCs w:val="20"/>
        </w:rPr>
      </w:pPr>
      <w:r w:rsidRPr="0034064D">
        <w:rPr>
          <w:rFonts w:ascii="Arial" w:eastAsia="Arial Unicode MS" w:hAnsi="Arial" w:cs="Arial"/>
          <w:b/>
          <w:sz w:val="20"/>
          <w:szCs w:val="20"/>
        </w:rPr>
        <w:t>Déficit Financeiro por Fonte de Recursos</w:t>
      </w:r>
    </w:p>
    <w:p w14:paraId="788C572E" w14:textId="77777777" w:rsidR="00A06D31" w:rsidRDefault="00A06D31" w:rsidP="004F53A5">
      <w:pPr>
        <w:spacing w:after="40"/>
        <w:rPr>
          <w:rFonts w:ascii="Arial" w:eastAsia="Arial Unicode MS" w:hAnsi="Arial" w:cs="Arial"/>
          <w:sz w:val="20"/>
          <w:szCs w:val="20"/>
        </w:rPr>
      </w:pPr>
    </w:p>
    <w:p w14:paraId="62DFF658" w14:textId="194EA13D" w:rsidR="00A06D31" w:rsidRDefault="00A06D31" w:rsidP="004F53A5">
      <w:pPr>
        <w:spacing w:after="40"/>
        <w:rPr>
          <w:rFonts w:ascii="Arial" w:eastAsia="Arial Unicode MS" w:hAnsi="Arial" w:cs="Arial"/>
          <w:sz w:val="20"/>
          <w:szCs w:val="20"/>
        </w:rPr>
        <w:sectPr w:rsidR="00A06D31" w:rsidSect="00A06D31">
          <w:type w:val="continuous"/>
          <w:pgSz w:w="16838" w:h="11906" w:orient="landscape"/>
          <w:pgMar w:top="1021" w:right="851" w:bottom="1021" w:left="851" w:header="0" w:footer="113" w:gutter="0"/>
          <w:cols w:num="2" w:space="708"/>
          <w:docGrid w:linePitch="360"/>
        </w:sectPr>
      </w:pPr>
      <w:r w:rsidRPr="00A06D31">
        <w:rPr>
          <w:rFonts w:ascii="Arial" w:eastAsia="Arial Unicode MS" w:hAnsi="Arial" w:cs="Arial"/>
          <w:sz w:val="20"/>
          <w:szCs w:val="20"/>
        </w:rPr>
        <w:t>Do passivo financeiro a descoberto (déficit financeiro), cerca de 40% refere-se a recursos vinculados por lei e 60% refere-se a recursos ordinários (livres).</w:t>
      </w:r>
    </w:p>
    <w:p w14:paraId="6E375E3F" w14:textId="2C94FA5B" w:rsidR="004F53A5" w:rsidRPr="00533035" w:rsidRDefault="000C35BD" w:rsidP="004F53A5">
      <w:pPr>
        <w:spacing w:after="40"/>
        <w:rPr>
          <w:rFonts w:ascii="Arial" w:eastAsia="Arial Unicode MS" w:hAnsi="Arial" w:cs="Arial"/>
          <w:sz w:val="20"/>
          <w:szCs w:val="20"/>
        </w:rPr>
      </w:pPr>
      <w:r w:rsidRPr="00533035">
        <w:rPr>
          <w:rFonts w:ascii="Arial" w:eastAsia="Arial Unicode MS" w:hAnsi="Arial" w:cs="Arial"/>
          <w:sz w:val="20"/>
          <w:szCs w:val="20"/>
        </w:rPr>
        <w:lastRenderedPageBreak/>
        <w:t>O Balanço Patrimonial evidencia os ativos e passivos, e sua evolução 2019 em relação a 2018. Os ativos compreendem os saldos de recursos financeiros e patrimoniais controlados pelo IFRS, com capacidade de geração de benefícios econômicos futuros ou potencial de serviços, ao passo que os passivos compreendem os saldos de suas obrigações presentes, decorrente de eventos passados e com alta probabilidade de desembolso futuro. O Patrimônio líquido (PL) representa a diferença entre o total dos ativos e o total dos passivos, sendo uma importante referência sobre a situação financeiro de qualquer entidade.</w:t>
      </w:r>
    </w:p>
    <w:p w14:paraId="5D2785AB" w14:textId="401A3C55" w:rsidR="005C2D04" w:rsidRPr="00533035" w:rsidRDefault="00A06D31" w:rsidP="004F53A5">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anchor distT="0" distB="0" distL="114300" distR="114300" simplePos="0" relativeHeight="251660288" behindDoc="0" locked="0" layoutInCell="1" allowOverlap="1" wp14:anchorId="111E554A" wp14:editId="739372EB">
            <wp:simplePos x="0" y="0"/>
            <wp:positionH relativeFrom="margin">
              <wp:posOffset>3183890</wp:posOffset>
            </wp:positionH>
            <wp:positionV relativeFrom="paragraph">
              <wp:posOffset>10160</wp:posOffset>
            </wp:positionV>
            <wp:extent cx="2560320" cy="1078865"/>
            <wp:effectExtent l="0" t="0" r="0" b="6985"/>
            <wp:wrapThrough wrapText="bothSides">
              <wp:wrapPolygon edited="0">
                <wp:start x="0" y="0"/>
                <wp:lineTo x="0" y="21358"/>
                <wp:lineTo x="21375" y="21358"/>
                <wp:lineTo x="21375"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1078865"/>
                    </a:xfrm>
                    <a:prstGeom prst="rect">
                      <a:avLst/>
                    </a:prstGeom>
                    <a:noFill/>
                  </pic:spPr>
                </pic:pic>
              </a:graphicData>
            </a:graphic>
            <wp14:sizeRelH relativeFrom="page">
              <wp14:pctWidth>0</wp14:pctWidth>
            </wp14:sizeRelH>
            <wp14:sizeRelV relativeFrom="page">
              <wp14:pctHeight>0</wp14:pctHeight>
            </wp14:sizeRelV>
          </wp:anchor>
        </w:drawing>
      </w:r>
      <w:r w:rsidR="005C2D04" w:rsidRPr="00533035">
        <w:rPr>
          <w:rFonts w:ascii="Arial" w:eastAsia="Arial Unicode MS" w:hAnsi="Arial" w:cs="Arial"/>
          <w:noProof/>
          <w:sz w:val="20"/>
          <w:szCs w:val="20"/>
          <w:lang w:eastAsia="pt-BR"/>
        </w:rPr>
        <w:drawing>
          <wp:anchor distT="0" distB="0" distL="114300" distR="114300" simplePos="0" relativeHeight="251659264" behindDoc="0" locked="0" layoutInCell="1" allowOverlap="1" wp14:anchorId="3ED6315B" wp14:editId="0C125C7A">
            <wp:simplePos x="0" y="0"/>
            <wp:positionH relativeFrom="column">
              <wp:posOffset>2540</wp:posOffset>
            </wp:positionH>
            <wp:positionV relativeFrom="paragraph">
              <wp:posOffset>-1270</wp:posOffset>
            </wp:positionV>
            <wp:extent cx="2554605" cy="118300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4605" cy="1183005"/>
                    </a:xfrm>
                    <a:prstGeom prst="rect">
                      <a:avLst/>
                    </a:prstGeom>
                    <a:noFill/>
                  </pic:spPr>
                </pic:pic>
              </a:graphicData>
            </a:graphic>
            <wp14:sizeRelH relativeFrom="page">
              <wp14:pctWidth>0</wp14:pctWidth>
            </wp14:sizeRelH>
            <wp14:sizeRelV relativeFrom="page">
              <wp14:pctHeight>0</wp14:pctHeight>
            </wp14:sizeRelV>
          </wp:anchor>
        </w:drawing>
      </w:r>
    </w:p>
    <w:p w14:paraId="503FCD35" w14:textId="6DCABBDF" w:rsidR="00C40707" w:rsidRPr="00533035" w:rsidRDefault="00A06D31" w:rsidP="00A06D31">
      <w:pPr>
        <w:spacing w:after="40"/>
        <w:ind w:left="8647"/>
        <w:rPr>
          <w:rFonts w:ascii="Arial" w:eastAsia="Arial Unicode MS" w:hAnsi="Arial" w:cs="Arial"/>
          <w:sz w:val="20"/>
          <w:szCs w:val="20"/>
        </w:rPr>
      </w:pPr>
      <w:r w:rsidRPr="00533035">
        <w:rPr>
          <w:rFonts w:ascii="Arial" w:eastAsia="Arial Unicode MS" w:hAnsi="Arial" w:cs="Arial"/>
          <w:noProof/>
          <w:sz w:val="20"/>
          <w:szCs w:val="20"/>
          <w:lang w:eastAsia="pt-BR"/>
        </w:rPr>
        <mc:AlternateContent>
          <mc:Choice Requires="wps">
            <w:drawing>
              <wp:anchor distT="0" distB="0" distL="114300" distR="114300" simplePos="0" relativeHeight="251662336" behindDoc="0" locked="0" layoutInCell="1" allowOverlap="1" wp14:anchorId="61607CB4" wp14:editId="7DE23A56">
                <wp:simplePos x="0" y="0"/>
                <wp:positionH relativeFrom="column">
                  <wp:posOffset>2364740</wp:posOffset>
                </wp:positionH>
                <wp:positionV relativeFrom="paragraph">
                  <wp:posOffset>253365</wp:posOffset>
                </wp:positionV>
                <wp:extent cx="895350" cy="371475"/>
                <wp:effectExtent l="0" t="0" r="0" b="9525"/>
                <wp:wrapNone/>
                <wp:docPr id="8" name="Caixa de Texto 8"/>
                <wp:cNvGraphicFramePr/>
                <a:graphic xmlns:a="http://schemas.openxmlformats.org/drawingml/2006/main">
                  <a:graphicData uri="http://schemas.microsoft.com/office/word/2010/wordprocessingShape">
                    <wps:wsp>
                      <wps:cNvSpPr txBox="1"/>
                      <wps:spPr>
                        <a:xfrm>
                          <a:off x="0" y="0"/>
                          <a:ext cx="895350" cy="371475"/>
                        </a:xfrm>
                        <a:prstGeom prst="rect">
                          <a:avLst/>
                        </a:prstGeom>
                        <a:solidFill>
                          <a:schemeClr val="lt1"/>
                        </a:solidFill>
                        <a:ln w="6350">
                          <a:noFill/>
                        </a:ln>
                      </wps:spPr>
                      <wps:txbx>
                        <w:txbxContent>
                          <w:p w14:paraId="2DB22E20" w14:textId="77777777" w:rsidR="005C2D04" w:rsidRPr="005C2D04" w:rsidRDefault="005C2D04">
                            <w:pPr>
                              <w:rPr>
                                <w:b/>
                                <w:color w:val="9CC2E5" w:themeColor="accent1" w:themeTint="99"/>
                                <w:sz w:val="18"/>
                                <w:szCs w:val="18"/>
                              </w:rPr>
                            </w:pPr>
                            <w:r w:rsidRPr="005C2D04">
                              <w:rPr>
                                <w:b/>
                                <w:color w:val="9CC2E5" w:themeColor="accent1" w:themeTint="99"/>
                                <w:sz w:val="18"/>
                                <w:szCs w:val="18"/>
                              </w:rPr>
                              <w:t>Ativo Líquido R$ 293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07CB4" id="_x0000_t202" coordsize="21600,21600" o:spt="202" path="m,l,21600r21600,l21600,xe">
                <v:stroke joinstyle="miter"/>
                <v:path gradientshapeok="t" o:connecttype="rect"/>
              </v:shapetype>
              <v:shape id="Caixa de Texto 8" o:spid="_x0000_s1026" type="#_x0000_t202" style="position:absolute;left:0;text-align:left;margin-left:186.2pt;margin-top:19.95pt;width:70.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" fillcolor="white [3201]" stroked="f" strokeweight=".5pt">
                <v:textbox>
                  <w:txbxContent>
                    <w:p w14:paraId="2DB22E20" w14:textId="77777777" w:rsidR="005C2D04" w:rsidRPr="005C2D04" w:rsidRDefault="005C2D04">
                      <w:pPr>
                        <w:rPr>
                          <w:b/>
                          <w:color w:val="9CC2E5" w:themeColor="accent1" w:themeTint="99"/>
                          <w:sz w:val="18"/>
                          <w:szCs w:val="18"/>
                        </w:rPr>
                      </w:pPr>
                      <w:r w:rsidRPr="005C2D04">
                        <w:rPr>
                          <w:b/>
                          <w:color w:val="9CC2E5" w:themeColor="accent1" w:themeTint="99"/>
                          <w:sz w:val="18"/>
                          <w:szCs w:val="18"/>
                        </w:rPr>
                        <w:t>Ativo Líquido R$ 293</w:t>
                      </w:r>
                    </w:p>
                  </w:txbxContent>
                </v:textbox>
              </v:shape>
            </w:pict>
          </mc:Fallback>
        </mc:AlternateContent>
      </w:r>
      <w:r w:rsidRPr="00A06D31">
        <w:rPr>
          <w:rFonts w:ascii="Arial" w:eastAsia="Arial Unicode MS" w:hAnsi="Arial" w:cs="Arial"/>
          <w:sz w:val="20"/>
          <w:szCs w:val="20"/>
        </w:rPr>
        <w:t>Conforme demonstrado no gráfico, o IFRS encerrou o exercício de 2017 com um ativo líquido da ordem de R$ 293 milhões, um acréscimo de R$ 6,5% em relação ao valor de 2017 (R$ 17,8 milhões). O motivo principal desta variação positiva foi a manutenção dos recursos Intra OFSS para pagamento da folha de pagamento.</w:t>
      </w:r>
      <w:r w:rsidR="005C2D04" w:rsidRPr="00533035">
        <w:rPr>
          <w:rFonts w:ascii="Arial" w:eastAsia="Arial Unicode MS" w:hAnsi="Arial" w:cs="Arial"/>
          <w:noProof/>
          <w:sz w:val="20"/>
          <w:szCs w:val="20"/>
          <w:lang w:eastAsia="pt-BR"/>
        </w:rPr>
        <mc:AlternateContent>
          <mc:Choice Requires="wps">
            <w:drawing>
              <wp:anchor distT="0" distB="0" distL="114300" distR="114300" simplePos="0" relativeHeight="251661312" behindDoc="0" locked="0" layoutInCell="1" allowOverlap="1" wp14:anchorId="6A6D2444" wp14:editId="78153A0A">
                <wp:simplePos x="0" y="0"/>
                <wp:positionH relativeFrom="column">
                  <wp:posOffset>2126615</wp:posOffset>
                </wp:positionH>
                <wp:positionV relativeFrom="paragraph">
                  <wp:posOffset>116840</wp:posOffset>
                </wp:positionV>
                <wp:extent cx="200025" cy="628650"/>
                <wp:effectExtent l="0" t="0" r="28575" b="19050"/>
                <wp:wrapNone/>
                <wp:docPr id="7" name="Chave Direita 7"/>
                <wp:cNvGraphicFramePr/>
                <a:graphic xmlns:a="http://schemas.openxmlformats.org/drawingml/2006/main">
                  <a:graphicData uri="http://schemas.microsoft.com/office/word/2010/wordprocessingShape">
                    <wps:wsp>
                      <wps:cNvSpPr/>
                      <wps:spPr>
                        <a:xfrm>
                          <a:off x="0" y="0"/>
                          <a:ext cx="200025" cy="628650"/>
                        </a:xfrm>
                        <a:prstGeom prst="rightBrac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txbx>
                        <w:txbxContent>
                          <w:p w14:paraId="4CDA836C" w14:textId="77777777" w:rsidR="005C2D04" w:rsidRDefault="005C2D04" w:rsidP="005C2D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D24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have Direita 7" o:spid="_x0000_s1027" type="#_x0000_t88" style="position:absolute;left:0;text-align:left;margin-left:167.45pt;margin-top:9.2pt;width:15.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" adj="573" strokecolor="#5b9bd5 [3204]">
                <v:stroke dashstyle="dash"/>
                <v:textbox>
                  <w:txbxContent>
                    <w:p w14:paraId="4CDA836C" w14:textId="77777777" w:rsidR="005C2D04" w:rsidRDefault="005C2D04" w:rsidP="005C2D04"/>
                  </w:txbxContent>
                </v:textbox>
              </v:shape>
            </w:pict>
          </mc:Fallback>
        </mc:AlternateContent>
      </w:r>
    </w:p>
    <w:p w14:paraId="3AB04D29" w14:textId="7CB2AE04" w:rsidR="005C2D04" w:rsidRPr="00533035" w:rsidRDefault="005C2D04" w:rsidP="004F53A5">
      <w:pPr>
        <w:spacing w:after="40"/>
        <w:rPr>
          <w:rFonts w:ascii="Arial" w:eastAsia="Arial Unicode MS" w:hAnsi="Arial" w:cs="Arial"/>
          <w:sz w:val="20"/>
          <w:szCs w:val="20"/>
        </w:rPr>
      </w:pPr>
    </w:p>
    <w:p w14:paraId="5F64A129" w14:textId="77777777" w:rsidR="00C40707" w:rsidRPr="00533035" w:rsidRDefault="00C40707" w:rsidP="00C40707">
      <w:pPr>
        <w:spacing w:after="40"/>
        <w:ind w:firstLine="567"/>
        <w:rPr>
          <w:rFonts w:ascii="Arial" w:eastAsia="Arial Unicode MS" w:hAnsi="Arial" w:cs="Arial"/>
          <w:sz w:val="28"/>
          <w:szCs w:val="28"/>
        </w:rPr>
      </w:pPr>
      <w:r w:rsidRPr="00533035">
        <w:rPr>
          <w:rFonts w:ascii="Arial" w:eastAsia="Arial Unicode MS" w:hAnsi="Arial" w:cs="Arial"/>
          <w:sz w:val="28"/>
          <w:szCs w:val="28"/>
        </w:rPr>
        <w:t>Demonstração das Variações Patrimoniais</w:t>
      </w:r>
    </w:p>
    <w:p w14:paraId="32879CA1" w14:textId="77777777" w:rsidR="00C40707" w:rsidRPr="00533035" w:rsidRDefault="00C40707" w:rsidP="00533035">
      <w:pPr>
        <w:spacing w:after="40"/>
        <w:ind w:firstLine="567"/>
        <w:rPr>
          <w:rFonts w:ascii="Arial" w:eastAsia="Arial Unicode MS" w:hAnsi="Arial" w:cs="Arial"/>
          <w:sz w:val="28"/>
          <w:szCs w:val="28"/>
        </w:rPr>
        <w:sectPr w:rsidR="00C40707" w:rsidRPr="00533035" w:rsidSect="009C1E3A">
          <w:type w:val="continuous"/>
          <w:pgSz w:w="16838" w:h="11906" w:orient="landscape"/>
          <w:pgMar w:top="1021" w:right="851" w:bottom="244" w:left="851" w:header="0" w:footer="0" w:gutter="0"/>
          <w:cols w:space="708"/>
          <w:docGrid w:linePitch="360"/>
        </w:sectPr>
      </w:pPr>
    </w:p>
    <w:p w14:paraId="17909433" w14:textId="77777777" w:rsidR="00837429" w:rsidRPr="00533035" w:rsidRDefault="00837429" w:rsidP="004F53A5">
      <w:pPr>
        <w:spacing w:after="40"/>
        <w:rPr>
          <w:rFonts w:ascii="Arial" w:eastAsia="Arial Unicode MS" w:hAnsi="Arial" w:cs="Arial"/>
          <w:sz w:val="20"/>
          <w:szCs w:val="20"/>
        </w:rPr>
      </w:pPr>
      <w:r w:rsidRPr="00837429">
        <w:rPr>
          <w:noProof/>
          <w:lang w:eastAsia="pt-BR"/>
        </w:rPr>
        <w:drawing>
          <wp:inline distT="0" distB="0" distL="0" distR="0" wp14:anchorId="196E469B" wp14:editId="3697557E">
            <wp:extent cx="4743450" cy="2295525"/>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0" cy="2295525"/>
                    </a:xfrm>
                    <a:prstGeom prst="rect">
                      <a:avLst/>
                    </a:prstGeom>
                    <a:noFill/>
                    <a:ln>
                      <a:noFill/>
                    </a:ln>
                  </pic:spPr>
                </pic:pic>
              </a:graphicData>
            </a:graphic>
          </wp:inline>
        </w:drawing>
      </w:r>
    </w:p>
    <w:p w14:paraId="2092157D" w14:textId="77777777" w:rsidR="00C40707" w:rsidRPr="00533035" w:rsidRDefault="00C40707" w:rsidP="004F53A5">
      <w:pPr>
        <w:spacing w:after="40"/>
        <w:rPr>
          <w:rFonts w:ascii="Arial" w:eastAsia="Arial Unicode MS" w:hAnsi="Arial" w:cs="Arial"/>
          <w:sz w:val="20"/>
          <w:szCs w:val="20"/>
        </w:rPr>
      </w:pPr>
    </w:p>
    <w:p w14:paraId="1F4F0F4A" w14:textId="77777777" w:rsidR="00756B26" w:rsidRPr="00533035" w:rsidRDefault="00756B26" w:rsidP="004F53A5">
      <w:pPr>
        <w:spacing w:after="40"/>
        <w:rPr>
          <w:rFonts w:ascii="Arial" w:eastAsia="Arial Unicode MS" w:hAnsi="Arial" w:cs="Arial"/>
          <w:sz w:val="20"/>
          <w:szCs w:val="20"/>
        </w:rPr>
      </w:pPr>
    </w:p>
    <w:p w14:paraId="370A4A2C" w14:textId="77777777" w:rsidR="00C40707" w:rsidRPr="00533035" w:rsidRDefault="00C40707" w:rsidP="004F53A5">
      <w:pPr>
        <w:spacing w:after="40"/>
        <w:rPr>
          <w:rFonts w:ascii="Arial" w:eastAsia="Arial Unicode MS" w:hAnsi="Arial" w:cs="Arial"/>
          <w:sz w:val="20"/>
          <w:szCs w:val="20"/>
        </w:rPr>
      </w:pPr>
    </w:p>
    <w:p w14:paraId="20CC4DFB" w14:textId="77777777" w:rsidR="00756B26" w:rsidRDefault="00756B26" w:rsidP="004F53A5">
      <w:pPr>
        <w:spacing w:after="40"/>
        <w:rPr>
          <w:rFonts w:ascii="Arial" w:eastAsia="Arial Unicode MS" w:hAnsi="Arial" w:cs="Arial"/>
          <w:sz w:val="20"/>
          <w:szCs w:val="20"/>
        </w:rPr>
      </w:pPr>
    </w:p>
    <w:p w14:paraId="58D86169" w14:textId="77777777" w:rsidR="00837429" w:rsidRDefault="00837429" w:rsidP="004F53A5">
      <w:pPr>
        <w:spacing w:after="40"/>
        <w:rPr>
          <w:rFonts w:ascii="Arial" w:eastAsia="Arial Unicode MS" w:hAnsi="Arial" w:cs="Arial"/>
          <w:sz w:val="20"/>
          <w:szCs w:val="20"/>
        </w:rPr>
      </w:pPr>
      <w:r w:rsidRPr="00837429">
        <w:rPr>
          <w:noProof/>
          <w:lang w:eastAsia="pt-BR"/>
        </w:rPr>
        <w:drawing>
          <wp:inline distT="0" distB="0" distL="0" distR="0" wp14:anchorId="66B78A8D" wp14:editId="0D2AF3BB">
            <wp:extent cx="4015481" cy="4181475"/>
            <wp:effectExtent l="0" t="0" r="4445"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9513" cy="4206501"/>
                    </a:xfrm>
                    <a:prstGeom prst="rect">
                      <a:avLst/>
                    </a:prstGeom>
                    <a:noFill/>
                    <a:ln>
                      <a:noFill/>
                    </a:ln>
                  </pic:spPr>
                </pic:pic>
              </a:graphicData>
            </a:graphic>
          </wp:inline>
        </w:drawing>
      </w:r>
    </w:p>
    <w:p w14:paraId="2D081B68" w14:textId="77777777" w:rsidR="00A06D31" w:rsidRDefault="00A06D31" w:rsidP="004F53A5">
      <w:pPr>
        <w:spacing w:after="40"/>
        <w:rPr>
          <w:rFonts w:ascii="Arial" w:eastAsia="Arial Unicode MS" w:hAnsi="Arial" w:cs="Arial"/>
          <w:sz w:val="20"/>
          <w:szCs w:val="20"/>
        </w:rPr>
        <w:sectPr w:rsidR="00A06D31" w:rsidSect="00A06D31">
          <w:type w:val="continuous"/>
          <w:pgSz w:w="16838" w:h="11906" w:orient="landscape"/>
          <w:pgMar w:top="1021" w:right="851" w:bottom="1021" w:left="851" w:header="709" w:footer="0" w:gutter="0"/>
          <w:cols w:num="2" w:space="708"/>
          <w:docGrid w:linePitch="360"/>
        </w:sectPr>
      </w:pPr>
    </w:p>
    <w:p w14:paraId="001DE113" w14:textId="7A2D0AE6" w:rsidR="00837429" w:rsidRDefault="00837429" w:rsidP="004F53A5">
      <w:pPr>
        <w:spacing w:after="40"/>
        <w:rPr>
          <w:rFonts w:ascii="Arial" w:eastAsia="Arial Unicode MS" w:hAnsi="Arial" w:cs="Arial"/>
          <w:sz w:val="20"/>
          <w:szCs w:val="20"/>
        </w:rPr>
      </w:pPr>
    </w:p>
    <w:p w14:paraId="155046E9" w14:textId="77777777" w:rsidR="00837429" w:rsidRPr="00533035" w:rsidRDefault="00837429" w:rsidP="004F53A5">
      <w:pPr>
        <w:spacing w:after="40"/>
        <w:rPr>
          <w:rFonts w:ascii="Arial" w:eastAsia="Arial Unicode MS" w:hAnsi="Arial" w:cs="Arial"/>
          <w:sz w:val="20"/>
          <w:szCs w:val="20"/>
        </w:rPr>
        <w:sectPr w:rsidR="00837429" w:rsidRPr="00533035" w:rsidSect="009C1E3A">
          <w:type w:val="continuous"/>
          <w:pgSz w:w="16838" w:h="11906" w:orient="landscape"/>
          <w:pgMar w:top="1021" w:right="851" w:bottom="1021" w:left="851" w:header="709" w:footer="0" w:gutter="0"/>
          <w:cols w:space="708"/>
          <w:docGrid w:linePitch="360"/>
        </w:sectPr>
      </w:pPr>
    </w:p>
    <w:p w14:paraId="43BD042E" w14:textId="77777777" w:rsidR="00756B26" w:rsidRPr="00533035" w:rsidRDefault="00A75B25" w:rsidP="001F7B7F">
      <w:pPr>
        <w:spacing w:after="40"/>
        <w:ind w:right="536"/>
        <w:rPr>
          <w:rFonts w:ascii="Arial" w:eastAsia="Arial Unicode MS" w:hAnsi="Arial" w:cs="Arial"/>
          <w:sz w:val="20"/>
          <w:szCs w:val="20"/>
        </w:rPr>
      </w:pPr>
      <w:r w:rsidRPr="00533035">
        <w:rPr>
          <w:rFonts w:ascii="Arial" w:eastAsia="Arial Unicode MS" w:hAnsi="Arial" w:cs="Arial"/>
          <w:sz w:val="20"/>
          <w:szCs w:val="20"/>
        </w:rPr>
        <w:t>O Resultado Patrimonial de 2018 (superávit de R$ 22 milhões) aumentou em 90% em relação a 2017 (superávit de R$ 12 milhões).</w:t>
      </w:r>
    </w:p>
    <w:p w14:paraId="70F59028" w14:textId="77777777" w:rsidR="00756B26" w:rsidRPr="00533035" w:rsidRDefault="00756B26" w:rsidP="001F7B7F">
      <w:pPr>
        <w:spacing w:after="40"/>
        <w:ind w:right="536"/>
        <w:rPr>
          <w:rFonts w:ascii="Arial" w:eastAsia="Arial Unicode MS" w:hAnsi="Arial" w:cs="Arial"/>
          <w:sz w:val="20"/>
          <w:szCs w:val="20"/>
        </w:rPr>
      </w:pPr>
    </w:p>
    <w:p w14:paraId="17A8545B" w14:textId="77777777" w:rsidR="00756B26" w:rsidRPr="00533035" w:rsidRDefault="00756B26" w:rsidP="00533035">
      <w:pPr>
        <w:spacing w:after="40"/>
        <w:ind w:firstLine="567"/>
        <w:rPr>
          <w:rFonts w:ascii="Arial" w:eastAsia="Arial Unicode MS" w:hAnsi="Arial" w:cs="Arial"/>
          <w:sz w:val="28"/>
          <w:szCs w:val="28"/>
        </w:rPr>
      </w:pPr>
      <w:r w:rsidRPr="00533035">
        <w:rPr>
          <w:rFonts w:ascii="Arial" w:eastAsia="Arial Unicode MS" w:hAnsi="Arial" w:cs="Arial"/>
          <w:sz w:val="28"/>
          <w:szCs w:val="28"/>
        </w:rPr>
        <w:t>Balanço Orçamentário</w:t>
      </w:r>
    </w:p>
    <w:p w14:paraId="125CA6D9" w14:textId="77777777" w:rsidR="006D7255" w:rsidRDefault="006D7255" w:rsidP="001F7B7F">
      <w:pPr>
        <w:spacing w:after="40"/>
        <w:ind w:right="536"/>
        <w:rPr>
          <w:rFonts w:ascii="Arial" w:eastAsia="Arial Unicode MS" w:hAnsi="Arial" w:cs="Arial"/>
          <w:sz w:val="20"/>
          <w:szCs w:val="20"/>
        </w:rPr>
        <w:sectPr w:rsidR="006D7255" w:rsidSect="009C1E3A">
          <w:type w:val="continuous"/>
          <w:pgSz w:w="16838" w:h="11906" w:orient="landscape"/>
          <w:pgMar w:top="1021" w:right="851" w:bottom="1021" w:left="851" w:header="709" w:footer="0" w:gutter="0"/>
          <w:cols w:space="144"/>
          <w:docGrid w:linePitch="360"/>
        </w:sectPr>
      </w:pPr>
    </w:p>
    <w:p w14:paraId="17440CD9" w14:textId="237D551D" w:rsidR="006D7255" w:rsidRDefault="006D7255" w:rsidP="001F7B7F">
      <w:pPr>
        <w:spacing w:after="40"/>
        <w:ind w:right="536"/>
        <w:rPr>
          <w:rFonts w:ascii="Arial" w:eastAsia="Arial Unicode MS" w:hAnsi="Arial" w:cs="Arial"/>
          <w:sz w:val="20"/>
          <w:szCs w:val="20"/>
        </w:rPr>
      </w:pPr>
      <w:r w:rsidRPr="006D7255">
        <w:rPr>
          <w:noProof/>
          <w:lang w:eastAsia="pt-BR"/>
        </w:rPr>
        <w:drawing>
          <wp:inline distT="0" distB="0" distL="0" distR="0" wp14:anchorId="2CD50165" wp14:editId="4D696601">
            <wp:extent cx="3124200" cy="1175157"/>
            <wp:effectExtent l="0" t="0" r="0" b="635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2374" cy="1189516"/>
                    </a:xfrm>
                    <a:prstGeom prst="rect">
                      <a:avLst/>
                    </a:prstGeom>
                    <a:noFill/>
                    <a:ln>
                      <a:noFill/>
                    </a:ln>
                  </pic:spPr>
                </pic:pic>
              </a:graphicData>
            </a:graphic>
          </wp:inline>
        </w:drawing>
      </w:r>
    </w:p>
    <w:p w14:paraId="1A36EBD1" w14:textId="41986858" w:rsidR="006D7255" w:rsidRDefault="006D7255" w:rsidP="001F7B7F">
      <w:pPr>
        <w:spacing w:after="40"/>
        <w:ind w:right="536"/>
        <w:rPr>
          <w:rFonts w:ascii="Arial" w:eastAsia="Arial Unicode MS" w:hAnsi="Arial" w:cs="Arial"/>
          <w:sz w:val="20"/>
          <w:szCs w:val="20"/>
        </w:rPr>
      </w:pPr>
    </w:p>
    <w:p w14:paraId="0EE7E0B9" w14:textId="445A3532" w:rsidR="006D7255" w:rsidRDefault="006D7255" w:rsidP="001F7B7F">
      <w:pPr>
        <w:spacing w:after="40"/>
        <w:ind w:right="536"/>
        <w:rPr>
          <w:rFonts w:ascii="Arial" w:eastAsia="Arial Unicode MS" w:hAnsi="Arial" w:cs="Arial"/>
          <w:sz w:val="20"/>
          <w:szCs w:val="20"/>
        </w:rPr>
      </w:pPr>
    </w:p>
    <w:p w14:paraId="53B792C8" w14:textId="3AD180E6" w:rsidR="006D7255" w:rsidRDefault="006D7255" w:rsidP="001F7B7F">
      <w:pPr>
        <w:spacing w:after="40"/>
        <w:ind w:right="536"/>
        <w:rPr>
          <w:rFonts w:ascii="Arial" w:eastAsia="Arial Unicode MS" w:hAnsi="Arial" w:cs="Arial"/>
          <w:sz w:val="20"/>
          <w:szCs w:val="20"/>
        </w:rPr>
      </w:pPr>
    </w:p>
    <w:p w14:paraId="124ABED1" w14:textId="0EBDC9E2" w:rsidR="006D7255" w:rsidRDefault="006D7255" w:rsidP="001F7B7F">
      <w:pPr>
        <w:spacing w:after="40"/>
        <w:ind w:right="536"/>
        <w:rPr>
          <w:rFonts w:ascii="Arial" w:eastAsia="Arial Unicode MS" w:hAnsi="Arial" w:cs="Arial"/>
          <w:sz w:val="20"/>
          <w:szCs w:val="20"/>
        </w:rPr>
      </w:pPr>
    </w:p>
    <w:p w14:paraId="21F6A2B8" w14:textId="3775AC4B" w:rsidR="006D7255" w:rsidRDefault="006D7255" w:rsidP="001F7B7F">
      <w:pPr>
        <w:spacing w:after="40"/>
        <w:ind w:right="536"/>
        <w:rPr>
          <w:rFonts w:ascii="Arial" w:eastAsia="Arial Unicode MS" w:hAnsi="Arial" w:cs="Arial"/>
          <w:sz w:val="20"/>
          <w:szCs w:val="20"/>
        </w:rPr>
      </w:pPr>
    </w:p>
    <w:p w14:paraId="385F8B25" w14:textId="40865FC9" w:rsidR="006D7255" w:rsidRDefault="006D7255" w:rsidP="001F7B7F">
      <w:pPr>
        <w:spacing w:after="40"/>
        <w:ind w:right="536"/>
        <w:rPr>
          <w:rFonts w:ascii="Arial" w:eastAsia="Arial Unicode MS" w:hAnsi="Arial" w:cs="Arial"/>
          <w:sz w:val="20"/>
          <w:szCs w:val="20"/>
        </w:rPr>
      </w:pPr>
    </w:p>
    <w:p w14:paraId="7E1565E7" w14:textId="3FB15278" w:rsidR="006D7255" w:rsidRDefault="006D7255" w:rsidP="001F7B7F">
      <w:pPr>
        <w:spacing w:after="40"/>
        <w:ind w:right="536"/>
        <w:rPr>
          <w:rFonts w:ascii="Arial" w:eastAsia="Arial Unicode MS" w:hAnsi="Arial" w:cs="Arial"/>
          <w:sz w:val="20"/>
          <w:szCs w:val="20"/>
        </w:rPr>
      </w:pPr>
    </w:p>
    <w:p w14:paraId="10B58F1A" w14:textId="12E1B588" w:rsidR="006D7255" w:rsidRDefault="006D7255" w:rsidP="001F7B7F">
      <w:pPr>
        <w:spacing w:after="40"/>
        <w:ind w:right="536"/>
        <w:rPr>
          <w:rFonts w:ascii="Arial" w:eastAsia="Arial Unicode MS" w:hAnsi="Arial" w:cs="Arial"/>
          <w:sz w:val="20"/>
          <w:szCs w:val="20"/>
        </w:rPr>
      </w:pPr>
    </w:p>
    <w:p w14:paraId="77FDDCC6" w14:textId="0CD1239E" w:rsidR="006D7255" w:rsidRDefault="006D7255" w:rsidP="001F7B7F">
      <w:pPr>
        <w:spacing w:after="40"/>
        <w:ind w:right="536"/>
        <w:rPr>
          <w:rFonts w:ascii="Arial" w:eastAsia="Arial Unicode MS" w:hAnsi="Arial" w:cs="Arial"/>
          <w:sz w:val="20"/>
          <w:szCs w:val="20"/>
        </w:rPr>
      </w:pPr>
    </w:p>
    <w:p w14:paraId="4E500FDB" w14:textId="77777777" w:rsidR="006D7255" w:rsidRDefault="006D7255" w:rsidP="001F7B7F">
      <w:pPr>
        <w:spacing w:after="40"/>
        <w:ind w:right="536"/>
        <w:rPr>
          <w:rFonts w:ascii="Arial" w:eastAsia="Arial Unicode MS" w:hAnsi="Arial" w:cs="Arial"/>
          <w:sz w:val="20"/>
          <w:szCs w:val="20"/>
        </w:rPr>
      </w:pPr>
    </w:p>
    <w:p w14:paraId="654EC852" w14:textId="6AC15E1A" w:rsidR="00837429" w:rsidRPr="00533035" w:rsidRDefault="00837429" w:rsidP="001F7B7F">
      <w:pPr>
        <w:spacing w:after="40"/>
        <w:ind w:right="536"/>
        <w:rPr>
          <w:rFonts w:ascii="Arial" w:eastAsia="Arial Unicode MS" w:hAnsi="Arial" w:cs="Arial"/>
          <w:sz w:val="20"/>
          <w:szCs w:val="20"/>
        </w:rPr>
      </w:pPr>
      <w:r w:rsidRPr="00837429">
        <w:rPr>
          <w:noProof/>
          <w:lang w:eastAsia="pt-BR"/>
        </w:rPr>
        <w:drawing>
          <wp:inline distT="0" distB="0" distL="0" distR="0" wp14:anchorId="2477BD7F" wp14:editId="36F0B2FD">
            <wp:extent cx="6172200" cy="26479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72200" cy="2647950"/>
                    </a:xfrm>
                    <a:prstGeom prst="rect">
                      <a:avLst/>
                    </a:prstGeom>
                    <a:noFill/>
                    <a:ln>
                      <a:noFill/>
                    </a:ln>
                  </pic:spPr>
                </pic:pic>
              </a:graphicData>
            </a:graphic>
          </wp:inline>
        </w:drawing>
      </w:r>
    </w:p>
    <w:p w14:paraId="1A67E029" w14:textId="77777777" w:rsidR="00756B26" w:rsidRPr="00533035" w:rsidRDefault="00756B26" w:rsidP="001F7B7F">
      <w:pPr>
        <w:spacing w:after="40"/>
        <w:ind w:right="536"/>
        <w:rPr>
          <w:rFonts w:ascii="Arial" w:eastAsia="Arial Unicode MS" w:hAnsi="Arial" w:cs="Arial"/>
          <w:sz w:val="20"/>
          <w:szCs w:val="20"/>
        </w:rPr>
      </w:pPr>
    </w:p>
    <w:p w14:paraId="1E0F4DBA" w14:textId="0A89D7F5" w:rsidR="00837429" w:rsidRDefault="00837429" w:rsidP="004F53A5">
      <w:pPr>
        <w:spacing w:after="40"/>
        <w:rPr>
          <w:rFonts w:ascii="Arial" w:eastAsia="Arial Unicode MS" w:hAnsi="Arial" w:cs="Arial"/>
          <w:sz w:val="20"/>
          <w:szCs w:val="20"/>
        </w:rPr>
      </w:pPr>
      <w:r w:rsidRPr="00837429">
        <w:rPr>
          <w:noProof/>
          <w:lang w:eastAsia="pt-BR"/>
        </w:rPr>
        <w:drawing>
          <wp:inline distT="0" distB="0" distL="0" distR="0" wp14:anchorId="38F395F2" wp14:editId="33BEE983">
            <wp:extent cx="6211774" cy="2581275"/>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1774" cy="2581275"/>
                    </a:xfrm>
                    <a:prstGeom prst="rect">
                      <a:avLst/>
                    </a:prstGeom>
                    <a:noFill/>
                    <a:ln>
                      <a:noFill/>
                    </a:ln>
                  </pic:spPr>
                </pic:pic>
              </a:graphicData>
            </a:graphic>
          </wp:inline>
        </w:drawing>
      </w:r>
    </w:p>
    <w:p w14:paraId="5F3E928C" w14:textId="77777777" w:rsidR="006D7255" w:rsidRDefault="006D7255" w:rsidP="004F53A5">
      <w:pPr>
        <w:spacing w:after="40"/>
        <w:rPr>
          <w:rFonts w:ascii="Arial" w:eastAsia="Arial Unicode MS" w:hAnsi="Arial" w:cs="Arial"/>
          <w:sz w:val="20"/>
          <w:szCs w:val="20"/>
        </w:rPr>
        <w:sectPr w:rsidR="006D7255" w:rsidSect="006D7255">
          <w:type w:val="continuous"/>
          <w:pgSz w:w="16838" w:h="11906" w:orient="landscape"/>
          <w:pgMar w:top="1021" w:right="851" w:bottom="1021" w:left="851" w:header="709" w:footer="0" w:gutter="0"/>
          <w:cols w:num="2" w:space="708" w:equalWidth="0">
            <w:col w:w="4573" w:space="708"/>
            <w:col w:w="9854"/>
          </w:cols>
          <w:docGrid w:linePitch="360"/>
        </w:sectPr>
      </w:pPr>
    </w:p>
    <w:p w14:paraId="3A7A9E2C" w14:textId="3EFDBB4F" w:rsidR="006D7255" w:rsidRPr="00533035" w:rsidRDefault="006D7255" w:rsidP="006D7255">
      <w:pPr>
        <w:spacing w:after="40"/>
        <w:ind w:firstLine="567"/>
        <w:rPr>
          <w:rFonts w:ascii="Arial" w:eastAsia="Arial Unicode MS" w:hAnsi="Arial" w:cs="Arial"/>
          <w:sz w:val="28"/>
          <w:szCs w:val="28"/>
        </w:rPr>
      </w:pPr>
      <w:r w:rsidRPr="00533035">
        <w:rPr>
          <w:rFonts w:ascii="Arial" w:eastAsia="Arial Unicode MS" w:hAnsi="Arial" w:cs="Arial"/>
          <w:sz w:val="28"/>
          <w:szCs w:val="28"/>
        </w:rPr>
        <w:lastRenderedPageBreak/>
        <w:t xml:space="preserve">Balanço </w:t>
      </w:r>
      <w:r>
        <w:rPr>
          <w:rFonts w:ascii="Arial" w:eastAsia="Arial Unicode MS" w:hAnsi="Arial" w:cs="Arial"/>
          <w:sz w:val="28"/>
          <w:szCs w:val="28"/>
        </w:rPr>
        <w:t>Financeiro</w:t>
      </w:r>
    </w:p>
    <w:p w14:paraId="216DA726" w14:textId="28E4C8B3" w:rsidR="00E40488" w:rsidRDefault="00E40488" w:rsidP="004F53A5">
      <w:pPr>
        <w:spacing w:after="40"/>
        <w:rPr>
          <w:rFonts w:ascii="Arial" w:eastAsia="Arial Unicode MS" w:hAnsi="Arial" w:cs="Arial"/>
          <w:sz w:val="20"/>
          <w:szCs w:val="20"/>
        </w:rPr>
      </w:pPr>
    </w:p>
    <w:p w14:paraId="6BF4535E" w14:textId="39453DD6" w:rsidR="00E40488" w:rsidRDefault="006D7255" w:rsidP="004F53A5">
      <w:pPr>
        <w:spacing w:after="40"/>
        <w:rPr>
          <w:rFonts w:ascii="Arial" w:eastAsia="Arial Unicode MS" w:hAnsi="Arial" w:cs="Arial"/>
          <w:sz w:val="20"/>
          <w:szCs w:val="20"/>
        </w:rPr>
      </w:pPr>
      <w:r w:rsidRPr="006D7255">
        <w:rPr>
          <w:noProof/>
          <w:lang w:eastAsia="pt-BR"/>
        </w:rPr>
        <w:drawing>
          <wp:inline distT="0" distB="0" distL="0" distR="0" wp14:anchorId="538A430E" wp14:editId="767C2946">
            <wp:extent cx="4505325" cy="5667375"/>
            <wp:effectExtent l="0" t="0" r="9525" b="0"/>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5325" cy="5667375"/>
                    </a:xfrm>
                    <a:prstGeom prst="rect">
                      <a:avLst/>
                    </a:prstGeom>
                    <a:noFill/>
                    <a:ln>
                      <a:noFill/>
                    </a:ln>
                  </pic:spPr>
                </pic:pic>
              </a:graphicData>
            </a:graphic>
          </wp:inline>
        </w:drawing>
      </w:r>
    </w:p>
    <w:p w14:paraId="45E77542" w14:textId="77777777" w:rsidR="00D559BD" w:rsidRPr="00533035" w:rsidRDefault="00D559BD" w:rsidP="00D559BD">
      <w:pPr>
        <w:spacing w:after="40"/>
        <w:ind w:firstLine="567"/>
        <w:rPr>
          <w:rFonts w:ascii="Arial" w:eastAsia="Arial Unicode MS" w:hAnsi="Arial" w:cs="Arial"/>
          <w:sz w:val="28"/>
          <w:szCs w:val="28"/>
        </w:rPr>
      </w:pPr>
      <w:r>
        <w:rPr>
          <w:rFonts w:ascii="Arial" w:eastAsia="Arial Unicode MS" w:hAnsi="Arial" w:cs="Arial"/>
          <w:sz w:val="28"/>
          <w:szCs w:val="28"/>
        </w:rPr>
        <w:t>Demonstração dos Fluxos de Caixa</w:t>
      </w:r>
    </w:p>
    <w:p w14:paraId="3E30598D" w14:textId="167A4F7F" w:rsidR="00D559BD" w:rsidRDefault="00D559BD" w:rsidP="004F53A5">
      <w:pPr>
        <w:spacing w:after="40"/>
        <w:rPr>
          <w:rFonts w:ascii="Arial" w:eastAsia="Arial Unicode MS" w:hAnsi="Arial" w:cs="Arial"/>
          <w:sz w:val="20"/>
          <w:szCs w:val="20"/>
        </w:rPr>
      </w:pPr>
    </w:p>
    <w:p w14:paraId="6D4875BA" w14:textId="747BBA2F" w:rsidR="00D559BD" w:rsidRDefault="00D559BD" w:rsidP="004F53A5">
      <w:pPr>
        <w:spacing w:after="40"/>
        <w:rPr>
          <w:rFonts w:ascii="Arial" w:eastAsia="Arial Unicode MS" w:hAnsi="Arial" w:cs="Arial"/>
          <w:sz w:val="20"/>
          <w:szCs w:val="20"/>
        </w:rPr>
      </w:pPr>
      <w:r w:rsidRPr="006D7255">
        <w:rPr>
          <w:noProof/>
          <w:lang w:eastAsia="pt-BR"/>
        </w:rPr>
        <w:drawing>
          <wp:inline distT="0" distB="0" distL="0" distR="0" wp14:anchorId="49A28945" wp14:editId="71CB49CC">
            <wp:extent cx="4744073" cy="5438775"/>
            <wp:effectExtent l="0" t="0" r="0" b="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4856" cy="5451137"/>
                    </a:xfrm>
                    <a:prstGeom prst="rect">
                      <a:avLst/>
                    </a:prstGeom>
                    <a:noFill/>
                    <a:ln>
                      <a:noFill/>
                    </a:ln>
                  </pic:spPr>
                </pic:pic>
              </a:graphicData>
            </a:graphic>
          </wp:inline>
        </w:drawing>
      </w:r>
    </w:p>
    <w:p w14:paraId="449648D1" w14:textId="254DA189" w:rsidR="006D7255" w:rsidRPr="00533035" w:rsidRDefault="00E40488" w:rsidP="006D7255">
      <w:pPr>
        <w:spacing w:after="40"/>
        <w:ind w:firstLine="567"/>
        <w:rPr>
          <w:rFonts w:ascii="Arial" w:eastAsia="Arial Unicode MS" w:hAnsi="Arial" w:cs="Arial"/>
          <w:sz w:val="28"/>
          <w:szCs w:val="28"/>
        </w:rPr>
      </w:pPr>
      <w:r>
        <w:rPr>
          <w:rFonts w:ascii="Arial" w:eastAsia="Arial Unicode MS" w:hAnsi="Arial" w:cs="Arial"/>
          <w:sz w:val="20"/>
          <w:szCs w:val="20"/>
        </w:rPr>
        <w:br w:type="page"/>
      </w:r>
    </w:p>
    <w:p w14:paraId="66C5D73E" w14:textId="77777777" w:rsidR="00006B51" w:rsidRPr="00533035" w:rsidRDefault="00006B5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Base de Preparação das Demonstrações e das Práticas Contábeis</w:t>
      </w:r>
    </w:p>
    <w:p w14:paraId="4EDF516B" w14:textId="77777777" w:rsidR="00006B51"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As Demonstrações Contábeis (DCON) do Instituto Federal de Educação, Ciência e Tecnologia do Rio Grande do Sul foram elaboradas em consonância com os dispositivos da Lei nº 4.320/1964, do Decreto-Lei nº 200/1967, do Decreto nº 93.872/1986, da Lei nº 10.180/2001 e da Lei Complementar nº 101/2000. Abrangem, também, as Normas Brasileiras de Contabilidade Técnicas do Setor Público (NBCT SP) do Conselho Federal de Contabilidade (CFC), o Manual de Contabilidade Aplicada ao Setor Público (MCASP) 8ª edição e o Manual SIAFI, ambos da secretaria do Tesouro Nacional, exceto no tocante a:</w:t>
      </w:r>
    </w:p>
    <w:p w14:paraId="6843654A"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Caixa e equivalentes de caixa</w:t>
      </w:r>
    </w:p>
    <w:p w14:paraId="7C91A58A" w14:textId="77777777" w:rsidR="007D6891" w:rsidRPr="00533035" w:rsidRDefault="007D6891" w:rsidP="007D689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 exercício, os saldos dos depósitos e cauções em garantia não foram conciliados com extrato ou documento de controle que viabilizasse a conciliação, conforme determina o item 5.2.1 da macrofunção 020318 – Encerramento de Exercício, do Manual SIAFI.</w:t>
      </w:r>
    </w:p>
    <w:p w14:paraId="7A88A148" w14:textId="77777777" w:rsidR="007D6891" w:rsidRPr="00533035" w:rsidRDefault="007D6891" w:rsidP="007D6891">
      <w:pPr>
        <w:pStyle w:val="PargrafodaLista"/>
        <w:numPr>
          <w:ilvl w:val="0"/>
          <w:numId w:val="3"/>
        </w:numPr>
        <w:spacing w:after="40"/>
        <w:rPr>
          <w:rFonts w:ascii="Arial" w:eastAsia="Arial Unicode MS" w:hAnsi="Arial" w:cs="Arial"/>
          <w:sz w:val="20"/>
          <w:szCs w:val="20"/>
        </w:rPr>
      </w:pPr>
      <w:r w:rsidRPr="00533035">
        <w:rPr>
          <w:rFonts w:ascii="Arial" w:eastAsia="Arial Unicode MS" w:hAnsi="Arial" w:cs="Arial"/>
          <w:sz w:val="20"/>
          <w:szCs w:val="20"/>
        </w:rPr>
        <w:t>Créditos a curto prazo</w:t>
      </w:r>
    </w:p>
    <w:p w14:paraId="66A034A0" w14:textId="77777777" w:rsidR="00006B51" w:rsidRPr="00533035" w:rsidRDefault="007D689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do</w:t>
      </w:r>
      <w:r w:rsidR="00006B51" w:rsidRPr="00533035">
        <w:rPr>
          <w:rFonts w:ascii="Arial" w:eastAsia="Arial Unicode MS" w:hAnsi="Arial" w:cs="Arial"/>
          <w:sz w:val="20"/>
          <w:szCs w:val="20"/>
        </w:rPr>
        <w:t xml:space="preserve"> exercício, os saldos de Salários e ordenados pagamento antecipado não foram conciliados com o sistema da folha de pagamento de forma que no final do exercício reflita apenas os adiantamentos concedidos e ainda não descontados, referentes ao exercício seguinte, conforme disciplina o item 5.2.4 da macrofunção 020318 – Encerramento de Exercício, do Manual SIAFI.</w:t>
      </w:r>
    </w:p>
    <w:p w14:paraId="437115EF" w14:textId="56E1312E" w:rsidR="000E7D97" w:rsidRPr="00533035" w:rsidRDefault="00006B51" w:rsidP="00006B51">
      <w:pPr>
        <w:spacing w:after="40"/>
        <w:rPr>
          <w:rFonts w:ascii="Arial" w:eastAsia="Arial Unicode MS" w:hAnsi="Arial" w:cs="Arial"/>
          <w:sz w:val="20"/>
          <w:szCs w:val="20"/>
        </w:rPr>
      </w:pPr>
      <w:r w:rsidRPr="00533035">
        <w:rPr>
          <w:rFonts w:ascii="Arial" w:eastAsia="Arial Unicode MS" w:hAnsi="Arial" w:cs="Arial"/>
          <w:sz w:val="20"/>
          <w:szCs w:val="20"/>
        </w:rPr>
        <w:t>Até a data de encerramento de exercício, não foram apresentados à esta setorial o(s) documento(s) de escrituração dos valores a receber em conta “clientes”, campus Bento Gonçalves, conforme determina o item 5.2.3.1 da macrofunção 020318 – Encerramento de Exercício, do Manual SIAFI.</w:t>
      </w:r>
    </w:p>
    <w:p w14:paraId="64635C85" w14:textId="77777777" w:rsidR="00006B51" w:rsidRPr="00533035" w:rsidRDefault="00006B51" w:rsidP="004F53A5">
      <w:pPr>
        <w:spacing w:after="40"/>
        <w:rPr>
          <w:rFonts w:ascii="Arial" w:eastAsia="Arial Unicode MS" w:hAnsi="Arial" w:cs="Arial"/>
          <w:sz w:val="20"/>
          <w:szCs w:val="20"/>
        </w:rPr>
      </w:pPr>
      <w:r w:rsidRPr="00533035">
        <w:rPr>
          <w:rFonts w:ascii="Arial" w:eastAsia="Arial Unicode MS" w:hAnsi="Arial" w:cs="Arial"/>
          <w:sz w:val="20"/>
          <w:szCs w:val="20"/>
        </w:rPr>
        <w:t xml:space="preserve">As DCON foram elaboradas a partir das informações constantes no Sistema Integrado de </w:t>
      </w:r>
      <w:r w:rsidR="00137CCD" w:rsidRPr="00533035">
        <w:rPr>
          <w:rFonts w:ascii="Arial" w:eastAsia="Arial Unicode MS" w:hAnsi="Arial" w:cs="Arial"/>
          <w:sz w:val="20"/>
          <w:szCs w:val="20"/>
        </w:rPr>
        <w:t>A</w:t>
      </w:r>
      <w:r w:rsidRPr="00533035">
        <w:rPr>
          <w:rFonts w:ascii="Arial" w:eastAsia="Arial Unicode MS" w:hAnsi="Arial" w:cs="Arial"/>
          <w:sz w:val="20"/>
          <w:szCs w:val="20"/>
        </w:rPr>
        <w:t xml:space="preserve">dministração Financeira do Governo Federal (SIAFI), e tiveram como escopo as informações consolidadas das contas contábeis das unidades do órgão 26419 – Instituto Federal de Educação, Ciência e Tecnologia do Rio Grande do Sul </w:t>
      </w:r>
      <w:r w:rsidR="00137CCD" w:rsidRPr="00533035">
        <w:rPr>
          <w:rFonts w:ascii="Arial" w:eastAsia="Arial Unicode MS" w:hAnsi="Arial" w:cs="Arial"/>
          <w:sz w:val="20"/>
          <w:szCs w:val="20"/>
        </w:rPr>
        <w:t xml:space="preserve">autarquia da </w:t>
      </w:r>
      <w:r w:rsidRPr="00533035">
        <w:rPr>
          <w:rFonts w:ascii="Arial" w:eastAsia="Arial Unicode MS" w:hAnsi="Arial" w:cs="Arial"/>
          <w:sz w:val="20"/>
          <w:szCs w:val="20"/>
        </w:rPr>
        <w:t>administraç</w:t>
      </w:r>
      <w:r w:rsidR="00137CCD" w:rsidRPr="00533035">
        <w:rPr>
          <w:rFonts w:ascii="Arial" w:eastAsia="Arial Unicode MS" w:hAnsi="Arial" w:cs="Arial"/>
          <w:sz w:val="20"/>
          <w:szCs w:val="20"/>
        </w:rPr>
        <w:t>ão direta que é integrante do Orçamento Fiscal e da Seguridade Social (OFSS).</w:t>
      </w:r>
    </w:p>
    <w:p w14:paraId="52E14D55" w14:textId="77777777" w:rsidR="00137CCD" w:rsidRPr="00533035" w:rsidRDefault="00137CCD" w:rsidP="00137CCD">
      <w:pPr>
        <w:spacing w:after="40"/>
        <w:rPr>
          <w:rFonts w:ascii="Arial" w:eastAsia="Arial Unicode MS" w:hAnsi="Arial" w:cs="Arial"/>
          <w:sz w:val="20"/>
          <w:szCs w:val="20"/>
        </w:rPr>
      </w:pPr>
      <w:r w:rsidRPr="00533035">
        <w:rPr>
          <w:rFonts w:ascii="Arial" w:eastAsia="Arial Unicode MS" w:hAnsi="Arial" w:cs="Arial"/>
          <w:sz w:val="20"/>
          <w:szCs w:val="20"/>
        </w:rPr>
        <w:t>As estruturas e a composição das Demonstrações Contábeis estão de acordo com o padrão da contabilidade aplicada ao setor público brasileira e são compostas por:</w:t>
      </w:r>
    </w:p>
    <w:p w14:paraId="286088C0"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Patrimonial (BP);</w:t>
      </w:r>
    </w:p>
    <w:p w14:paraId="1A6B038C"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Variações Patrimoniais (DVP);</w:t>
      </w:r>
    </w:p>
    <w:p w14:paraId="1673C484"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Orçamentário (BO);</w:t>
      </w:r>
    </w:p>
    <w:p w14:paraId="7246A755"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Balanço Financeiro (BF);</w:t>
      </w:r>
    </w:p>
    <w:p w14:paraId="1B8E6E9A"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dos Fluxos de Caixa (DFC);</w:t>
      </w:r>
    </w:p>
    <w:p w14:paraId="4235D433"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Demonstração das Mutações do Patrimônio Líquido (DMPL) e;</w:t>
      </w:r>
    </w:p>
    <w:p w14:paraId="261A8298" w14:textId="77777777" w:rsidR="00137CCD" w:rsidRPr="00533035" w:rsidRDefault="00137CCD" w:rsidP="00137CCD">
      <w:pPr>
        <w:pStyle w:val="PargrafodaLista"/>
        <w:numPr>
          <w:ilvl w:val="0"/>
          <w:numId w:val="2"/>
        </w:numPr>
        <w:spacing w:after="40"/>
        <w:rPr>
          <w:rFonts w:ascii="Arial" w:eastAsia="Arial Unicode MS" w:hAnsi="Arial" w:cs="Arial"/>
          <w:b/>
          <w:sz w:val="20"/>
          <w:szCs w:val="20"/>
        </w:rPr>
      </w:pPr>
      <w:r w:rsidRPr="00533035">
        <w:rPr>
          <w:rFonts w:ascii="Arial" w:eastAsia="Arial Unicode MS" w:hAnsi="Arial" w:cs="Arial"/>
          <w:b/>
          <w:sz w:val="20"/>
          <w:szCs w:val="20"/>
        </w:rPr>
        <w:t>Notas Explicativas.</w:t>
      </w:r>
    </w:p>
    <w:p w14:paraId="6210C16E" w14:textId="77777777" w:rsidR="00137CCD" w:rsidRPr="00533035" w:rsidRDefault="00137CCD" w:rsidP="004F53A5">
      <w:pPr>
        <w:spacing w:after="40"/>
        <w:rPr>
          <w:rFonts w:ascii="Arial" w:eastAsia="Arial Unicode MS" w:hAnsi="Arial" w:cs="Arial"/>
          <w:sz w:val="20"/>
          <w:szCs w:val="20"/>
        </w:rPr>
      </w:pPr>
    </w:p>
    <w:p w14:paraId="37D98C5A" w14:textId="77777777" w:rsidR="007D6891" w:rsidRPr="00533035" w:rsidRDefault="007D6891"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t>Resumo dos Principais Critérios e Políticas Contábeis</w:t>
      </w:r>
    </w:p>
    <w:p w14:paraId="2FEA280C"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seguir, são apresentados os principais critérios e políticas contábeis adotados no âmbito deste Instituto Federal de Educação, Ciência e Tecnologia, tendo em consideração as opções e premissas do modelo de contabilidade aplicada ao setor público.</w:t>
      </w:r>
    </w:p>
    <w:p w14:paraId="450F158C"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Moeda funcional</w:t>
      </w:r>
    </w:p>
    <w:p w14:paraId="6EBA76B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moeda funcional é o Real.</w:t>
      </w:r>
    </w:p>
    <w:p w14:paraId="026A63E5"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Caixa e equivalentes de caixa</w:t>
      </w:r>
    </w:p>
    <w:p w14:paraId="4686E7E3"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Incluem dinheiro em caixa, conta única, demais depósitos bancários e aplicações de liquidez imediata. Os valores são mensurados e avaliados pelo valor de custo e, quando aplicável, são acrescidos dos rendimentos auferidos até a data das demonstrações contábeis.</w:t>
      </w:r>
    </w:p>
    <w:p w14:paraId="407AC2F0"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conta única, derivada do princípio de unidade de tesouraria (conforme art. 1º e 2º do Decreto nº 93.872/1986), é mantida no BACEN e acolhe todas as disponibilidades financeiras da União, inclusive dos fundos, das fundações, das autarquias e das empresas estatais dependentes. Ela é subdividida em Conta Única recursos Tesouro Nacional, Conta Única recursos Previdenciários e Conta Única recursos Dívida Pública.</w:t>
      </w:r>
    </w:p>
    <w:p w14:paraId="40954901"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Créditos a curto prazo</w:t>
      </w:r>
    </w:p>
    <w:p w14:paraId="3A1E80B5"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Compreendem os direitos a receber a curto prazo relacionados, principalmente, com: (i) créditos tributários; (ii) créditos não tributários; (iii) dívida ativa; (iv) transferências concedidas; (v) empréstimos e financiamentos concedidos; (vi) adiantamentos e; (vi) valores a compensar. Os valores são mensurados e </w:t>
      </w:r>
      <w:r w:rsidRPr="00533035">
        <w:rPr>
          <w:rFonts w:ascii="Arial" w:eastAsia="Arial Unicode MS" w:hAnsi="Arial" w:cs="Arial"/>
          <w:sz w:val="20"/>
          <w:szCs w:val="20"/>
        </w:rPr>
        <w:lastRenderedPageBreak/>
        <w:t>avaliados pelo valor original, acrescido das atualizações monetárias e juros, quando aplicável.</w:t>
      </w:r>
    </w:p>
    <w:p w14:paraId="3F3C755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Estoques</w:t>
      </w:r>
    </w:p>
    <w:p w14:paraId="0D6DB54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produtos em almoxarifado e adiantamento a fornecedores. Nas entradas, os estoques são avaliados e mensurados pelo valor de aquisição ou produção/construção e, nas saídas, pelo custo médio ponderado.</w:t>
      </w:r>
    </w:p>
    <w:p w14:paraId="44CFA973"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Ativo realizável a longo prazo</w:t>
      </w:r>
    </w:p>
    <w:p w14:paraId="6DA4800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Compreendem os direitos a receber a longo prazo principalmente com: (i) créditos tributários; (ii) créditos não tributários; (iii) dívida ativa; (iv) empréstimos e financiamentos concedidos; (v) investimentos temporários e; (vi) estoques. Os valores são avaliados e mensurados pelo valor original e, quando aplicável, são acrescidos das atualizações e correções monetárias, de acordo com as taxas especificadas nas respectivas operações.</w:t>
      </w:r>
    </w:p>
    <w:p w14:paraId="5ACFC7C2"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Imobilizado</w:t>
      </w:r>
    </w:p>
    <w:p w14:paraId="702F413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imobilizado é composto pelos bens móveis e imóveis. É reconhecido inicialmente com base no valor de aquisição, construção ou produção. Após o reconhecimento inicial, ficam sujeitos à depreciação, amortização ou exaustão (quando tiverem vida útil definida), bem como à redução ao valor recuperável e à reavaliação.</w:t>
      </w:r>
    </w:p>
    <w:p w14:paraId="5FE55F06"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Os gastos posteriores à aquisição, construção ou produção são incorporados ao valor do imobilizado desde que tais gastos aumentem a vida útil do bem e sejam capazes de gerar benefícios econômicos futuros. Se os gastos não gerarem tais benefícios, eles são reconhecidos diretamente como variações patrimoniais diminutivas do período. </w:t>
      </w:r>
    </w:p>
    <w:p w14:paraId="7D7B622F"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Intangível</w:t>
      </w:r>
    </w:p>
    <w:p w14:paraId="0172B2B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Os direitos que tenham por objeto bens incorpóreos, no IFRS, são os softwares, destinados à manutenção da atividade pública ou exercidos com essa finalidade, são mensurados ou avaliados com base no valor de aquisição ou de produção, deduzido o saldo da respectiva conta de amortização acumulada (quando tiverem vida útil definida).</w:t>
      </w:r>
    </w:p>
    <w:p w14:paraId="283DEF78"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amortização ou exaustão de bens móveis</w:t>
      </w:r>
    </w:p>
    <w:p w14:paraId="6B1886CA"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 base de cálculo para a depreciação, a amortização e a exaustão é o custo do ativo imobilizado, compreendendo tanto os custos diretos como os indiretos. O método de cálculo dos encargos de depreciação é o das quotas constantes.</w:t>
      </w:r>
    </w:p>
    <w:p w14:paraId="26F7E191"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Como regra geral, a depreciação bens móveis deve ser iniciada a partir do primeiro dia do mês seguinte à data da colocação do bem em utilização. Porém, quando o valor do bem adquirido e o valor da depreciação no primeiro mês </w:t>
      </w:r>
      <w:r w:rsidRPr="00533035">
        <w:rPr>
          <w:rFonts w:ascii="Arial" w:eastAsia="Arial Unicode MS" w:hAnsi="Arial" w:cs="Arial"/>
          <w:sz w:val="20"/>
          <w:szCs w:val="20"/>
        </w:rPr>
        <w:t>sejam relevantes, admite-se, em caráter de exceção, o cômputo da depreciação em fração menor do que um mês.</w:t>
      </w:r>
    </w:p>
    <w:p w14:paraId="0E954262"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móveis do IFRS são apuradas pelo Sistema Integrado de Gestão (SIG), que utiliza como regra de cálculo os seguintes parâmetros:</w:t>
      </w:r>
    </w:p>
    <w:p w14:paraId="0F2060C1"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Método das cotas constantes;</w:t>
      </w:r>
    </w:p>
    <w:p w14:paraId="682C7399" w14:textId="77777777" w:rsidR="00FF2AB6" w:rsidRPr="00533035" w:rsidRDefault="00FF2AB6" w:rsidP="00D84268">
      <w:pPr>
        <w:pStyle w:val="PargrafodaLista"/>
        <w:numPr>
          <w:ilvl w:val="0"/>
          <w:numId w:val="5"/>
        </w:numPr>
        <w:spacing w:after="40"/>
        <w:rPr>
          <w:rFonts w:ascii="Arial" w:eastAsia="Arial Unicode MS" w:hAnsi="Arial" w:cs="Arial"/>
          <w:sz w:val="20"/>
          <w:szCs w:val="20"/>
        </w:rPr>
      </w:pPr>
      <w:r w:rsidRPr="00533035">
        <w:rPr>
          <w:rFonts w:ascii="Arial" w:eastAsia="Arial Unicode MS" w:hAnsi="Arial" w:cs="Arial"/>
          <w:sz w:val="20"/>
          <w:szCs w:val="20"/>
        </w:rPr>
        <w:t>Utilização da tabela definida pela Coordenação-Geral de Contabilidade – CCONT/SUCON/STN/MF, constante no Manual SIAFI, assunto 020330 Depreciação, Amortização e Exaustão na Administração Direta da União, Autarquias e Fundações.</w:t>
      </w:r>
    </w:p>
    <w:p w14:paraId="0C5BAA39" w14:textId="77777777" w:rsidR="00FF2AB6" w:rsidRPr="00533035" w:rsidRDefault="00FF2AB6" w:rsidP="00FF2AB6">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Depreciação de bens imóveis</w:t>
      </w:r>
    </w:p>
    <w:p w14:paraId="339E06ED"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As informações da depreciação dos bens imóveis são apuradas pelo Sistema de Gerenciamento do Patrimônio Imobiliário da União – SPIUnet, que é gerido pela Secretaria de Patrimônio da União – SPU, nos termos da Portaria Conjunta MF/MPOG nº 703, de 10 de dezembro de 2014.</w:t>
      </w:r>
    </w:p>
    <w:p w14:paraId="507C911B"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Para fins contábeis, após mensuração e lançamento nos sistemas corporativos da SPU, os valores dos bens imóveis de uso especial da União, autarquias e fundações públicas federais são:</w:t>
      </w:r>
    </w:p>
    <w:p w14:paraId="55D79EEF"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 – </w:t>
      </w:r>
      <w:r w:rsidR="00D84268" w:rsidRPr="00533035">
        <w:rPr>
          <w:rFonts w:ascii="Arial" w:eastAsia="Arial Unicode MS" w:hAnsi="Arial" w:cs="Arial"/>
          <w:sz w:val="20"/>
          <w:szCs w:val="20"/>
        </w:rPr>
        <w:t>A</w:t>
      </w:r>
      <w:r w:rsidRPr="00533035">
        <w:rPr>
          <w:rFonts w:ascii="Arial" w:eastAsia="Arial Unicode MS" w:hAnsi="Arial" w:cs="Arial"/>
          <w:sz w:val="20"/>
          <w:szCs w:val="20"/>
        </w:rPr>
        <w:t>tualizados sistematicamente, a cada ano, na data base de 31 de dezembro, independentemente da classificação;</w:t>
      </w:r>
    </w:p>
    <w:p w14:paraId="4BF926C4"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II – </w:t>
      </w:r>
      <w:r w:rsidR="00D84268" w:rsidRPr="00533035">
        <w:rPr>
          <w:rFonts w:ascii="Arial" w:eastAsia="Arial Unicode MS" w:hAnsi="Arial" w:cs="Arial"/>
          <w:sz w:val="20"/>
          <w:szCs w:val="20"/>
        </w:rPr>
        <w:t>R</w:t>
      </w:r>
      <w:r w:rsidRPr="00533035">
        <w:rPr>
          <w:rFonts w:ascii="Arial" w:eastAsia="Arial Unicode MS" w:hAnsi="Arial" w:cs="Arial"/>
          <w:sz w:val="20"/>
          <w:szCs w:val="20"/>
        </w:rPr>
        <w:t>eavaliados, aqueles nos quais:</w:t>
      </w:r>
    </w:p>
    <w:p w14:paraId="30511548"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aplicado, a título de benfeitoria, valor percentual igual ou superior ao estipulado pela SPU;</w:t>
      </w:r>
    </w:p>
    <w:p w14:paraId="31AA2A19"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H</w:t>
      </w:r>
      <w:r w:rsidR="00FF2AB6" w:rsidRPr="00533035">
        <w:rPr>
          <w:rFonts w:ascii="Arial" w:eastAsia="Arial Unicode MS" w:hAnsi="Arial" w:cs="Arial"/>
          <w:sz w:val="20"/>
          <w:szCs w:val="20"/>
        </w:rPr>
        <w:t>ouver alteração de área construída, independentemente do valor investido;</w:t>
      </w:r>
    </w:p>
    <w:p w14:paraId="681DCABC" w14:textId="77777777" w:rsidR="00FF2AB6" w:rsidRPr="00533035" w:rsidRDefault="00D84268" w:rsidP="00D84268">
      <w:pPr>
        <w:pStyle w:val="PargrafodaLista"/>
        <w:numPr>
          <w:ilvl w:val="0"/>
          <w:numId w:val="4"/>
        </w:numPr>
        <w:spacing w:after="40"/>
        <w:rPr>
          <w:rFonts w:ascii="Arial" w:eastAsia="Arial Unicode MS" w:hAnsi="Arial" w:cs="Arial"/>
          <w:sz w:val="20"/>
          <w:szCs w:val="20"/>
        </w:rPr>
      </w:pPr>
      <w:r w:rsidRPr="00533035">
        <w:rPr>
          <w:rFonts w:ascii="Arial" w:eastAsia="Arial Unicode MS" w:hAnsi="Arial" w:cs="Arial"/>
          <w:sz w:val="20"/>
          <w:szCs w:val="20"/>
        </w:rPr>
        <w:t>S</w:t>
      </w:r>
      <w:r w:rsidR="00FF2AB6" w:rsidRPr="00533035">
        <w:rPr>
          <w:rFonts w:ascii="Arial" w:eastAsia="Arial Unicode MS" w:hAnsi="Arial" w:cs="Arial"/>
          <w:sz w:val="20"/>
          <w:szCs w:val="20"/>
        </w:rPr>
        <w:t>eja comprovada a ocorrência de quaisquer sinistros, tais como incêndio, desmoronamento, desabamento, arruinamento, dentre outros.</w:t>
      </w:r>
    </w:p>
    <w:p w14:paraId="59F77D57" w14:textId="77777777" w:rsidR="00FF2AB6"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O valor depreciado dos bens imóveis da União, autarquias e fundações públicas federais é apurado mensal e automaticamente pelo sistema SPIUnet sobre o valor depreciável da acessão, utilizando-se, para tanto, o Método da Parábola de Kuentzle, expressa na seguinte equação:</w:t>
      </w:r>
    </w:p>
    <w:p w14:paraId="069053CB"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538135" w:themeColor="accent6" w:themeShade="BF"/>
          <w:sz w:val="20"/>
          <w:szCs w:val="20"/>
        </w:rPr>
        <w:t>Kd = (n2 – x2) / n2</w:t>
      </w:r>
      <w:r w:rsidRPr="00533035">
        <w:rPr>
          <w:rFonts w:ascii="Arial" w:eastAsia="Arial Unicode MS" w:hAnsi="Arial" w:cs="Arial"/>
          <w:sz w:val="20"/>
          <w:szCs w:val="20"/>
        </w:rPr>
        <w:t>, onde:</w:t>
      </w:r>
    </w:p>
    <w:p w14:paraId="69EB3669"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Kd =</w:t>
      </w:r>
      <w:r w:rsidRPr="00533035">
        <w:rPr>
          <w:rFonts w:ascii="Arial" w:eastAsia="Arial Unicode MS" w:hAnsi="Arial" w:cs="Arial"/>
          <w:b/>
          <w:color w:val="C45911" w:themeColor="accent2" w:themeShade="BF"/>
          <w:sz w:val="20"/>
          <w:szCs w:val="20"/>
        </w:rPr>
        <w:t xml:space="preserve"> coeficiente de depreciação</w:t>
      </w:r>
    </w:p>
    <w:p w14:paraId="7F9345AA" w14:textId="77777777" w:rsidR="00FF2AB6" w:rsidRPr="00533035" w:rsidRDefault="00FF2AB6" w:rsidP="00D84268">
      <w:pPr>
        <w:spacing w:after="40"/>
        <w:jc w:val="center"/>
        <w:rPr>
          <w:rFonts w:ascii="Arial" w:eastAsia="Arial Unicode MS" w:hAnsi="Arial" w:cs="Arial"/>
          <w:b/>
          <w:color w:val="C45911" w:themeColor="accent2" w:themeShade="BF"/>
          <w:sz w:val="20"/>
          <w:szCs w:val="20"/>
        </w:rPr>
      </w:pPr>
      <w:r w:rsidRPr="00533035">
        <w:rPr>
          <w:rFonts w:ascii="Arial" w:eastAsia="Arial Unicode MS" w:hAnsi="Arial" w:cs="Arial"/>
          <w:b/>
          <w:color w:val="ED7D31" w:themeColor="accent2"/>
          <w:sz w:val="20"/>
          <w:szCs w:val="20"/>
        </w:rPr>
        <w:t>N =</w:t>
      </w:r>
      <w:r w:rsidRPr="00533035">
        <w:rPr>
          <w:rFonts w:ascii="Arial" w:eastAsia="Arial Unicode MS" w:hAnsi="Arial" w:cs="Arial"/>
          <w:b/>
          <w:color w:val="C45911" w:themeColor="accent2" w:themeShade="BF"/>
          <w:sz w:val="20"/>
          <w:szCs w:val="20"/>
        </w:rPr>
        <w:t xml:space="preserve"> vida útil da acessão</w:t>
      </w:r>
    </w:p>
    <w:p w14:paraId="4FE47DB2" w14:textId="77777777" w:rsidR="00FF2AB6" w:rsidRPr="00533035" w:rsidRDefault="00FF2AB6" w:rsidP="00D84268">
      <w:pPr>
        <w:spacing w:after="40"/>
        <w:jc w:val="center"/>
        <w:rPr>
          <w:rFonts w:ascii="Arial" w:eastAsia="Arial Unicode MS" w:hAnsi="Arial" w:cs="Arial"/>
          <w:sz w:val="20"/>
          <w:szCs w:val="20"/>
        </w:rPr>
      </w:pPr>
      <w:r w:rsidRPr="00533035">
        <w:rPr>
          <w:rFonts w:ascii="Arial" w:eastAsia="Arial Unicode MS" w:hAnsi="Arial" w:cs="Arial"/>
          <w:b/>
          <w:color w:val="ED7D31" w:themeColor="accent2"/>
          <w:sz w:val="20"/>
          <w:szCs w:val="20"/>
        </w:rPr>
        <w:t>X =</w:t>
      </w:r>
      <w:r w:rsidRPr="00533035">
        <w:rPr>
          <w:rFonts w:ascii="Arial" w:eastAsia="Arial Unicode MS" w:hAnsi="Arial" w:cs="Arial"/>
          <w:b/>
          <w:color w:val="C45911" w:themeColor="accent2" w:themeShade="BF"/>
          <w:sz w:val="20"/>
          <w:szCs w:val="20"/>
        </w:rPr>
        <w:t xml:space="preserve"> vida útil transcorrida da acessão</w:t>
      </w:r>
    </w:p>
    <w:p w14:paraId="0BB70815" w14:textId="77777777" w:rsidR="007D6891" w:rsidRPr="00533035" w:rsidRDefault="00FF2AB6" w:rsidP="00FF2AB6">
      <w:pPr>
        <w:spacing w:after="40"/>
        <w:rPr>
          <w:rFonts w:ascii="Arial" w:eastAsia="Arial Unicode MS" w:hAnsi="Arial" w:cs="Arial"/>
          <w:sz w:val="20"/>
          <w:szCs w:val="20"/>
        </w:rPr>
      </w:pPr>
      <w:r w:rsidRPr="00533035">
        <w:rPr>
          <w:rFonts w:ascii="Arial" w:eastAsia="Arial Unicode MS" w:hAnsi="Arial" w:cs="Arial"/>
          <w:sz w:val="20"/>
          <w:szCs w:val="20"/>
        </w:rPr>
        <w:t xml:space="preserve">Para fins da depreciação, a vida útil é definida com base no laudo de avaliação específico ou, na sua ausência, por parâmetros predefinidos pela SPU segundo </w:t>
      </w:r>
      <w:r w:rsidRPr="00533035">
        <w:rPr>
          <w:rFonts w:ascii="Arial" w:eastAsia="Arial Unicode MS" w:hAnsi="Arial" w:cs="Arial"/>
          <w:sz w:val="20"/>
          <w:szCs w:val="20"/>
        </w:rPr>
        <w:lastRenderedPageBreak/>
        <w:t>a natureza e as características dos bens imóveis. Nos casos de bens reavaliados, independentemente do fundamento, a depreciação acumulada é zerada e reiniciada a partir do novo valor. O valor residual é estabelecido pela STN e comunicado à SPU.</w:t>
      </w:r>
    </w:p>
    <w:p w14:paraId="07BDCF1F"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Passivos</w:t>
      </w:r>
    </w:p>
    <w:p w14:paraId="17BF824D"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obrigações são evidenciadas por valores conhecidos ou calculáveis, acrescidos, quando aplicável, dos correspondentes encargos das variações monetárias e cambiais ocorridas até a data das demonstrações contábeis.</w:t>
      </w:r>
    </w:p>
    <w:p w14:paraId="28F673A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Os passivos circulante e não circulante apresentam a seguinte divisão: (i) obrigações trabalhistas, previdenciárias e assistenciais; (ii) empréstimos e financiamentos; (iii) fornecedores e contas a pagar; (iv) obrigações fiscais; (v) obrigações de repartições a outros entes; (vi) provisões; e (vii) demais obrigações.</w:t>
      </w:r>
    </w:p>
    <w:p w14:paraId="11BEAF0C" w14:textId="77777777" w:rsidR="0064731A" w:rsidRPr="00533035" w:rsidRDefault="0064731A" w:rsidP="0064731A">
      <w:pPr>
        <w:spacing w:after="40"/>
        <w:rPr>
          <w:rFonts w:ascii="Arial" w:eastAsia="Arial Unicode MS" w:hAnsi="Arial" w:cs="Arial"/>
          <w:b/>
          <w:sz w:val="20"/>
          <w:szCs w:val="20"/>
          <w:u w:val="thick" w:color="F4B083" w:themeColor="accent2" w:themeTint="99"/>
        </w:rPr>
      </w:pPr>
      <w:r w:rsidRPr="00533035">
        <w:rPr>
          <w:rFonts w:ascii="Arial" w:eastAsia="Arial Unicode MS" w:hAnsi="Arial" w:cs="Arial"/>
          <w:b/>
          <w:sz w:val="20"/>
          <w:szCs w:val="20"/>
          <w:u w:val="thick" w:color="F4B083" w:themeColor="accent2" w:themeTint="99"/>
        </w:rPr>
        <w:t>Apuração do Resultado</w:t>
      </w:r>
    </w:p>
    <w:p w14:paraId="5B4E24B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No modelo de contabilidade aplicada ao setor público, é possível a apuração dos seguintes resultados:</w:t>
      </w:r>
    </w:p>
    <w:p w14:paraId="5FE46E81"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noProof/>
          <w:sz w:val="20"/>
          <w:szCs w:val="20"/>
          <w:lang w:eastAsia="pt-BR"/>
        </w:rPr>
        <w:drawing>
          <wp:inline distT="0" distB="0" distL="0" distR="0" wp14:anchorId="7E08FE5A" wp14:editId="3A12AED1">
            <wp:extent cx="3086100" cy="276225"/>
            <wp:effectExtent l="19050" t="0" r="19050" b="4762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97030C4"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patrimonial</w:t>
      </w:r>
    </w:p>
    <w:p w14:paraId="400BAA3E"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patrimonial implica a confrontação das variações patrimoniais aumentativas (VPA) e das variações patrimoniais diminutivas (VPD).</w:t>
      </w:r>
    </w:p>
    <w:p w14:paraId="1A8EDA9A"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VPA são reconhecidas quando for provável que benefícios econômicos fluirão e quando puderem ser mensuradas confiavelmente, utilizando-se a lógica do regime de competência. A exceção se refere às receitas tributárias e às transferências recebidas, que seguem a lógica do regime de caixa, o que é permitido de acordo com a contabilidade aplicada ao setor público.</w:t>
      </w:r>
    </w:p>
    <w:p w14:paraId="756503C2"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As VPD são reconhecidas quando for provável que ocorrerá decréscimos nos benefícios econômicos para a União, implicando em saída de recursos ou em redução de ativos ou na assunção de passivos, seguindo a lógica do regime de competência. A exceção se refere às despesas oriundas da restituição de receitas tributárias e às transferências concedidas, que seguem a lógica do regime de caixa, o que é permitido de acordo com o modelo PCASP.</w:t>
      </w:r>
    </w:p>
    <w:p w14:paraId="3F4E240F"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Superavit/Deficit do Exercício. O detalhamento do confronto entre VPA e VPD é apresentado na Demonstração das Variações Patrimoniais.</w:t>
      </w:r>
    </w:p>
    <w:p w14:paraId="33CA3395"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orçamentário</w:t>
      </w:r>
    </w:p>
    <w:p w14:paraId="6F29B6B0"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regime orçamentário da União segue o descrito no art. 35 da Lei nº 4.320/1964. Desse modo, pertencem ao exercício financeiro as receitas nele arrecadadas e as despesas nele legalmente empenhadas.</w:t>
      </w:r>
    </w:p>
    <w:p w14:paraId="2E527CC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orçamentário representa o confronto entre as receitas orçamentárias realizadas e as despesas orçamentárias empenhadas. O superavit/deficit é apresentado diretamente no Balanço Orçamentário.</w:t>
      </w:r>
    </w:p>
    <w:p w14:paraId="2D8A3F27" w14:textId="77777777" w:rsidR="0064731A" w:rsidRPr="00533035" w:rsidRDefault="0064731A" w:rsidP="0064731A">
      <w:pPr>
        <w:spacing w:after="40"/>
        <w:rPr>
          <w:rFonts w:ascii="Arial" w:eastAsia="Arial Unicode MS" w:hAnsi="Arial" w:cs="Arial"/>
          <w:b/>
          <w:sz w:val="20"/>
          <w:szCs w:val="20"/>
        </w:rPr>
      </w:pPr>
      <w:r w:rsidRPr="00533035">
        <w:rPr>
          <w:rFonts w:ascii="Arial" w:eastAsia="Arial Unicode MS" w:hAnsi="Arial" w:cs="Arial"/>
          <w:b/>
          <w:sz w:val="20"/>
          <w:szCs w:val="20"/>
        </w:rPr>
        <w:t>Resultado financeiro</w:t>
      </w:r>
    </w:p>
    <w:p w14:paraId="2BA598FB" w14:textId="77777777" w:rsidR="0064731A" w:rsidRPr="00533035" w:rsidRDefault="0064731A" w:rsidP="0064731A">
      <w:pPr>
        <w:spacing w:after="40"/>
        <w:rPr>
          <w:rFonts w:ascii="Arial" w:eastAsia="Arial Unicode MS" w:hAnsi="Arial" w:cs="Arial"/>
          <w:sz w:val="20"/>
          <w:szCs w:val="20"/>
        </w:rPr>
      </w:pPr>
      <w:r w:rsidRPr="00533035">
        <w:rPr>
          <w:rFonts w:ascii="Arial" w:eastAsia="Arial Unicode MS" w:hAnsi="Arial" w:cs="Arial"/>
          <w:sz w:val="20"/>
          <w:szCs w:val="20"/>
        </w:rPr>
        <w:t>O resultado financeiro representa o confronto entre ingressos e dispêndios, orçamentários e extra orçamentários, que ocorreram durante o exercício e alteraram as disponibilidades da União.</w:t>
      </w:r>
    </w:p>
    <w:p w14:paraId="418C2676" w14:textId="3A5D8AA5" w:rsidR="00E40488" w:rsidRDefault="0064731A" w:rsidP="004F53A5">
      <w:pPr>
        <w:spacing w:after="40"/>
        <w:rPr>
          <w:rFonts w:ascii="Arial" w:eastAsia="Arial Unicode MS" w:hAnsi="Arial" w:cs="Arial"/>
          <w:sz w:val="20"/>
          <w:szCs w:val="20"/>
        </w:rPr>
      </w:pPr>
      <w:r w:rsidRPr="00533035">
        <w:rPr>
          <w:rFonts w:ascii="Arial" w:eastAsia="Arial Unicode MS" w:hAnsi="Arial" w:cs="Arial"/>
          <w:sz w:val="20"/>
          <w:szCs w:val="20"/>
        </w:rPr>
        <w:t>No Balanço Financeiro, é possível identificar a apuração do resultado financeiro. Em função das particularidades da União, pela observância do princípio de caixa único, é possível, também, verificar o resultado financeiro na Demonstração dos Fluxos de Caixa.</w:t>
      </w:r>
    </w:p>
    <w:p w14:paraId="319CA36D" w14:textId="031D6B74" w:rsidR="003750CE" w:rsidRDefault="003750CE" w:rsidP="004F53A5">
      <w:pPr>
        <w:spacing w:after="40"/>
        <w:rPr>
          <w:rFonts w:ascii="Arial" w:eastAsia="Arial Unicode MS" w:hAnsi="Arial" w:cs="Arial"/>
          <w:sz w:val="20"/>
          <w:szCs w:val="20"/>
        </w:rPr>
      </w:pPr>
    </w:p>
    <w:p w14:paraId="1AAFFB83" w14:textId="77777777" w:rsidR="003750CE" w:rsidRDefault="003750CE" w:rsidP="004F53A5">
      <w:pPr>
        <w:spacing w:after="40"/>
        <w:rPr>
          <w:rFonts w:ascii="Arial" w:eastAsia="Arial Unicode MS" w:hAnsi="Arial" w:cs="Arial"/>
          <w:sz w:val="20"/>
          <w:szCs w:val="20"/>
        </w:rPr>
        <w:sectPr w:rsidR="003750CE" w:rsidSect="00E40488">
          <w:type w:val="continuous"/>
          <w:pgSz w:w="16838" w:h="11906" w:orient="landscape"/>
          <w:pgMar w:top="1021" w:right="851" w:bottom="1021" w:left="851" w:header="709" w:footer="0" w:gutter="0"/>
          <w:cols w:num="2" w:space="708"/>
          <w:docGrid w:linePitch="360"/>
        </w:sectPr>
      </w:pPr>
    </w:p>
    <w:p w14:paraId="64EAF1A6" w14:textId="52E54B72" w:rsidR="00006B51" w:rsidRPr="00533035" w:rsidRDefault="00006B51" w:rsidP="004F53A5">
      <w:pPr>
        <w:spacing w:after="40"/>
        <w:rPr>
          <w:rFonts w:ascii="Arial" w:eastAsia="Arial Unicode MS" w:hAnsi="Arial" w:cs="Arial"/>
          <w:sz w:val="20"/>
          <w:szCs w:val="20"/>
        </w:rPr>
      </w:pPr>
    </w:p>
    <w:p w14:paraId="24454F63" w14:textId="77777777" w:rsidR="00006B51" w:rsidRPr="00533035" w:rsidRDefault="00006B51" w:rsidP="004F53A5">
      <w:pPr>
        <w:spacing w:after="40"/>
        <w:rPr>
          <w:rFonts w:ascii="Arial" w:eastAsia="Arial Unicode MS" w:hAnsi="Arial" w:cs="Arial"/>
          <w:sz w:val="20"/>
          <w:szCs w:val="20"/>
        </w:rPr>
      </w:pPr>
    </w:p>
    <w:p w14:paraId="120359E4" w14:textId="77777777" w:rsidR="00006B51" w:rsidRPr="00533035" w:rsidRDefault="00006B51" w:rsidP="004F53A5">
      <w:pPr>
        <w:spacing w:after="40"/>
        <w:rPr>
          <w:rFonts w:ascii="Arial" w:eastAsia="Arial Unicode MS" w:hAnsi="Arial" w:cs="Arial"/>
          <w:sz w:val="20"/>
          <w:szCs w:val="20"/>
        </w:rPr>
      </w:pPr>
    </w:p>
    <w:p w14:paraId="259C39E6" w14:textId="77777777" w:rsidR="00006B51" w:rsidRPr="00533035" w:rsidRDefault="00006B51" w:rsidP="004F53A5">
      <w:pPr>
        <w:spacing w:after="40"/>
        <w:rPr>
          <w:rFonts w:ascii="Arial" w:eastAsia="Arial Unicode MS" w:hAnsi="Arial" w:cs="Arial"/>
          <w:sz w:val="20"/>
          <w:szCs w:val="20"/>
        </w:rPr>
      </w:pPr>
    </w:p>
    <w:p w14:paraId="7565FDA0" w14:textId="77777777" w:rsidR="00006B51" w:rsidRPr="00533035" w:rsidRDefault="00006B51" w:rsidP="004F53A5">
      <w:pPr>
        <w:spacing w:after="40"/>
        <w:rPr>
          <w:rFonts w:ascii="Arial" w:eastAsia="Arial Unicode MS" w:hAnsi="Arial" w:cs="Arial"/>
          <w:sz w:val="20"/>
          <w:szCs w:val="20"/>
        </w:rPr>
      </w:pPr>
    </w:p>
    <w:p w14:paraId="64BFD17E" w14:textId="77777777" w:rsidR="00006B51" w:rsidRPr="00533035" w:rsidRDefault="00006B51" w:rsidP="004F53A5">
      <w:pPr>
        <w:spacing w:after="40"/>
        <w:rPr>
          <w:rFonts w:ascii="Arial" w:eastAsia="Arial Unicode MS" w:hAnsi="Arial" w:cs="Arial"/>
          <w:sz w:val="20"/>
          <w:szCs w:val="20"/>
        </w:rPr>
      </w:pPr>
    </w:p>
    <w:p w14:paraId="2DD4BE0B" w14:textId="77777777" w:rsidR="001F7B7F" w:rsidRPr="00533035" w:rsidRDefault="001F7B7F" w:rsidP="004F53A5">
      <w:pPr>
        <w:spacing w:after="40"/>
        <w:rPr>
          <w:rFonts w:ascii="Arial" w:eastAsia="Arial Unicode MS" w:hAnsi="Arial" w:cs="Arial"/>
          <w:sz w:val="20"/>
          <w:szCs w:val="20"/>
        </w:rPr>
      </w:pPr>
    </w:p>
    <w:p w14:paraId="713C72EA" w14:textId="77777777" w:rsidR="00E40488" w:rsidRDefault="00E40488" w:rsidP="001F7B7F">
      <w:pPr>
        <w:spacing w:after="240"/>
        <w:ind w:firstLine="993"/>
        <w:rPr>
          <w:rFonts w:ascii="Arial" w:eastAsia="Arial Unicode MS" w:hAnsi="Arial" w:cs="Arial"/>
          <w:b/>
          <w:color w:val="009999"/>
          <w:sz w:val="36"/>
          <w:szCs w:val="36"/>
        </w:rPr>
        <w:sectPr w:rsidR="00E40488" w:rsidSect="009C1E3A">
          <w:type w:val="continuous"/>
          <w:pgSz w:w="16838" w:h="11906" w:orient="landscape"/>
          <w:pgMar w:top="1021" w:right="851" w:bottom="1021" w:left="851" w:header="709" w:footer="0" w:gutter="0"/>
          <w:cols w:space="708"/>
          <w:docGrid w:linePitch="360"/>
        </w:sectPr>
      </w:pPr>
    </w:p>
    <w:p w14:paraId="558B7BB8" w14:textId="78D3D26C" w:rsidR="001F7B7F" w:rsidRPr="00533035" w:rsidRDefault="001F7B7F" w:rsidP="00E40488">
      <w:pPr>
        <w:spacing w:after="240"/>
        <w:rPr>
          <w:rFonts w:ascii="Arial" w:eastAsia="Arial Unicode MS" w:hAnsi="Arial" w:cs="Arial"/>
          <w:b/>
          <w:color w:val="009999"/>
          <w:sz w:val="36"/>
          <w:szCs w:val="36"/>
        </w:rPr>
      </w:pPr>
      <w:r w:rsidRPr="00533035">
        <w:rPr>
          <w:rFonts w:ascii="Arial" w:eastAsia="Arial Unicode MS" w:hAnsi="Arial" w:cs="Arial"/>
          <w:b/>
          <w:color w:val="009999"/>
          <w:sz w:val="36"/>
          <w:szCs w:val="36"/>
        </w:rPr>
        <w:lastRenderedPageBreak/>
        <w:t>Notas explicativas das Demonstrações Contábeis</w:t>
      </w:r>
    </w:p>
    <w:p w14:paraId="631625DF" w14:textId="77777777" w:rsidR="001F7B7F" w:rsidRPr="00533035" w:rsidRDefault="001F7B7F" w:rsidP="001F7B7F">
      <w:pPr>
        <w:spacing w:after="240"/>
        <w:ind w:firstLine="284"/>
        <w:rPr>
          <w:rFonts w:ascii="Arial" w:eastAsia="Arial Unicode MS" w:hAnsi="Arial" w:cs="Arial"/>
          <w:b/>
          <w:sz w:val="24"/>
          <w:szCs w:val="24"/>
        </w:rPr>
      </w:pPr>
      <w:r w:rsidRPr="00533035">
        <w:rPr>
          <w:rFonts w:ascii="Arial" w:eastAsia="Arial Unicode MS" w:hAnsi="Arial" w:cs="Arial"/>
          <w:b/>
          <w:color w:val="C45911" w:themeColor="accent2" w:themeShade="BF"/>
          <w:sz w:val="24"/>
          <w:szCs w:val="24"/>
        </w:rPr>
        <w:t>Nota 1 – Caixa e Equivalente de Caixa</w:t>
      </w:r>
    </w:p>
    <w:p w14:paraId="63B7C8A8" w14:textId="77777777" w:rsidR="00756B26" w:rsidRPr="00533035" w:rsidRDefault="00837429" w:rsidP="004F53A5">
      <w:pPr>
        <w:spacing w:after="40"/>
        <w:rPr>
          <w:rFonts w:ascii="Arial" w:eastAsia="Arial Unicode MS" w:hAnsi="Arial" w:cs="Arial"/>
          <w:sz w:val="20"/>
          <w:szCs w:val="20"/>
        </w:rPr>
      </w:pPr>
      <w:r>
        <w:rPr>
          <w:rFonts w:ascii="Arial" w:eastAsia="Arial Unicode MS" w:hAnsi="Arial" w:cs="Arial"/>
          <w:sz w:val="20"/>
          <w:szCs w:val="20"/>
        </w:rPr>
        <w:t>O item Caixa e E</w:t>
      </w:r>
      <w:r w:rsidR="001F7B7F" w:rsidRPr="00533035">
        <w:rPr>
          <w:rFonts w:ascii="Arial" w:eastAsia="Arial Unicode MS" w:hAnsi="Arial" w:cs="Arial"/>
          <w:sz w:val="20"/>
          <w:szCs w:val="20"/>
        </w:rPr>
        <w:t>quivalentes de Caixa compreende o somatório dos valores disponíveis na Conta Única do Tesouro e em outros bancos, bem como equivalentes, que representam recursos com livre movimentação para aplicação nas operações da entidade e para os quais não haja restrições para uso imediato.</w:t>
      </w:r>
    </w:p>
    <w:p w14:paraId="1C99BD69" w14:textId="77777777" w:rsidR="001F7B7F" w:rsidRPr="00533035" w:rsidRDefault="00F86480" w:rsidP="004F53A5">
      <w:pPr>
        <w:spacing w:after="40"/>
        <w:rPr>
          <w:rFonts w:ascii="Arial" w:eastAsia="Arial Unicode MS" w:hAnsi="Arial" w:cs="Arial"/>
          <w:sz w:val="20"/>
          <w:szCs w:val="20"/>
        </w:rPr>
      </w:pPr>
      <w:r w:rsidRPr="00533035">
        <w:rPr>
          <w:rFonts w:ascii="Arial" w:eastAsia="Arial Unicode MS" w:hAnsi="Arial" w:cs="Arial"/>
          <w:sz w:val="20"/>
          <w:szCs w:val="20"/>
        </w:rPr>
        <w:t>Esse título se subdivide em Bancos Conta Movimento – Demais Contas, que se referem aos depósitos em garantia de execução dos contratos pactuados com o IFRS, na modalidade caução, e</w:t>
      </w:r>
      <w:r w:rsidR="00856772" w:rsidRPr="00533035">
        <w:rPr>
          <w:rFonts w:ascii="Arial" w:eastAsia="Arial Unicode MS" w:hAnsi="Arial" w:cs="Arial"/>
          <w:sz w:val="20"/>
          <w:szCs w:val="20"/>
        </w:rPr>
        <w:t>,</w:t>
      </w:r>
      <w:r w:rsidRPr="00533035">
        <w:rPr>
          <w:rFonts w:ascii="Arial" w:eastAsia="Arial Unicode MS" w:hAnsi="Arial" w:cs="Arial"/>
          <w:sz w:val="20"/>
          <w:szCs w:val="20"/>
        </w:rPr>
        <w:t xml:space="preserve"> Recursos Liberados pelo Tesouro, que representam o valor disponível para saque da Conta Única do Tesouro Nacional, estabelecido pelo Órgão Central de Programação Financeira ou arrecadação direta, para atender despesas com vinculação espec</w:t>
      </w:r>
      <w:r w:rsidR="001744D2" w:rsidRPr="00533035">
        <w:rPr>
          <w:rFonts w:ascii="Arial" w:eastAsia="Arial Unicode MS" w:hAnsi="Arial" w:cs="Arial"/>
          <w:sz w:val="20"/>
          <w:szCs w:val="20"/>
        </w:rPr>
        <w:t>ífica de pagamento.</w:t>
      </w:r>
      <w:r w:rsidR="00856772" w:rsidRPr="00533035">
        <w:rPr>
          <w:rFonts w:ascii="Arial" w:eastAsia="Arial Unicode MS" w:hAnsi="Arial" w:cs="Arial"/>
          <w:sz w:val="20"/>
          <w:szCs w:val="20"/>
        </w:rPr>
        <w:t xml:space="preserve"> </w:t>
      </w:r>
      <w:r w:rsidR="006310EB">
        <w:rPr>
          <w:rFonts w:ascii="Arial" w:eastAsia="Arial Unicode MS" w:hAnsi="Arial" w:cs="Arial"/>
          <w:sz w:val="20"/>
          <w:szCs w:val="20"/>
        </w:rPr>
        <w:t>O</w:t>
      </w:r>
      <w:r w:rsidR="00856772" w:rsidRPr="00533035">
        <w:rPr>
          <w:rFonts w:ascii="Arial" w:eastAsia="Arial Unicode MS" w:hAnsi="Arial" w:cs="Arial"/>
          <w:sz w:val="20"/>
          <w:szCs w:val="20"/>
        </w:rPr>
        <w:t xml:space="preserve">s valores relativos aos Recursos Liberados pelo Tesouro </w:t>
      </w:r>
      <w:r w:rsidR="006310EB">
        <w:rPr>
          <w:rFonts w:ascii="Arial" w:eastAsia="Arial Unicode MS" w:hAnsi="Arial" w:cs="Arial"/>
          <w:sz w:val="20"/>
          <w:szCs w:val="20"/>
        </w:rPr>
        <w:t>evidenciam</w:t>
      </w:r>
      <w:r w:rsidR="00856772" w:rsidRPr="00533035">
        <w:rPr>
          <w:rFonts w:ascii="Arial" w:eastAsia="Arial Unicode MS" w:hAnsi="Arial" w:cs="Arial"/>
          <w:sz w:val="20"/>
          <w:szCs w:val="20"/>
        </w:rPr>
        <w:t xml:space="preserve"> um aumento de R$ 28,</w:t>
      </w:r>
      <w:r w:rsidR="006310EB">
        <w:rPr>
          <w:rFonts w:ascii="Arial" w:eastAsia="Arial Unicode MS" w:hAnsi="Arial" w:cs="Arial"/>
          <w:sz w:val="20"/>
          <w:szCs w:val="20"/>
        </w:rPr>
        <w:t>8</w:t>
      </w:r>
      <w:r w:rsidR="00856772" w:rsidRPr="00533035">
        <w:rPr>
          <w:rFonts w:ascii="Arial" w:eastAsia="Arial Unicode MS" w:hAnsi="Arial" w:cs="Arial"/>
          <w:sz w:val="20"/>
          <w:szCs w:val="20"/>
        </w:rPr>
        <w:t xml:space="preserve"> milhões </w:t>
      </w:r>
      <w:r w:rsidR="006310EB">
        <w:rPr>
          <w:rFonts w:ascii="Arial" w:eastAsia="Arial Unicode MS" w:hAnsi="Arial" w:cs="Arial"/>
          <w:sz w:val="20"/>
          <w:szCs w:val="20"/>
        </w:rPr>
        <w:t>no primeiro trimestre de 2019</w:t>
      </w:r>
      <w:r w:rsidR="00856772" w:rsidRPr="00533035">
        <w:rPr>
          <w:rFonts w:ascii="Arial" w:eastAsia="Arial Unicode MS" w:hAnsi="Arial" w:cs="Arial"/>
          <w:sz w:val="20"/>
          <w:szCs w:val="20"/>
        </w:rPr>
        <w:t xml:space="preserve">, fruto </w:t>
      </w:r>
      <w:r w:rsidR="006310EB">
        <w:rPr>
          <w:rFonts w:ascii="Arial" w:eastAsia="Arial Unicode MS" w:hAnsi="Arial" w:cs="Arial"/>
          <w:sz w:val="20"/>
          <w:szCs w:val="20"/>
        </w:rPr>
        <w:t>do pagamento</w:t>
      </w:r>
      <w:r w:rsidR="00856772" w:rsidRPr="00533035">
        <w:rPr>
          <w:rFonts w:ascii="Arial" w:eastAsia="Arial Unicode MS" w:hAnsi="Arial" w:cs="Arial"/>
          <w:sz w:val="20"/>
          <w:szCs w:val="20"/>
        </w:rPr>
        <w:t xml:space="preserve"> da folha de </w:t>
      </w:r>
      <w:r w:rsidR="006310EB">
        <w:rPr>
          <w:rFonts w:ascii="Arial" w:eastAsia="Arial Unicode MS" w:hAnsi="Arial" w:cs="Arial"/>
          <w:sz w:val="20"/>
          <w:szCs w:val="20"/>
        </w:rPr>
        <w:t>pessoal</w:t>
      </w:r>
      <w:r w:rsidR="00856772" w:rsidRPr="00533035">
        <w:rPr>
          <w:rFonts w:ascii="Arial" w:eastAsia="Arial Unicode MS" w:hAnsi="Arial" w:cs="Arial"/>
          <w:sz w:val="20"/>
          <w:szCs w:val="20"/>
        </w:rPr>
        <w:t xml:space="preserve"> que, ao contrário do mesmo período de 201</w:t>
      </w:r>
      <w:r w:rsidR="006310EB">
        <w:rPr>
          <w:rFonts w:ascii="Arial" w:eastAsia="Arial Unicode MS" w:hAnsi="Arial" w:cs="Arial"/>
          <w:sz w:val="20"/>
          <w:szCs w:val="20"/>
        </w:rPr>
        <w:t>8</w:t>
      </w:r>
      <w:r w:rsidR="00856772" w:rsidRPr="00533035">
        <w:rPr>
          <w:rFonts w:ascii="Arial" w:eastAsia="Arial Unicode MS" w:hAnsi="Arial" w:cs="Arial"/>
          <w:sz w:val="20"/>
          <w:szCs w:val="20"/>
        </w:rPr>
        <w:t>, ocorreu no mês subsequente.</w:t>
      </w:r>
    </w:p>
    <w:p w14:paraId="51041998" w14:textId="77777777" w:rsidR="00837429" w:rsidRDefault="009C0F56" w:rsidP="004F53A5">
      <w:pPr>
        <w:spacing w:after="40"/>
        <w:rPr>
          <w:rFonts w:ascii="Arial" w:eastAsia="Arial Unicode MS" w:hAnsi="Arial" w:cs="Arial"/>
          <w:sz w:val="20"/>
          <w:szCs w:val="20"/>
        </w:rPr>
      </w:pPr>
      <w:r w:rsidRPr="009C0F56">
        <w:rPr>
          <w:noProof/>
          <w:lang w:eastAsia="pt-BR"/>
        </w:rPr>
        <w:drawing>
          <wp:inline distT="0" distB="0" distL="0" distR="0" wp14:anchorId="79C965F5" wp14:editId="7C6DC809">
            <wp:extent cx="5172075" cy="1555304"/>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14925" cy="1568190"/>
                    </a:xfrm>
                    <a:prstGeom prst="rect">
                      <a:avLst/>
                    </a:prstGeom>
                    <a:noFill/>
                    <a:ln>
                      <a:noFill/>
                    </a:ln>
                  </pic:spPr>
                </pic:pic>
              </a:graphicData>
            </a:graphic>
          </wp:inline>
        </w:drawing>
      </w:r>
    </w:p>
    <w:p w14:paraId="0B6DA54C" w14:textId="77777777" w:rsidR="00867F88" w:rsidRPr="00533035" w:rsidRDefault="00867F88" w:rsidP="00AA7EC7">
      <w:pPr>
        <w:spacing w:after="240"/>
        <w:ind w:firstLine="284"/>
        <w:rPr>
          <w:rFonts w:ascii="Arial" w:eastAsia="Arial Unicode MS" w:hAnsi="Arial" w:cs="Arial"/>
          <w:b/>
          <w:color w:val="C45911" w:themeColor="accent2" w:themeShade="BF"/>
          <w:sz w:val="24"/>
          <w:szCs w:val="24"/>
        </w:rPr>
      </w:pPr>
      <w:r w:rsidRPr="00533035">
        <w:rPr>
          <w:rFonts w:ascii="Arial" w:eastAsia="Arial Unicode MS" w:hAnsi="Arial" w:cs="Arial"/>
          <w:b/>
          <w:color w:val="C45911" w:themeColor="accent2" w:themeShade="BF"/>
          <w:sz w:val="24"/>
          <w:szCs w:val="24"/>
        </w:rPr>
        <w:t>Nota 2 – Créditos a Receber</w:t>
      </w:r>
    </w:p>
    <w:p w14:paraId="086B0158" w14:textId="77777777" w:rsidR="00867F88" w:rsidRPr="00533035" w:rsidRDefault="00867F88" w:rsidP="004F53A5">
      <w:pPr>
        <w:spacing w:after="40"/>
        <w:rPr>
          <w:rFonts w:ascii="Arial" w:eastAsia="Arial Unicode MS" w:hAnsi="Arial" w:cs="Arial"/>
          <w:sz w:val="20"/>
          <w:szCs w:val="20"/>
        </w:rPr>
      </w:pPr>
      <w:r w:rsidRPr="00533035">
        <w:rPr>
          <w:rFonts w:ascii="Arial" w:eastAsia="Arial Unicode MS" w:hAnsi="Arial" w:cs="Arial"/>
          <w:sz w:val="20"/>
          <w:szCs w:val="20"/>
        </w:rPr>
        <w:t>Os créditos a receber estão distribuídos:</w:t>
      </w:r>
    </w:p>
    <w:p w14:paraId="0C1F514F"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Clientes;</w:t>
      </w:r>
    </w:p>
    <w:p w14:paraId="287EE9FD"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Adiantamentos concedidos e;</w:t>
      </w:r>
    </w:p>
    <w:p w14:paraId="27E361C8" w14:textId="77777777" w:rsidR="00867F88" w:rsidRPr="00533035" w:rsidRDefault="00867F88" w:rsidP="00867F88">
      <w:pPr>
        <w:pStyle w:val="PargrafodaLista"/>
        <w:numPr>
          <w:ilvl w:val="0"/>
          <w:numId w:val="1"/>
        </w:numPr>
        <w:spacing w:after="40"/>
        <w:rPr>
          <w:rFonts w:ascii="Arial" w:eastAsia="Arial Unicode MS" w:hAnsi="Arial" w:cs="Arial"/>
          <w:color w:val="009999"/>
          <w:sz w:val="20"/>
          <w:szCs w:val="20"/>
        </w:rPr>
      </w:pPr>
      <w:r w:rsidRPr="00533035">
        <w:rPr>
          <w:rFonts w:ascii="Arial" w:eastAsia="Arial Unicode MS" w:hAnsi="Arial" w:cs="Arial"/>
          <w:color w:val="009999"/>
          <w:sz w:val="20"/>
          <w:szCs w:val="20"/>
        </w:rPr>
        <w:t>Outros créditos a receber</w:t>
      </w:r>
      <w:r w:rsidR="007D09F3" w:rsidRPr="00533035">
        <w:rPr>
          <w:rFonts w:ascii="Arial" w:eastAsia="Arial Unicode MS" w:hAnsi="Arial" w:cs="Arial"/>
          <w:color w:val="009999"/>
          <w:sz w:val="20"/>
          <w:szCs w:val="20"/>
        </w:rPr>
        <w:t xml:space="preserve"> </w:t>
      </w:r>
      <w:r w:rsidRPr="00533035">
        <w:rPr>
          <w:rFonts w:ascii="Arial" w:eastAsia="Arial Unicode MS" w:hAnsi="Arial" w:cs="Arial"/>
          <w:color w:val="009999"/>
          <w:sz w:val="20"/>
          <w:szCs w:val="20"/>
        </w:rPr>
        <w:t>a curto prazo.</w:t>
      </w:r>
    </w:p>
    <w:p w14:paraId="592B0B73" w14:textId="77777777" w:rsidR="007D09F3" w:rsidRPr="00533035" w:rsidRDefault="007D09F3" w:rsidP="007D09F3">
      <w:pPr>
        <w:spacing w:after="40"/>
        <w:rPr>
          <w:rFonts w:ascii="Arial" w:eastAsia="Arial Unicode MS" w:hAnsi="Arial" w:cs="Arial"/>
          <w:sz w:val="20"/>
          <w:szCs w:val="20"/>
        </w:rPr>
      </w:pPr>
      <w:r w:rsidRPr="00533035">
        <w:rPr>
          <w:rFonts w:ascii="Arial" w:eastAsia="Arial Unicode MS" w:hAnsi="Arial" w:cs="Arial"/>
          <w:sz w:val="20"/>
          <w:szCs w:val="20"/>
        </w:rPr>
        <w:t>Percebe-se que ocorr</w:t>
      </w:r>
      <w:r w:rsidR="007D0BBE">
        <w:rPr>
          <w:rFonts w:ascii="Arial" w:eastAsia="Arial Unicode MS" w:hAnsi="Arial" w:cs="Arial"/>
          <w:sz w:val="20"/>
          <w:szCs w:val="20"/>
        </w:rPr>
        <w:t>eu uma redução de R$ 4,4 milhões em 2019 dos</w:t>
      </w:r>
      <w:r w:rsidRPr="00533035">
        <w:rPr>
          <w:rFonts w:ascii="Arial" w:eastAsia="Arial Unicode MS" w:hAnsi="Arial" w:cs="Arial"/>
          <w:sz w:val="20"/>
          <w:szCs w:val="20"/>
        </w:rPr>
        <w:t xml:space="preserve"> Adiantamentos Concedidos e, por outro lado, a rubrica Outros Créditos a Receber a Curto Praz</w:t>
      </w:r>
      <w:r w:rsidR="007D0BBE">
        <w:rPr>
          <w:rFonts w:ascii="Arial" w:eastAsia="Arial Unicode MS" w:hAnsi="Arial" w:cs="Arial"/>
          <w:sz w:val="20"/>
          <w:szCs w:val="20"/>
        </w:rPr>
        <w:t>o teve elevação de 501%.</w:t>
      </w:r>
    </w:p>
    <w:p w14:paraId="636313CA" w14:textId="77777777" w:rsidR="007D0BBE" w:rsidRPr="00533035" w:rsidRDefault="007D0BBE" w:rsidP="007D09F3">
      <w:pPr>
        <w:spacing w:after="40"/>
        <w:rPr>
          <w:rFonts w:ascii="Arial" w:eastAsia="Arial Unicode MS" w:hAnsi="Arial" w:cs="Arial"/>
          <w:sz w:val="20"/>
          <w:szCs w:val="20"/>
        </w:rPr>
      </w:pPr>
      <w:r w:rsidRPr="007D0BBE">
        <w:rPr>
          <w:noProof/>
          <w:lang w:eastAsia="pt-BR"/>
        </w:rPr>
        <w:drawing>
          <wp:inline distT="0" distB="0" distL="0" distR="0" wp14:anchorId="06C32DCC" wp14:editId="08C08F87">
            <wp:extent cx="4410075" cy="1495425"/>
            <wp:effectExtent l="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10075" cy="1495425"/>
                    </a:xfrm>
                    <a:prstGeom prst="rect">
                      <a:avLst/>
                    </a:prstGeom>
                    <a:noFill/>
                    <a:ln>
                      <a:noFill/>
                    </a:ln>
                  </pic:spPr>
                </pic:pic>
              </a:graphicData>
            </a:graphic>
          </wp:inline>
        </w:drawing>
      </w:r>
    </w:p>
    <w:p w14:paraId="3FB3D622"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Clientes</w:t>
      </w:r>
    </w:p>
    <w:p w14:paraId="712AA09A" w14:textId="77777777" w:rsidR="00AA7EC7" w:rsidRPr="00533035" w:rsidRDefault="007D0BBE" w:rsidP="007D09F3">
      <w:pPr>
        <w:spacing w:after="40"/>
        <w:rPr>
          <w:rFonts w:ascii="Arial" w:eastAsia="Arial Unicode MS" w:hAnsi="Arial" w:cs="Arial"/>
          <w:sz w:val="20"/>
          <w:szCs w:val="20"/>
        </w:rPr>
      </w:pPr>
      <w:r>
        <w:rPr>
          <w:rFonts w:ascii="Arial" w:eastAsia="Arial Unicode MS" w:hAnsi="Arial" w:cs="Arial"/>
          <w:sz w:val="20"/>
          <w:szCs w:val="20"/>
        </w:rPr>
        <w:t>S</w:t>
      </w:r>
      <w:r w:rsidR="00AA7EC7" w:rsidRPr="00533035">
        <w:rPr>
          <w:rFonts w:ascii="Arial" w:eastAsia="Arial Unicode MS" w:hAnsi="Arial" w:cs="Arial"/>
          <w:sz w:val="20"/>
          <w:szCs w:val="20"/>
        </w:rPr>
        <w:t xml:space="preserve">ão </w:t>
      </w:r>
      <w:r>
        <w:rPr>
          <w:rFonts w:ascii="Arial" w:eastAsia="Arial Unicode MS" w:hAnsi="Arial" w:cs="Arial"/>
          <w:sz w:val="20"/>
          <w:szCs w:val="20"/>
        </w:rPr>
        <w:t>f</w:t>
      </w:r>
      <w:r w:rsidR="00AA7EC7" w:rsidRPr="00533035">
        <w:rPr>
          <w:rFonts w:ascii="Arial" w:eastAsia="Arial Unicode MS" w:hAnsi="Arial" w:cs="Arial"/>
          <w:sz w:val="20"/>
          <w:szCs w:val="20"/>
        </w:rPr>
        <w:t>aturas de vendas a prazo realizadas pelo Campus Bento Gonçalves, anteriores a 2011 e 2012, cujo respectivo pagamento não foi realizado até 31/</w:t>
      </w:r>
      <w:r>
        <w:rPr>
          <w:rFonts w:ascii="Arial" w:eastAsia="Arial Unicode MS" w:hAnsi="Arial" w:cs="Arial"/>
          <w:sz w:val="20"/>
          <w:szCs w:val="20"/>
        </w:rPr>
        <w:t>03</w:t>
      </w:r>
      <w:r w:rsidR="00AA7EC7" w:rsidRPr="00533035">
        <w:rPr>
          <w:rFonts w:ascii="Arial" w:eastAsia="Arial Unicode MS" w:hAnsi="Arial" w:cs="Arial"/>
          <w:sz w:val="20"/>
          <w:szCs w:val="20"/>
        </w:rPr>
        <w:t>/201</w:t>
      </w:r>
      <w:r>
        <w:rPr>
          <w:rFonts w:ascii="Arial" w:eastAsia="Arial Unicode MS" w:hAnsi="Arial" w:cs="Arial"/>
          <w:sz w:val="20"/>
          <w:szCs w:val="20"/>
        </w:rPr>
        <w:t>9</w:t>
      </w:r>
      <w:r w:rsidR="00AA7EC7" w:rsidRPr="00533035">
        <w:rPr>
          <w:rFonts w:ascii="Arial" w:eastAsia="Arial Unicode MS" w:hAnsi="Arial" w:cs="Arial"/>
          <w:sz w:val="20"/>
          <w:szCs w:val="20"/>
        </w:rPr>
        <w:t>. Após 2012, não foi mais permitida a venda a prazo e a entrega das mercadorias acontece mediante apresentação do comprovante de pagamento.</w:t>
      </w:r>
    </w:p>
    <w:p w14:paraId="0B603460" w14:textId="77777777" w:rsidR="00AA7EC7" w:rsidRPr="00533035" w:rsidRDefault="00AA7EC7" w:rsidP="0034064D">
      <w:pPr>
        <w:spacing w:before="240"/>
        <w:rPr>
          <w:rFonts w:ascii="Arial" w:eastAsia="Arial Unicode MS" w:hAnsi="Arial" w:cs="Arial"/>
          <w:b/>
          <w:sz w:val="20"/>
          <w:szCs w:val="20"/>
        </w:rPr>
      </w:pPr>
      <w:r w:rsidRPr="00533035">
        <w:rPr>
          <w:rFonts w:ascii="Arial" w:eastAsia="Arial Unicode MS" w:hAnsi="Arial" w:cs="Arial"/>
          <w:b/>
          <w:sz w:val="20"/>
          <w:szCs w:val="20"/>
        </w:rPr>
        <w:t>Adiantamentos Concedidos</w:t>
      </w:r>
    </w:p>
    <w:p w14:paraId="374BB4A1" w14:textId="629C25BA" w:rsidR="00C90D2B" w:rsidRDefault="0005486A" w:rsidP="007D09F3">
      <w:pPr>
        <w:spacing w:after="40"/>
        <w:rPr>
          <w:rFonts w:ascii="Arial" w:eastAsia="Arial Unicode MS" w:hAnsi="Arial" w:cs="Arial"/>
          <w:sz w:val="20"/>
          <w:szCs w:val="20"/>
        </w:rPr>
      </w:pPr>
      <w:r w:rsidRPr="00533035">
        <w:rPr>
          <w:rFonts w:ascii="Arial" w:eastAsia="Arial Unicode MS" w:hAnsi="Arial" w:cs="Arial"/>
          <w:sz w:val="20"/>
          <w:szCs w:val="20"/>
        </w:rPr>
        <w:t>São adiantamentos concedidos: adiantamento de 13º salário, férias, salários e ordenados e suprimento de fundos, este último, aplicável aos casos de despesas expressamente definidos em lei, que consiste na entrega de numerário a servidor para o fim de realizar despesas que pela excepcionalidade, a critério do Ordenador de Despesas, não possam subordinar-se ao processo normal de aplicação, nos casos e valor</w:t>
      </w:r>
      <w:r w:rsidR="00C90D2B">
        <w:rPr>
          <w:rFonts w:ascii="Arial" w:eastAsia="Arial Unicode MS" w:hAnsi="Arial" w:cs="Arial"/>
          <w:sz w:val="20"/>
          <w:szCs w:val="20"/>
        </w:rPr>
        <w:t>es limites definidos em Lei. Os adiantamentos de 13º salário e férias correspondem ao excedente das provisões acumuladas do duodécimo da folha de pagamento para as</w:t>
      </w:r>
      <w:r w:rsidR="00160E7A">
        <w:rPr>
          <w:rFonts w:ascii="Arial" w:eastAsia="Arial Unicode MS" w:hAnsi="Arial" w:cs="Arial"/>
          <w:sz w:val="20"/>
          <w:szCs w:val="20"/>
        </w:rPr>
        <w:t xml:space="preserve"> respectivas rubricas</w:t>
      </w:r>
      <w:r w:rsidR="00C90D2B">
        <w:rPr>
          <w:rFonts w:ascii="Arial" w:eastAsia="Arial Unicode MS" w:hAnsi="Arial" w:cs="Arial"/>
          <w:sz w:val="20"/>
          <w:szCs w:val="20"/>
        </w:rPr>
        <w:t xml:space="preserve"> a pagar.</w:t>
      </w:r>
      <w:r w:rsidR="00160E7A" w:rsidRPr="00160E7A">
        <w:t xml:space="preserve"> </w:t>
      </w:r>
      <w:r w:rsidR="00160E7A" w:rsidRPr="00160E7A">
        <w:rPr>
          <w:rFonts w:ascii="Arial" w:eastAsia="Arial Unicode MS" w:hAnsi="Arial" w:cs="Arial"/>
          <w:sz w:val="20"/>
          <w:szCs w:val="20"/>
        </w:rPr>
        <w:t>Além disso, o servidor poderá também solicitar um adiantamento de salário, cujo valor dependerá da quantidade de dias de cada parcela, podendo corresponder até a 70% da remuneração. Porém, na folha de pagamento do mês subsequente ao de utilização das férias, esse valor será devolvido integralmente pelo servidor.</w:t>
      </w:r>
    </w:p>
    <w:p w14:paraId="04C6073E" w14:textId="2972E1C3" w:rsidR="00AA7EC7" w:rsidRPr="00533035" w:rsidRDefault="00E71A1F" w:rsidP="007D09F3">
      <w:pPr>
        <w:spacing w:after="40"/>
        <w:rPr>
          <w:rFonts w:ascii="Arial" w:eastAsia="Arial Unicode MS" w:hAnsi="Arial" w:cs="Arial"/>
          <w:sz w:val="20"/>
          <w:szCs w:val="20"/>
        </w:rPr>
      </w:pPr>
      <w:r w:rsidRPr="00533035">
        <w:rPr>
          <w:rFonts w:ascii="Arial" w:eastAsia="Arial Unicode MS" w:hAnsi="Arial" w:cs="Arial"/>
          <w:sz w:val="20"/>
          <w:szCs w:val="20"/>
        </w:rPr>
        <w:t>A t</w:t>
      </w:r>
      <w:r w:rsidR="0005486A" w:rsidRPr="00533035">
        <w:rPr>
          <w:rFonts w:ascii="Arial" w:eastAsia="Arial Unicode MS" w:hAnsi="Arial" w:cs="Arial"/>
          <w:sz w:val="20"/>
          <w:szCs w:val="20"/>
        </w:rPr>
        <w:t xml:space="preserve">abela a seguir representa a composição dos Adiantamentos Concedidos no </w:t>
      </w:r>
      <w:r w:rsidR="00F47706">
        <w:rPr>
          <w:rFonts w:ascii="Arial" w:eastAsia="Arial Unicode MS" w:hAnsi="Arial" w:cs="Arial"/>
          <w:sz w:val="20"/>
          <w:szCs w:val="20"/>
        </w:rPr>
        <w:t>1</w:t>
      </w:r>
      <w:r w:rsidR="0005486A" w:rsidRPr="00533035">
        <w:rPr>
          <w:rFonts w:ascii="Arial" w:eastAsia="Arial Unicode MS" w:hAnsi="Arial" w:cs="Arial"/>
          <w:sz w:val="20"/>
          <w:szCs w:val="20"/>
        </w:rPr>
        <w:t>º trimestre.</w:t>
      </w:r>
    </w:p>
    <w:p w14:paraId="4E149A9D" w14:textId="674F96B4" w:rsidR="00F47706" w:rsidRDefault="00F47706" w:rsidP="007D09F3">
      <w:pPr>
        <w:spacing w:after="40"/>
        <w:rPr>
          <w:rFonts w:ascii="Arial" w:eastAsia="Arial Unicode MS" w:hAnsi="Arial" w:cs="Arial"/>
          <w:sz w:val="20"/>
          <w:szCs w:val="20"/>
        </w:rPr>
      </w:pPr>
      <w:r w:rsidRPr="00F47706">
        <w:rPr>
          <w:noProof/>
          <w:lang w:eastAsia="pt-BR"/>
        </w:rPr>
        <w:lastRenderedPageBreak/>
        <w:drawing>
          <wp:inline distT="0" distB="0" distL="0" distR="0" wp14:anchorId="58429CBC" wp14:editId="456F7A57">
            <wp:extent cx="5314950" cy="20669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14950" cy="2066925"/>
                    </a:xfrm>
                    <a:prstGeom prst="rect">
                      <a:avLst/>
                    </a:prstGeom>
                    <a:noFill/>
                    <a:ln>
                      <a:noFill/>
                    </a:ln>
                  </pic:spPr>
                </pic:pic>
              </a:graphicData>
            </a:graphic>
          </wp:inline>
        </w:drawing>
      </w:r>
    </w:p>
    <w:p w14:paraId="618FB4BB" w14:textId="4B57335B" w:rsidR="007C45C4" w:rsidRPr="00533035" w:rsidRDefault="007C45C4" w:rsidP="007D09F3">
      <w:pPr>
        <w:spacing w:after="40"/>
        <w:rPr>
          <w:rFonts w:ascii="Arial" w:eastAsia="Arial Unicode MS" w:hAnsi="Arial" w:cs="Arial"/>
          <w:sz w:val="20"/>
          <w:szCs w:val="20"/>
        </w:rPr>
      </w:pPr>
      <w:r w:rsidRPr="00533035">
        <w:rPr>
          <w:rFonts w:ascii="Arial" w:eastAsia="Arial Unicode MS" w:hAnsi="Arial" w:cs="Arial"/>
          <w:sz w:val="20"/>
          <w:szCs w:val="20"/>
        </w:rPr>
        <w:t xml:space="preserve">Conforme evidenciado na tabela acima, os Adiantamentos de Férias representam </w:t>
      </w:r>
      <w:r w:rsidR="00F47706">
        <w:rPr>
          <w:rFonts w:ascii="Arial" w:eastAsia="Arial Unicode MS" w:hAnsi="Arial" w:cs="Arial"/>
          <w:sz w:val="20"/>
          <w:szCs w:val="20"/>
        </w:rPr>
        <w:t>82</w:t>
      </w:r>
      <w:r w:rsidRPr="00533035">
        <w:rPr>
          <w:rFonts w:ascii="Arial" w:eastAsia="Arial Unicode MS" w:hAnsi="Arial" w:cs="Arial"/>
          <w:sz w:val="20"/>
          <w:szCs w:val="20"/>
        </w:rPr>
        <w:t>% dos adiantamentos concedidos em 201</w:t>
      </w:r>
      <w:r w:rsidR="00F47706">
        <w:rPr>
          <w:rFonts w:ascii="Arial" w:eastAsia="Arial Unicode MS" w:hAnsi="Arial" w:cs="Arial"/>
          <w:sz w:val="20"/>
          <w:szCs w:val="20"/>
        </w:rPr>
        <w:t>9</w:t>
      </w:r>
      <w:r w:rsidRPr="00533035">
        <w:rPr>
          <w:rFonts w:ascii="Arial" w:eastAsia="Arial Unicode MS" w:hAnsi="Arial" w:cs="Arial"/>
          <w:sz w:val="20"/>
          <w:szCs w:val="20"/>
        </w:rPr>
        <w:t>.</w:t>
      </w:r>
    </w:p>
    <w:p w14:paraId="6115523B" w14:textId="1E5A6976" w:rsidR="00E71A1F" w:rsidRPr="00533035" w:rsidRDefault="00E71A1F" w:rsidP="007D09F3">
      <w:pPr>
        <w:spacing w:after="40"/>
        <w:rPr>
          <w:rFonts w:ascii="Arial" w:eastAsia="Arial Unicode MS" w:hAnsi="Arial" w:cs="Arial"/>
          <w:b/>
          <w:sz w:val="20"/>
          <w:szCs w:val="20"/>
        </w:rPr>
      </w:pPr>
      <w:r w:rsidRPr="00533035">
        <w:rPr>
          <w:rFonts w:ascii="Arial" w:eastAsia="Arial Unicode MS" w:hAnsi="Arial" w:cs="Arial"/>
          <w:b/>
          <w:sz w:val="20"/>
          <w:szCs w:val="20"/>
        </w:rPr>
        <w:t>Outros Créditos a Receber a Curto Prazo</w:t>
      </w:r>
    </w:p>
    <w:p w14:paraId="0A009BA5" w14:textId="67661A3E" w:rsidR="00E71A1F" w:rsidRDefault="00160E7A" w:rsidP="007D09F3">
      <w:pPr>
        <w:spacing w:after="40"/>
        <w:rPr>
          <w:rFonts w:ascii="Arial" w:eastAsia="Arial Unicode MS" w:hAnsi="Arial" w:cs="Arial"/>
          <w:sz w:val="20"/>
          <w:szCs w:val="20"/>
        </w:rPr>
      </w:pPr>
      <w:r>
        <w:rPr>
          <w:rFonts w:ascii="Arial" w:eastAsia="Arial Unicode MS" w:hAnsi="Arial" w:cs="Arial"/>
          <w:sz w:val="20"/>
          <w:szCs w:val="20"/>
        </w:rPr>
        <w:t>Refere-se a prestação de contas pendente dos recursos repassado e não utilizados por meio do Termo de Execução Descentralizada para o Instituto Federal Catarinense para a realização da V Jornada de Produção Científica da Educação Profissional na Região Sul, cujo prazo para prestação de contas venceu em 01/12/2018.</w:t>
      </w:r>
    </w:p>
    <w:p w14:paraId="5309BCE0" w14:textId="77777777" w:rsidR="00E40488" w:rsidRDefault="00E40488" w:rsidP="007D09F3">
      <w:pPr>
        <w:spacing w:after="40"/>
        <w:rPr>
          <w:rFonts w:ascii="Arial" w:eastAsia="Arial Unicode MS" w:hAnsi="Arial" w:cs="Arial"/>
          <w:sz w:val="20"/>
          <w:szCs w:val="20"/>
        </w:rPr>
      </w:pPr>
    </w:p>
    <w:p w14:paraId="545FC63B" w14:textId="7E8E8230"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3</w:t>
      </w:r>
      <w:r w:rsidR="0034064D" w:rsidRPr="0034064D">
        <w:rPr>
          <w:rFonts w:ascii="Arial" w:eastAsia="Arial Unicode MS" w:hAnsi="Arial" w:cs="Arial"/>
          <w:b/>
          <w:color w:val="C45911" w:themeColor="accent2" w:themeShade="BF"/>
          <w:sz w:val="24"/>
          <w:szCs w:val="24"/>
        </w:rPr>
        <w:t xml:space="preserve"> – Estoques</w:t>
      </w:r>
    </w:p>
    <w:p w14:paraId="7944B599" w14:textId="4A266C44" w:rsidR="0034064D" w:rsidRDefault="00127894" w:rsidP="0034064D">
      <w:pPr>
        <w:spacing w:after="40"/>
        <w:rPr>
          <w:rFonts w:ascii="Arial" w:eastAsia="Arial Unicode MS" w:hAnsi="Arial" w:cs="Arial"/>
          <w:sz w:val="20"/>
          <w:szCs w:val="20"/>
        </w:rPr>
      </w:pPr>
      <w:r>
        <w:rPr>
          <w:rFonts w:ascii="Arial" w:eastAsia="Arial Unicode MS" w:hAnsi="Arial" w:cs="Arial"/>
          <w:sz w:val="20"/>
          <w:szCs w:val="20"/>
        </w:rPr>
        <w:t>Os estoques no IFRS tiveram queda de 6% em 2019, resultante, principalmente, de correções de registro realizadas no campus Bento Gonçalves e Canoas, e</w:t>
      </w:r>
      <w:r w:rsidR="0034064D" w:rsidRPr="0034064D">
        <w:rPr>
          <w:rFonts w:ascii="Arial" w:eastAsia="Arial Unicode MS" w:hAnsi="Arial" w:cs="Arial"/>
          <w:sz w:val="20"/>
          <w:szCs w:val="20"/>
        </w:rPr>
        <w:t xml:space="preserve"> estã</w:t>
      </w:r>
      <w:r w:rsidR="00A81817">
        <w:rPr>
          <w:rFonts w:ascii="Arial" w:eastAsia="Arial Unicode MS" w:hAnsi="Arial" w:cs="Arial"/>
          <w:sz w:val="20"/>
          <w:szCs w:val="20"/>
        </w:rPr>
        <w:t>o distribuídos conforme seguem:</w:t>
      </w:r>
    </w:p>
    <w:p w14:paraId="1E423D1E" w14:textId="77777777" w:rsidR="00E40488" w:rsidRPr="00E40488" w:rsidRDefault="00E40488" w:rsidP="00E40488">
      <w:pPr>
        <w:spacing w:after="40"/>
        <w:rPr>
          <w:rFonts w:ascii="Arial" w:eastAsia="Arial Unicode MS" w:hAnsi="Arial" w:cs="Arial"/>
          <w:sz w:val="20"/>
          <w:szCs w:val="20"/>
        </w:rPr>
      </w:pPr>
      <w:r w:rsidRPr="00E40488">
        <w:rPr>
          <w:rFonts w:ascii="Arial" w:eastAsia="Arial Unicode MS" w:hAnsi="Arial" w:cs="Arial"/>
          <w:sz w:val="20"/>
          <w:szCs w:val="20"/>
        </w:rPr>
        <w:t>(a)</w:t>
      </w:r>
      <w:r w:rsidRPr="00E40488">
        <w:rPr>
          <w:rFonts w:ascii="Arial" w:eastAsia="Arial Unicode MS" w:hAnsi="Arial" w:cs="Arial"/>
          <w:sz w:val="20"/>
          <w:szCs w:val="20"/>
        </w:rPr>
        <w:tab/>
        <w:t>Mercadorias para Revenda</w:t>
      </w:r>
    </w:p>
    <w:p w14:paraId="6E2F72D3" w14:textId="77777777" w:rsidR="00E40488" w:rsidRPr="00E40488" w:rsidRDefault="00E40488" w:rsidP="00E40488">
      <w:pPr>
        <w:spacing w:after="40"/>
        <w:rPr>
          <w:rFonts w:ascii="Arial" w:eastAsia="Arial Unicode MS" w:hAnsi="Arial" w:cs="Arial"/>
          <w:sz w:val="20"/>
          <w:szCs w:val="20"/>
        </w:rPr>
      </w:pPr>
      <w:r w:rsidRPr="00E40488">
        <w:rPr>
          <w:rFonts w:ascii="Arial" w:eastAsia="Arial Unicode MS" w:hAnsi="Arial" w:cs="Arial"/>
          <w:sz w:val="20"/>
          <w:szCs w:val="20"/>
        </w:rPr>
        <w:t>Corresponde ao saldo irregular, em desacordo com os bens em efetivo estoque, decorrente de valor transferido por fusão, cisão e extinção de órgãos (CEFET Bento Gonçalves), regularizado em maio/2018.</w:t>
      </w:r>
    </w:p>
    <w:p w14:paraId="2D54FB12" w14:textId="77777777" w:rsidR="00E40488" w:rsidRPr="00E40488" w:rsidRDefault="00E40488" w:rsidP="00E40488">
      <w:pPr>
        <w:spacing w:after="40"/>
        <w:rPr>
          <w:rFonts w:ascii="Arial" w:eastAsia="Arial Unicode MS" w:hAnsi="Arial" w:cs="Arial"/>
          <w:sz w:val="20"/>
          <w:szCs w:val="20"/>
        </w:rPr>
      </w:pPr>
      <w:r w:rsidRPr="00E40488">
        <w:rPr>
          <w:rFonts w:ascii="Arial" w:eastAsia="Arial Unicode MS" w:hAnsi="Arial" w:cs="Arial"/>
          <w:sz w:val="20"/>
          <w:szCs w:val="20"/>
        </w:rPr>
        <w:t>(b)</w:t>
      </w:r>
      <w:r w:rsidRPr="00E40488">
        <w:rPr>
          <w:rFonts w:ascii="Arial" w:eastAsia="Arial Unicode MS" w:hAnsi="Arial" w:cs="Arial"/>
          <w:sz w:val="20"/>
          <w:szCs w:val="20"/>
        </w:rPr>
        <w:tab/>
        <w:t>Almoxarifado</w:t>
      </w:r>
    </w:p>
    <w:p w14:paraId="3F144FE9" w14:textId="3030A31A" w:rsidR="00E40488" w:rsidRDefault="00E40488" w:rsidP="00E40488">
      <w:pPr>
        <w:spacing w:after="40"/>
        <w:rPr>
          <w:rFonts w:ascii="Arial" w:eastAsia="Arial Unicode MS" w:hAnsi="Arial" w:cs="Arial"/>
          <w:sz w:val="20"/>
          <w:szCs w:val="20"/>
        </w:rPr>
      </w:pPr>
      <w:r w:rsidRPr="00E40488">
        <w:rPr>
          <w:rFonts w:ascii="Arial" w:eastAsia="Arial Unicode MS" w:hAnsi="Arial" w:cs="Arial"/>
          <w:sz w:val="20"/>
          <w:szCs w:val="20"/>
        </w:rPr>
        <w:t>O IFRS armazena diversos materiais de consumo, gêneros alimentícios, medicamentos e materiais hospitalares, materiais de expediente e materiais em elaboração, em Almoxarifado, no total de 98% do total dos Estoques.</w:t>
      </w:r>
    </w:p>
    <w:p w14:paraId="46E0A256" w14:textId="26D08565" w:rsidR="00A81817" w:rsidRPr="0034064D" w:rsidRDefault="00A81817" w:rsidP="0034064D">
      <w:pPr>
        <w:spacing w:after="40"/>
        <w:rPr>
          <w:rFonts w:ascii="Arial" w:eastAsia="Arial Unicode MS" w:hAnsi="Arial" w:cs="Arial"/>
          <w:sz w:val="20"/>
          <w:szCs w:val="20"/>
        </w:rPr>
      </w:pPr>
      <w:r w:rsidRPr="00A81817">
        <w:rPr>
          <w:noProof/>
          <w:lang w:eastAsia="pt-BR"/>
        </w:rPr>
        <w:drawing>
          <wp:inline distT="0" distB="0" distL="0" distR="0" wp14:anchorId="42D660FB" wp14:editId="604FC576">
            <wp:extent cx="4813538" cy="2286000"/>
            <wp:effectExtent l="0" t="0" r="635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41406" cy="2299235"/>
                    </a:xfrm>
                    <a:prstGeom prst="rect">
                      <a:avLst/>
                    </a:prstGeom>
                    <a:noFill/>
                    <a:ln>
                      <a:noFill/>
                    </a:ln>
                  </pic:spPr>
                </pic:pic>
              </a:graphicData>
            </a:graphic>
          </wp:inline>
        </w:drawing>
      </w:r>
    </w:p>
    <w:p w14:paraId="32F7233C" w14:textId="33A39D13" w:rsidR="0034064D" w:rsidRDefault="00A81817" w:rsidP="00E40488">
      <w:pPr>
        <w:pStyle w:val="PargrafodaLista"/>
        <w:numPr>
          <w:ilvl w:val="0"/>
          <w:numId w:val="3"/>
        </w:numPr>
        <w:spacing w:after="40"/>
        <w:rPr>
          <w:rFonts w:ascii="Arial" w:eastAsia="Arial Unicode MS" w:hAnsi="Arial" w:cs="Arial"/>
          <w:sz w:val="20"/>
          <w:szCs w:val="20"/>
        </w:rPr>
      </w:pPr>
      <w:r w:rsidRPr="008D4672">
        <w:rPr>
          <w:rFonts w:ascii="Arial" w:eastAsia="Arial Unicode MS" w:hAnsi="Arial" w:cs="Arial"/>
          <w:sz w:val="20"/>
          <w:szCs w:val="20"/>
        </w:rPr>
        <w:t>Materiais de Acondicionamento e Embalagem</w:t>
      </w:r>
    </w:p>
    <w:p w14:paraId="257C7339" w14:textId="58967891" w:rsidR="008D4672" w:rsidRPr="008D4672" w:rsidRDefault="00CD7C19" w:rsidP="008D4672">
      <w:pPr>
        <w:spacing w:after="40"/>
        <w:rPr>
          <w:rFonts w:ascii="Arial" w:eastAsia="Arial Unicode MS" w:hAnsi="Arial" w:cs="Arial"/>
          <w:sz w:val="20"/>
          <w:szCs w:val="20"/>
        </w:rPr>
      </w:pPr>
      <w:r>
        <w:rPr>
          <w:rFonts w:ascii="Arial" w:eastAsia="Arial Unicode MS" w:hAnsi="Arial" w:cs="Arial"/>
          <w:sz w:val="20"/>
          <w:szCs w:val="20"/>
        </w:rPr>
        <w:t>Refere-se a canetas esferográficas com o objetivo de distribuição nas divulgações de processos seletivos, semanas acadêmicas e no acolhimento dos novos alunos do campus Feliz, com previsão de distribuição no exercício de 2019</w:t>
      </w:r>
      <w:r w:rsidR="008D4672" w:rsidRPr="008D4672">
        <w:rPr>
          <w:rFonts w:ascii="Arial" w:eastAsia="Arial Unicode MS" w:hAnsi="Arial" w:cs="Arial"/>
          <w:sz w:val="20"/>
          <w:szCs w:val="20"/>
        </w:rPr>
        <w:t>.</w:t>
      </w:r>
    </w:p>
    <w:p w14:paraId="22436FE3" w14:textId="615127F3" w:rsidR="008D4672" w:rsidRPr="008D4672" w:rsidRDefault="008D4672" w:rsidP="00E40488">
      <w:pPr>
        <w:pStyle w:val="PargrafodaLista"/>
        <w:numPr>
          <w:ilvl w:val="0"/>
          <w:numId w:val="3"/>
        </w:numPr>
        <w:spacing w:after="40"/>
        <w:rPr>
          <w:rFonts w:ascii="Arial" w:eastAsia="Arial Unicode MS" w:hAnsi="Arial" w:cs="Arial"/>
          <w:sz w:val="20"/>
          <w:szCs w:val="20"/>
        </w:rPr>
      </w:pPr>
      <w:r>
        <w:rPr>
          <w:rFonts w:ascii="Arial" w:eastAsia="Arial Unicode MS" w:hAnsi="Arial" w:cs="Arial"/>
          <w:sz w:val="20"/>
          <w:szCs w:val="20"/>
        </w:rPr>
        <w:t>Materiais para premiação</w:t>
      </w:r>
    </w:p>
    <w:p w14:paraId="05D522AC" w14:textId="70D36E03" w:rsidR="008D4672" w:rsidRPr="008D4672" w:rsidRDefault="008D4672" w:rsidP="008D4672">
      <w:pPr>
        <w:spacing w:after="40"/>
        <w:rPr>
          <w:rFonts w:ascii="Arial" w:eastAsia="Arial Unicode MS" w:hAnsi="Arial" w:cs="Arial"/>
          <w:sz w:val="20"/>
          <w:szCs w:val="20"/>
        </w:rPr>
      </w:pPr>
      <w:r w:rsidRPr="0034064D">
        <w:rPr>
          <w:rFonts w:ascii="Arial" w:eastAsia="Arial Unicode MS" w:hAnsi="Arial" w:cs="Arial"/>
          <w:sz w:val="20"/>
          <w:szCs w:val="20"/>
        </w:rPr>
        <w:t xml:space="preserve">Saldo </w:t>
      </w:r>
      <w:r>
        <w:rPr>
          <w:rFonts w:ascii="Arial" w:eastAsia="Arial Unicode MS" w:hAnsi="Arial" w:cs="Arial"/>
          <w:sz w:val="20"/>
          <w:szCs w:val="20"/>
        </w:rPr>
        <w:t xml:space="preserve">anterior </w:t>
      </w:r>
      <w:r w:rsidRPr="0034064D">
        <w:rPr>
          <w:rFonts w:ascii="Arial" w:eastAsia="Arial Unicode MS" w:hAnsi="Arial" w:cs="Arial"/>
          <w:sz w:val="20"/>
          <w:szCs w:val="20"/>
        </w:rPr>
        <w:t>refere-se à estoque de medalhas adquiridas para consumo imediato em setembro e novembro de 2017 para premiações em eventos científicos do Campus Canoas</w:t>
      </w:r>
      <w:r>
        <w:rPr>
          <w:rFonts w:ascii="Arial" w:eastAsia="Arial Unicode MS" w:hAnsi="Arial" w:cs="Arial"/>
          <w:sz w:val="20"/>
          <w:szCs w:val="20"/>
        </w:rPr>
        <w:t xml:space="preserve"> no mesmo exercício</w:t>
      </w:r>
      <w:r w:rsidRPr="0034064D">
        <w:rPr>
          <w:rFonts w:ascii="Arial" w:eastAsia="Arial Unicode MS" w:hAnsi="Arial" w:cs="Arial"/>
          <w:sz w:val="20"/>
          <w:szCs w:val="20"/>
        </w:rPr>
        <w:t xml:space="preserve">, com </w:t>
      </w:r>
      <w:r>
        <w:rPr>
          <w:rFonts w:ascii="Arial" w:eastAsia="Arial Unicode MS" w:hAnsi="Arial" w:cs="Arial"/>
          <w:sz w:val="20"/>
          <w:szCs w:val="20"/>
        </w:rPr>
        <w:t>registro</w:t>
      </w:r>
      <w:r w:rsidRPr="0034064D">
        <w:rPr>
          <w:rFonts w:ascii="Arial" w:eastAsia="Arial Unicode MS" w:hAnsi="Arial" w:cs="Arial"/>
          <w:sz w:val="20"/>
          <w:szCs w:val="20"/>
        </w:rPr>
        <w:t xml:space="preserve"> </w:t>
      </w:r>
      <w:r>
        <w:rPr>
          <w:rFonts w:ascii="Arial" w:eastAsia="Arial Unicode MS" w:hAnsi="Arial" w:cs="Arial"/>
          <w:sz w:val="20"/>
          <w:szCs w:val="20"/>
        </w:rPr>
        <w:t>corrigido</w:t>
      </w:r>
      <w:r w:rsidRPr="0034064D">
        <w:rPr>
          <w:rFonts w:ascii="Arial" w:eastAsia="Arial Unicode MS" w:hAnsi="Arial" w:cs="Arial"/>
          <w:sz w:val="20"/>
          <w:szCs w:val="20"/>
        </w:rPr>
        <w:t xml:space="preserve"> em </w:t>
      </w:r>
      <w:r>
        <w:rPr>
          <w:rFonts w:ascii="Arial" w:eastAsia="Arial Unicode MS" w:hAnsi="Arial" w:cs="Arial"/>
          <w:sz w:val="20"/>
          <w:szCs w:val="20"/>
        </w:rPr>
        <w:t>novembro</w:t>
      </w:r>
      <w:r w:rsidRPr="0034064D">
        <w:rPr>
          <w:rFonts w:ascii="Arial" w:eastAsia="Arial Unicode MS" w:hAnsi="Arial" w:cs="Arial"/>
          <w:sz w:val="20"/>
          <w:szCs w:val="20"/>
        </w:rPr>
        <w:t xml:space="preserve"> de 2018.</w:t>
      </w:r>
    </w:p>
    <w:p w14:paraId="44FD973F" w14:textId="5A4C4C07" w:rsidR="008D4672" w:rsidRDefault="008D4672" w:rsidP="00E40488">
      <w:pPr>
        <w:pStyle w:val="PargrafodaLista"/>
        <w:numPr>
          <w:ilvl w:val="0"/>
          <w:numId w:val="3"/>
        </w:numPr>
        <w:spacing w:after="40"/>
        <w:rPr>
          <w:rFonts w:ascii="Arial" w:eastAsia="Arial Unicode MS" w:hAnsi="Arial" w:cs="Arial"/>
          <w:sz w:val="20"/>
          <w:szCs w:val="20"/>
        </w:rPr>
      </w:pPr>
      <w:r>
        <w:rPr>
          <w:rFonts w:ascii="Arial" w:eastAsia="Arial Unicode MS" w:hAnsi="Arial" w:cs="Arial"/>
          <w:sz w:val="20"/>
          <w:szCs w:val="20"/>
        </w:rPr>
        <w:t>Mercadorias para doação</w:t>
      </w:r>
    </w:p>
    <w:p w14:paraId="3C0D9830" w14:textId="68D08731" w:rsidR="008D4672" w:rsidRPr="008D4672" w:rsidRDefault="008D4672" w:rsidP="008D4672">
      <w:pPr>
        <w:spacing w:after="40"/>
        <w:rPr>
          <w:rFonts w:ascii="Arial" w:eastAsia="Arial Unicode MS" w:hAnsi="Arial" w:cs="Arial"/>
          <w:sz w:val="20"/>
          <w:szCs w:val="20"/>
        </w:rPr>
      </w:pPr>
      <w:r w:rsidRPr="0034064D">
        <w:rPr>
          <w:rFonts w:ascii="Arial" w:eastAsia="Arial Unicode MS" w:hAnsi="Arial" w:cs="Arial"/>
          <w:sz w:val="20"/>
          <w:szCs w:val="20"/>
        </w:rPr>
        <w:t>Saldo refere-se à estoque nas diversas Unidades do Órgão de gêneros alimentícios para merenda escolar destinada aos alunos.</w:t>
      </w:r>
    </w:p>
    <w:p w14:paraId="29B90FB6" w14:textId="2DFA02A9" w:rsidR="008D4672" w:rsidRDefault="008D4672" w:rsidP="00E40488">
      <w:pPr>
        <w:pStyle w:val="PargrafodaLista"/>
        <w:numPr>
          <w:ilvl w:val="0"/>
          <w:numId w:val="3"/>
        </w:numPr>
        <w:spacing w:after="40"/>
        <w:rPr>
          <w:rFonts w:ascii="Arial" w:eastAsia="Arial Unicode MS" w:hAnsi="Arial" w:cs="Arial"/>
          <w:sz w:val="20"/>
          <w:szCs w:val="20"/>
        </w:rPr>
      </w:pPr>
      <w:r>
        <w:rPr>
          <w:rFonts w:ascii="Arial" w:eastAsia="Arial Unicode MS" w:hAnsi="Arial" w:cs="Arial"/>
          <w:sz w:val="20"/>
          <w:szCs w:val="20"/>
        </w:rPr>
        <w:t>Vegetais</w:t>
      </w:r>
    </w:p>
    <w:p w14:paraId="6B44E595" w14:textId="722E34A2" w:rsidR="008D4672" w:rsidRPr="008D4672" w:rsidRDefault="00127894" w:rsidP="008D4672">
      <w:pPr>
        <w:spacing w:after="40"/>
        <w:rPr>
          <w:rFonts w:ascii="Arial" w:eastAsia="Arial Unicode MS" w:hAnsi="Arial" w:cs="Arial"/>
          <w:sz w:val="20"/>
          <w:szCs w:val="20"/>
        </w:rPr>
      </w:pPr>
      <w:r w:rsidRPr="0034064D">
        <w:rPr>
          <w:rFonts w:ascii="Arial" w:eastAsia="Arial Unicode MS" w:hAnsi="Arial" w:cs="Arial"/>
          <w:sz w:val="20"/>
          <w:szCs w:val="20"/>
        </w:rPr>
        <w:t xml:space="preserve">Saldo refere-se à estoque de vegetais sob controle irregular no Campus Bento Gonçalves. O respectivo </w:t>
      </w:r>
      <w:r>
        <w:rPr>
          <w:rFonts w:ascii="Arial" w:eastAsia="Arial Unicode MS" w:hAnsi="Arial" w:cs="Arial"/>
          <w:sz w:val="20"/>
          <w:szCs w:val="20"/>
        </w:rPr>
        <w:t>registro</w:t>
      </w:r>
      <w:r w:rsidRPr="0034064D">
        <w:rPr>
          <w:rFonts w:ascii="Arial" w:eastAsia="Arial Unicode MS" w:hAnsi="Arial" w:cs="Arial"/>
          <w:sz w:val="20"/>
          <w:szCs w:val="20"/>
        </w:rPr>
        <w:t xml:space="preserve"> foi regularizado em </w:t>
      </w:r>
      <w:r>
        <w:rPr>
          <w:rFonts w:ascii="Arial" w:eastAsia="Arial Unicode MS" w:hAnsi="Arial" w:cs="Arial"/>
          <w:sz w:val="20"/>
          <w:szCs w:val="20"/>
        </w:rPr>
        <w:t>abril de 2018</w:t>
      </w:r>
      <w:r w:rsidRPr="0034064D">
        <w:rPr>
          <w:rFonts w:ascii="Arial" w:eastAsia="Arial Unicode MS" w:hAnsi="Arial" w:cs="Arial"/>
          <w:sz w:val="20"/>
          <w:szCs w:val="20"/>
        </w:rPr>
        <w:t>.</w:t>
      </w:r>
    </w:p>
    <w:p w14:paraId="460965E3" w14:textId="7F6AF776" w:rsidR="0034064D" w:rsidRPr="0034064D" w:rsidRDefault="0034064D" w:rsidP="0034064D">
      <w:pPr>
        <w:spacing w:after="40"/>
        <w:rPr>
          <w:rFonts w:ascii="Arial" w:eastAsia="Arial Unicode MS" w:hAnsi="Arial" w:cs="Arial"/>
          <w:sz w:val="20"/>
          <w:szCs w:val="20"/>
        </w:rPr>
      </w:pPr>
    </w:p>
    <w:p w14:paraId="71968423" w14:textId="72336943" w:rsidR="0034064D" w:rsidRPr="0034064D" w:rsidRDefault="004E66F7"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4</w:t>
      </w:r>
      <w:r w:rsidR="0034064D" w:rsidRPr="0034064D">
        <w:rPr>
          <w:rFonts w:ascii="Arial" w:eastAsia="Arial Unicode MS" w:hAnsi="Arial" w:cs="Arial"/>
          <w:b/>
          <w:color w:val="C45911" w:themeColor="accent2" w:themeShade="BF"/>
          <w:sz w:val="24"/>
          <w:szCs w:val="24"/>
        </w:rPr>
        <w:t xml:space="preserve"> – Variação Patrimonial Diminutiva Paga Antecipadamente</w:t>
      </w:r>
    </w:p>
    <w:p w14:paraId="6B05AE00" w14:textId="4328AE08" w:rsidR="00AB6E1C" w:rsidRDefault="00AB6E1C" w:rsidP="0034064D">
      <w:pPr>
        <w:spacing w:after="40"/>
        <w:rPr>
          <w:rFonts w:ascii="Arial" w:eastAsia="Arial Unicode MS" w:hAnsi="Arial" w:cs="Arial"/>
          <w:sz w:val="20"/>
          <w:szCs w:val="20"/>
        </w:rPr>
      </w:pPr>
      <w:r>
        <w:rPr>
          <w:rFonts w:ascii="Arial" w:eastAsia="Arial Unicode MS" w:hAnsi="Arial" w:cs="Arial"/>
          <w:sz w:val="20"/>
          <w:szCs w:val="20"/>
        </w:rPr>
        <w:t>Esse grupo constitui</w:t>
      </w:r>
      <w:r w:rsidR="00611B4B">
        <w:rPr>
          <w:rFonts w:ascii="Arial" w:eastAsia="Arial Unicode MS" w:hAnsi="Arial" w:cs="Arial"/>
          <w:sz w:val="20"/>
          <w:szCs w:val="20"/>
        </w:rPr>
        <w:t xml:space="preserve"> despesas antecipadas a apropriar</w:t>
      </w:r>
      <w:r w:rsidR="00B2735E">
        <w:rPr>
          <w:rFonts w:ascii="Arial" w:eastAsia="Arial Unicode MS" w:hAnsi="Arial" w:cs="Arial"/>
          <w:sz w:val="20"/>
          <w:szCs w:val="20"/>
        </w:rPr>
        <w:t>, cujo fato gerador ainda não ocorreu, tais como:</w:t>
      </w:r>
      <w:r w:rsidR="00611B4B">
        <w:rPr>
          <w:rFonts w:ascii="Arial" w:eastAsia="Arial Unicode MS" w:hAnsi="Arial" w:cs="Arial"/>
          <w:sz w:val="20"/>
          <w:szCs w:val="20"/>
        </w:rPr>
        <w:t xml:space="preserve"> prêmios de seguros da frota de veículos, acesso a banco de dados de normas técnicas e bibliotecas virtuais</w:t>
      </w:r>
      <w:r w:rsidR="00B2735E">
        <w:rPr>
          <w:rFonts w:ascii="Arial" w:eastAsia="Arial Unicode MS" w:hAnsi="Arial" w:cs="Arial"/>
          <w:sz w:val="20"/>
          <w:szCs w:val="20"/>
        </w:rPr>
        <w:t xml:space="preserve">, assinaturas de jornais </w:t>
      </w:r>
      <w:r w:rsidR="00B2735E">
        <w:rPr>
          <w:rFonts w:ascii="Arial" w:eastAsia="Arial Unicode MS" w:hAnsi="Arial" w:cs="Arial"/>
          <w:sz w:val="20"/>
          <w:szCs w:val="20"/>
        </w:rPr>
        <w:lastRenderedPageBreak/>
        <w:t xml:space="preserve">e anuidades de associações, impostos e taxas municipais e direitos autorais. </w:t>
      </w:r>
      <w:r w:rsidR="004E66F7">
        <w:rPr>
          <w:rFonts w:ascii="Arial" w:eastAsia="Arial Unicode MS" w:hAnsi="Arial" w:cs="Arial"/>
          <w:sz w:val="20"/>
          <w:szCs w:val="20"/>
        </w:rPr>
        <w:t>O</w:t>
      </w:r>
      <w:r>
        <w:rPr>
          <w:rFonts w:ascii="Arial" w:eastAsia="Arial Unicode MS" w:hAnsi="Arial" w:cs="Arial"/>
          <w:sz w:val="20"/>
          <w:szCs w:val="20"/>
        </w:rPr>
        <w:t xml:space="preserve"> primeiro trimestre de 2019</w:t>
      </w:r>
      <w:r w:rsidR="004E66F7">
        <w:rPr>
          <w:rFonts w:ascii="Arial" w:eastAsia="Arial Unicode MS" w:hAnsi="Arial" w:cs="Arial"/>
          <w:sz w:val="20"/>
          <w:szCs w:val="20"/>
        </w:rPr>
        <w:t xml:space="preserve"> registrou um aumento de</w:t>
      </w:r>
      <w:r>
        <w:rPr>
          <w:rFonts w:ascii="Arial" w:eastAsia="Arial Unicode MS" w:hAnsi="Arial" w:cs="Arial"/>
          <w:sz w:val="20"/>
          <w:szCs w:val="20"/>
        </w:rPr>
        <w:t xml:space="preserve"> 5 vezes </w:t>
      </w:r>
      <w:r w:rsidR="004E66F7">
        <w:rPr>
          <w:rFonts w:ascii="Arial" w:eastAsia="Arial Unicode MS" w:hAnsi="Arial" w:cs="Arial"/>
          <w:sz w:val="20"/>
          <w:szCs w:val="20"/>
        </w:rPr>
        <w:t>em relação ao</w:t>
      </w:r>
      <w:r>
        <w:rPr>
          <w:rFonts w:ascii="Arial" w:eastAsia="Arial Unicode MS" w:hAnsi="Arial" w:cs="Arial"/>
          <w:sz w:val="20"/>
          <w:szCs w:val="20"/>
        </w:rPr>
        <w:t xml:space="preserve"> mesmo período do exercício anterior. Conforme composiç</w:t>
      </w:r>
      <w:r w:rsidR="004E66F7">
        <w:rPr>
          <w:rFonts w:ascii="Arial" w:eastAsia="Arial Unicode MS" w:hAnsi="Arial" w:cs="Arial"/>
          <w:sz w:val="20"/>
          <w:szCs w:val="20"/>
        </w:rPr>
        <w:t>ão da figura abaixo, a despesa antecipada</w:t>
      </w:r>
      <w:r>
        <w:rPr>
          <w:rFonts w:ascii="Arial" w:eastAsia="Arial Unicode MS" w:hAnsi="Arial" w:cs="Arial"/>
          <w:sz w:val="20"/>
          <w:szCs w:val="20"/>
        </w:rPr>
        <w:t xml:space="preserve"> com serviço de acesso a banco de dados, </w:t>
      </w:r>
      <w:r w:rsidRPr="003750CE">
        <w:rPr>
          <w:rFonts w:ascii="Arial" w:eastAsia="Arial Unicode MS" w:hAnsi="Arial" w:cs="Arial"/>
          <w:sz w:val="20"/>
          <w:szCs w:val="20"/>
        </w:rPr>
        <w:t>como bibliotecas virtuais</w:t>
      </w:r>
      <w:r>
        <w:rPr>
          <w:rFonts w:ascii="Arial" w:eastAsia="Arial Unicode MS" w:hAnsi="Arial" w:cs="Arial"/>
          <w:sz w:val="20"/>
          <w:szCs w:val="20"/>
        </w:rPr>
        <w:t>, representou 82% do total das variações patrimoniais diminutivas pagas antecipadamente</w:t>
      </w:r>
      <w:r w:rsidR="004E66F7">
        <w:rPr>
          <w:rFonts w:ascii="Arial" w:eastAsia="Arial Unicode MS" w:hAnsi="Arial" w:cs="Arial"/>
          <w:sz w:val="20"/>
          <w:szCs w:val="20"/>
        </w:rPr>
        <w:t>, totalizando R$ 163 mil</w:t>
      </w:r>
      <w:r>
        <w:rPr>
          <w:rFonts w:ascii="Arial" w:eastAsia="Arial Unicode MS" w:hAnsi="Arial" w:cs="Arial"/>
          <w:sz w:val="20"/>
          <w:szCs w:val="20"/>
        </w:rPr>
        <w:t>.</w:t>
      </w:r>
    </w:p>
    <w:p w14:paraId="0DE0A4CF" w14:textId="77777777" w:rsidR="00E40488" w:rsidRDefault="00E40488" w:rsidP="0034064D">
      <w:pPr>
        <w:spacing w:after="40"/>
        <w:rPr>
          <w:rFonts w:ascii="Arial" w:eastAsia="Arial Unicode MS" w:hAnsi="Arial" w:cs="Arial"/>
          <w:b/>
          <w:sz w:val="20"/>
          <w:szCs w:val="20"/>
        </w:rPr>
      </w:pPr>
    </w:p>
    <w:p w14:paraId="69113278" w14:textId="42172B30" w:rsidR="00AB6E1C" w:rsidRPr="00AB6E1C" w:rsidRDefault="00AB6E1C" w:rsidP="0034064D">
      <w:pPr>
        <w:spacing w:after="40"/>
        <w:rPr>
          <w:rFonts w:ascii="Arial" w:eastAsia="Arial Unicode MS" w:hAnsi="Arial" w:cs="Arial"/>
          <w:b/>
          <w:sz w:val="20"/>
          <w:szCs w:val="20"/>
        </w:rPr>
      </w:pPr>
      <w:r w:rsidRPr="00AB6E1C">
        <w:rPr>
          <w:rFonts w:ascii="Arial" w:eastAsia="Arial Unicode MS" w:hAnsi="Arial" w:cs="Arial"/>
          <w:b/>
          <w:sz w:val="20"/>
          <w:szCs w:val="20"/>
        </w:rPr>
        <w:t>Variações Patrimoniais Diminutivas Pagas Antecipadamente - composição 1º trimestre</w:t>
      </w:r>
    </w:p>
    <w:p w14:paraId="790FEE9D" w14:textId="09D6989F" w:rsidR="00AB6E1C" w:rsidRDefault="00AB6E1C"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709EE4AE" wp14:editId="6B146E41">
            <wp:extent cx="3188335" cy="2066925"/>
            <wp:effectExtent l="0" t="0" r="0" b="952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88335" cy="2066925"/>
                    </a:xfrm>
                    <a:prstGeom prst="rect">
                      <a:avLst/>
                    </a:prstGeom>
                    <a:noFill/>
                  </pic:spPr>
                </pic:pic>
              </a:graphicData>
            </a:graphic>
          </wp:inline>
        </w:drawing>
      </w:r>
    </w:p>
    <w:p w14:paraId="6350BF49" w14:textId="1EA5DC63" w:rsidR="0034064D" w:rsidRPr="0034064D" w:rsidRDefault="00832B59"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5</w:t>
      </w:r>
      <w:r w:rsidR="0034064D" w:rsidRPr="0034064D">
        <w:rPr>
          <w:rFonts w:ascii="Arial" w:eastAsia="Arial Unicode MS" w:hAnsi="Arial" w:cs="Arial"/>
          <w:b/>
          <w:color w:val="C45911" w:themeColor="accent2" w:themeShade="BF"/>
          <w:sz w:val="24"/>
          <w:szCs w:val="24"/>
        </w:rPr>
        <w:t xml:space="preserve"> – Ativo Realizável a Longo Prazo</w:t>
      </w:r>
    </w:p>
    <w:p w14:paraId="2BC7475C" w14:textId="7C377BE5"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Realizável a Longo Prazo do IFRS é composto pela Dívida Ativa Não Tributária e Depósitos Judiciais Efetuados, conforme segue:</w:t>
      </w:r>
    </w:p>
    <w:p w14:paraId="555426CD" w14:textId="77777777" w:rsidR="00E40488" w:rsidRPr="00832B59" w:rsidRDefault="00E40488" w:rsidP="00E40488">
      <w:pPr>
        <w:pStyle w:val="PargrafodaLista"/>
        <w:numPr>
          <w:ilvl w:val="0"/>
          <w:numId w:val="8"/>
        </w:numPr>
        <w:spacing w:after="40"/>
        <w:rPr>
          <w:rFonts w:ascii="Arial" w:eastAsia="Arial Unicode MS" w:hAnsi="Arial" w:cs="Arial"/>
          <w:sz w:val="20"/>
          <w:szCs w:val="20"/>
        </w:rPr>
      </w:pPr>
      <w:r w:rsidRPr="00832B59">
        <w:rPr>
          <w:rFonts w:ascii="Arial" w:eastAsia="Arial Unicode MS" w:hAnsi="Arial" w:cs="Arial"/>
          <w:sz w:val="20"/>
          <w:szCs w:val="20"/>
        </w:rPr>
        <w:t>Depósitos Judiciais Efetuados</w:t>
      </w:r>
    </w:p>
    <w:p w14:paraId="186160C4" w14:textId="0FFABB01" w:rsidR="00E40488" w:rsidRDefault="00E40488" w:rsidP="00E40488">
      <w:pPr>
        <w:spacing w:after="40"/>
        <w:rPr>
          <w:rFonts w:ascii="Arial" w:eastAsia="Arial Unicode MS" w:hAnsi="Arial" w:cs="Arial"/>
          <w:sz w:val="20"/>
          <w:szCs w:val="20"/>
        </w:rPr>
      </w:pPr>
      <w:r w:rsidRPr="0034064D">
        <w:rPr>
          <w:rFonts w:ascii="Arial" w:eastAsia="Arial Unicode MS" w:hAnsi="Arial" w:cs="Arial"/>
          <w:sz w:val="20"/>
          <w:szCs w:val="20"/>
        </w:rPr>
        <w:t xml:space="preserve">Em dezembro de 2018, o IFRS depositou o valor de R$ 38.112,38, correspondente </w:t>
      </w:r>
      <w:r w:rsidRPr="003750CE">
        <w:rPr>
          <w:rFonts w:ascii="Arial" w:eastAsia="Arial Unicode MS" w:hAnsi="Arial" w:cs="Arial"/>
          <w:sz w:val="20"/>
          <w:szCs w:val="20"/>
        </w:rPr>
        <w:t>ao pagamento de RPV de ação acidentária, transitada em julgada.</w:t>
      </w:r>
    </w:p>
    <w:p w14:paraId="20E4BDC0" w14:textId="6B2B461B" w:rsidR="00E40488" w:rsidRDefault="00E40488" w:rsidP="00E40488">
      <w:pPr>
        <w:spacing w:after="40"/>
        <w:rPr>
          <w:rFonts w:ascii="Arial" w:eastAsia="Arial Unicode MS" w:hAnsi="Arial" w:cs="Arial"/>
          <w:sz w:val="20"/>
          <w:szCs w:val="20"/>
        </w:rPr>
      </w:pPr>
    </w:p>
    <w:p w14:paraId="762D62C8" w14:textId="4568A78F" w:rsidR="00E40488" w:rsidRDefault="00E40488" w:rsidP="00E40488">
      <w:pPr>
        <w:spacing w:after="40"/>
        <w:rPr>
          <w:rFonts w:ascii="Arial" w:eastAsia="Arial Unicode MS" w:hAnsi="Arial" w:cs="Arial"/>
          <w:sz w:val="20"/>
          <w:szCs w:val="20"/>
        </w:rPr>
      </w:pPr>
    </w:p>
    <w:p w14:paraId="5AF0F94E" w14:textId="55CD4ED1" w:rsidR="00E40488" w:rsidRDefault="00E40488" w:rsidP="00E40488">
      <w:pPr>
        <w:spacing w:after="40"/>
        <w:rPr>
          <w:rFonts w:ascii="Arial" w:eastAsia="Arial Unicode MS" w:hAnsi="Arial" w:cs="Arial"/>
          <w:sz w:val="20"/>
          <w:szCs w:val="20"/>
        </w:rPr>
      </w:pPr>
    </w:p>
    <w:p w14:paraId="0CF50822" w14:textId="013A11CF" w:rsidR="00E40488" w:rsidRDefault="00E40488" w:rsidP="00E40488">
      <w:pPr>
        <w:spacing w:after="40"/>
        <w:rPr>
          <w:rFonts w:ascii="Arial" w:eastAsia="Arial Unicode MS" w:hAnsi="Arial" w:cs="Arial"/>
          <w:sz w:val="20"/>
          <w:szCs w:val="20"/>
        </w:rPr>
      </w:pPr>
    </w:p>
    <w:p w14:paraId="2FB60BDA" w14:textId="37B51EBC" w:rsidR="00832B59" w:rsidRDefault="00832B59" w:rsidP="00832B59">
      <w:pPr>
        <w:pStyle w:val="PargrafodaLista"/>
        <w:numPr>
          <w:ilvl w:val="0"/>
          <w:numId w:val="8"/>
        </w:numPr>
        <w:spacing w:after="40"/>
        <w:rPr>
          <w:rFonts w:ascii="Arial" w:eastAsia="Arial Unicode MS" w:hAnsi="Arial" w:cs="Arial"/>
          <w:sz w:val="20"/>
          <w:szCs w:val="20"/>
        </w:rPr>
      </w:pPr>
      <w:r>
        <w:rPr>
          <w:rFonts w:ascii="Arial" w:eastAsia="Arial Unicode MS" w:hAnsi="Arial" w:cs="Arial"/>
          <w:sz w:val="20"/>
          <w:szCs w:val="20"/>
        </w:rPr>
        <w:t>Dívida Ativa Não tributária</w:t>
      </w:r>
    </w:p>
    <w:p w14:paraId="2939B0EF" w14:textId="77777777" w:rsidR="00E40488" w:rsidRDefault="00E40488" w:rsidP="0034064D">
      <w:pPr>
        <w:spacing w:after="40"/>
        <w:rPr>
          <w:rFonts w:ascii="Arial" w:eastAsia="Arial Unicode MS" w:hAnsi="Arial" w:cs="Arial"/>
          <w:b/>
          <w:sz w:val="20"/>
          <w:szCs w:val="20"/>
          <w:highlight w:val="yellow"/>
        </w:rPr>
      </w:pPr>
    </w:p>
    <w:p w14:paraId="0DF57025" w14:textId="41B35E79" w:rsidR="00832B59" w:rsidRDefault="00832B59" w:rsidP="0034064D">
      <w:pPr>
        <w:spacing w:after="40"/>
        <w:rPr>
          <w:rFonts w:ascii="Arial" w:eastAsia="Arial Unicode MS" w:hAnsi="Arial" w:cs="Arial"/>
          <w:sz w:val="20"/>
          <w:szCs w:val="20"/>
        </w:rPr>
      </w:pPr>
      <w:r w:rsidRPr="003750CE">
        <w:rPr>
          <w:rFonts w:ascii="Arial" w:eastAsia="Arial Unicode MS" w:hAnsi="Arial" w:cs="Arial"/>
          <w:b/>
          <w:sz w:val="20"/>
          <w:szCs w:val="20"/>
        </w:rPr>
        <w:t>Dívida Ativa Não Tributária - composição 1º trimestre</w:t>
      </w:r>
    </w:p>
    <w:p w14:paraId="78CB94CF" w14:textId="3C971172" w:rsidR="00832B59" w:rsidRPr="0034064D" w:rsidRDefault="00832B59" w:rsidP="0034064D">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4F6DA5BC" wp14:editId="347DC90B">
            <wp:extent cx="3876675" cy="2325682"/>
            <wp:effectExtent l="0" t="0" r="0" b="63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76675" cy="2325682"/>
                    </a:xfrm>
                    <a:prstGeom prst="rect">
                      <a:avLst/>
                    </a:prstGeom>
                    <a:noFill/>
                  </pic:spPr>
                </pic:pic>
              </a:graphicData>
            </a:graphic>
          </wp:inline>
        </w:drawing>
      </w:r>
    </w:p>
    <w:p w14:paraId="20E7869B" w14:textId="308E3F16" w:rsidR="00832B59" w:rsidRDefault="00832B59" w:rsidP="0034064D">
      <w:pPr>
        <w:spacing w:after="40"/>
        <w:rPr>
          <w:rFonts w:ascii="Arial" w:eastAsia="Arial Unicode MS" w:hAnsi="Arial" w:cs="Arial"/>
          <w:sz w:val="20"/>
          <w:szCs w:val="20"/>
        </w:rPr>
      </w:pPr>
    </w:p>
    <w:p w14:paraId="5C16FC64" w14:textId="499EE155" w:rsidR="00E40488" w:rsidRDefault="00E40488" w:rsidP="0034064D">
      <w:pPr>
        <w:spacing w:after="40"/>
        <w:rPr>
          <w:rFonts w:ascii="Arial" w:eastAsia="Arial Unicode MS" w:hAnsi="Arial" w:cs="Arial"/>
          <w:sz w:val="20"/>
          <w:szCs w:val="20"/>
        </w:rPr>
      </w:pPr>
    </w:p>
    <w:p w14:paraId="65C2975B" w14:textId="77777777" w:rsidR="00E40488" w:rsidRPr="0034064D" w:rsidRDefault="00E40488" w:rsidP="0034064D">
      <w:pPr>
        <w:spacing w:after="40"/>
        <w:rPr>
          <w:rFonts w:ascii="Arial" w:eastAsia="Arial Unicode MS" w:hAnsi="Arial" w:cs="Arial"/>
          <w:sz w:val="20"/>
          <w:szCs w:val="20"/>
        </w:rPr>
      </w:pPr>
    </w:p>
    <w:p w14:paraId="7D136BA4" w14:textId="09270B45" w:rsidR="0034064D" w:rsidRPr="0034064D" w:rsidRDefault="00C4346D"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6</w:t>
      </w:r>
      <w:r w:rsidR="0034064D" w:rsidRPr="0034064D">
        <w:rPr>
          <w:rFonts w:ascii="Arial" w:eastAsia="Arial Unicode MS" w:hAnsi="Arial" w:cs="Arial"/>
          <w:b/>
          <w:color w:val="C45911" w:themeColor="accent2" w:themeShade="BF"/>
          <w:sz w:val="24"/>
          <w:szCs w:val="24"/>
        </w:rPr>
        <w:t xml:space="preserve"> – Imobilizado</w:t>
      </w:r>
    </w:p>
    <w:p w14:paraId="71DBC36A" w14:textId="77777777" w:rsidR="0034064D" w:rsidRPr="0034064D" w:rsidRDefault="0034064D" w:rsidP="0034064D">
      <w:pPr>
        <w:spacing w:before="240"/>
        <w:rPr>
          <w:rFonts w:ascii="Arial" w:eastAsia="Arial Unicode MS" w:hAnsi="Arial" w:cs="Arial"/>
          <w:b/>
          <w:sz w:val="20"/>
          <w:szCs w:val="20"/>
        </w:rPr>
      </w:pPr>
      <w:r w:rsidRPr="0034064D">
        <w:rPr>
          <w:rFonts w:ascii="Arial" w:eastAsia="Arial Unicode MS" w:hAnsi="Arial" w:cs="Arial"/>
          <w:b/>
          <w:sz w:val="20"/>
          <w:szCs w:val="20"/>
        </w:rPr>
        <w:t>Bens Móveis</w:t>
      </w:r>
    </w:p>
    <w:p w14:paraId="16E4B4B1" w14:textId="11BCFA9D"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Os Bens Móveis do IFRS em 31/</w:t>
      </w:r>
      <w:r w:rsidR="00336E24">
        <w:rPr>
          <w:rFonts w:ascii="Arial" w:eastAsia="Arial Unicode MS" w:hAnsi="Arial" w:cs="Arial"/>
          <w:sz w:val="20"/>
          <w:szCs w:val="20"/>
        </w:rPr>
        <w:t>03/2019</w:t>
      </w:r>
      <w:r w:rsidRPr="0034064D">
        <w:rPr>
          <w:rFonts w:ascii="Arial" w:eastAsia="Arial Unicode MS" w:hAnsi="Arial" w:cs="Arial"/>
          <w:sz w:val="20"/>
          <w:szCs w:val="20"/>
        </w:rPr>
        <w:t xml:space="preserve"> totalizavam</w:t>
      </w:r>
      <w:r w:rsidR="00336E24">
        <w:rPr>
          <w:rFonts w:ascii="Arial" w:eastAsia="Arial Unicode MS" w:hAnsi="Arial" w:cs="Arial"/>
          <w:sz w:val="20"/>
          <w:szCs w:val="20"/>
        </w:rPr>
        <w:t>, pelo custo de aquisição,</w:t>
      </w:r>
      <w:r w:rsidRPr="0034064D">
        <w:rPr>
          <w:rFonts w:ascii="Arial" w:eastAsia="Arial Unicode MS" w:hAnsi="Arial" w:cs="Arial"/>
          <w:sz w:val="20"/>
          <w:szCs w:val="20"/>
        </w:rPr>
        <w:t xml:space="preserve"> R$ </w:t>
      </w:r>
      <w:r w:rsidR="00336E24">
        <w:rPr>
          <w:rFonts w:ascii="Arial" w:eastAsia="Arial Unicode MS" w:hAnsi="Arial" w:cs="Arial"/>
          <w:sz w:val="20"/>
          <w:szCs w:val="20"/>
        </w:rPr>
        <w:t>105</w:t>
      </w:r>
      <w:r w:rsidRPr="0034064D">
        <w:rPr>
          <w:rFonts w:ascii="Arial" w:eastAsia="Arial Unicode MS" w:hAnsi="Arial" w:cs="Arial"/>
          <w:sz w:val="20"/>
          <w:szCs w:val="20"/>
        </w:rPr>
        <w:t xml:space="preserve"> milhões e estão distribuídos em várias contas contábeis</w:t>
      </w:r>
      <w:r w:rsidR="00D96ECC">
        <w:rPr>
          <w:rFonts w:ascii="Arial" w:eastAsia="Arial Unicode MS" w:hAnsi="Arial" w:cs="Arial"/>
          <w:sz w:val="20"/>
          <w:szCs w:val="20"/>
        </w:rPr>
        <w:t xml:space="preserve">, </w:t>
      </w:r>
      <w:r w:rsidR="00D96ECC" w:rsidRPr="0034064D">
        <w:rPr>
          <w:rFonts w:ascii="Arial" w:eastAsia="Arial Unicode MS" w:hAnsi="Arial" w:cs="Arial"/>
          <w:sz w:val="20"/>
          <w:szCs w:val="20"/>
        </w:rPr>
        <w:t xml:space="preserve">conforme </w:t>
      </w:r>
      <w:r w:rsidR="00D96ECC" w:rsidRPr="003750CE">
        <w:rPr>
          <w:rFonts w:ascii="Arial" w:eastAsia="Arial Unicode MS" w:hAnsi="Arial" w:cs="Arial"/>
          <w:sz w:val="20"/>
          <w:szCs w:val="20"/>
        </w:rPr>
        <w:t>detalhado na tabela a seguir, sendo de maior representatividade o investimento em Equipamentos de tecnologia da informação e comunicação/TIC, no valor de R$ 25 milhões (24% do total), sendo este, também, o grupo que recebeu mais recursos nos últimos 12 meses (R$ 1,3 milhões)</w:t>
      </w:r>
      <w:r w:rsidR="009152D8" w:rsidRPr="003750CE">
        <w:rPr>
          <w:rFonts w:ascii="Arial" w:eastAsia="Arial Unicode MS" w:hAnsi="Arial" w:cs="Arial"/>
          <w:sz w:val="20"/>
          <w:szCs w:val="20"/>
        </w:rPr>
        <w:t>, seguido de Coleções e materiais bibliográficos (R$ 925 mil)</w:t>
      </w:r>
      <w:r w:rsidRPr="003750CE">
        <w:rPr>
          <w:rFonts w:ascii="Arial" w:eastAsia="Arial Unicode MS" w:hAnsi="Arial" w:cs="Arial"/>
          <w:sz w:val="20"/>
          <w:szCs w:val="20"/>
        </w:rPr>
        <w:t>.</w:t>
      </w:r>
    </w:p>
    <w:p w14:paraId="6CE20418" w14:textId="0E595830" w:rsidR="0034064D" w:rsidRDefault="0034064D" w:rsidP="0034064D">
      <w:pPr>
        <w:spacing w:after="40"/>
        <w:rPr>
          <w:rFonts w:ascii="Arial" w:eastAsia="Arial Unicode MS" w:hAnsi="Arial" w:cs="Arial"/>
          <w:sz w:val="20"/>
          <w:szCs w:val="20"/>
        </w:rPr>
      </w:pPr>
    </w:p>
    <w:p w14:paraId="5E3126D0" w14:textId="77777777" w:rsidR="00E40488" w:rsidRDefault="00E40488" w:rsidP="0034064D">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num="2" w:space="708"/>
          <w:docGrid w:linePitch="360"/>
        </w:sectPr>
      </w:pPr>
    </w:p>
    <w:p w14:paraId="1498E169" w14:textId="08F29B01" w:rsidR="00336E24" w:rsidRDefault="009F38DB" w:rsidP="0034064D">
      <w:pPr>
        <w:spacing w:after="40"/>
        <w:rPr>
          <w:rFonts w:ascii="Arial" w:eastAsia="Arial Unicode MS" w:hAnsi="Arial" w:cs="Arial"/>
          <w:sz w:val="20"/>
          <w:szCs w:val="20"/>
        </w:rPr>
      </w:pPr>
      <w:r w:rsidRPr="009F38DB">
        <w:rPr>
          <w:noProof/>
          <w:lang w:eastAsia="pt-BR"/>
        </w:rPr>
        <w:lastRenderedPageBreak/>
        <w:drawing>
          <wp:inline distT="0" distB="0" distL="0" distR="0" wp14:anchorId="6121FD15" wp14:editId="2EDAB39D">
            <wp:extent cx="8858151" cy="6019800"/>
            <wp:effectExtent l="0" t="0" r="635"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0956" cy="6021706"/>
                    </a:xfrm>
                    <a:prstGeom prst="rect">
                      <a:avLst/>
                    </a:prstGeom>
                    <a:noFill/>
                    <a:ln>
                      <a:noFill/>
                    </a:ln>
                  </pic:spPr>
                </pic:pic>
              </a:graphicData>
            </a:graphic>
          </wp:inline>
        </w:drawing>
      </w:r>
    </w:p>
    <w:p w14:paraId="1F902DA3" w14:textId="77777777" w:rsidR="00E40488" w:rsidRDefault="00E40488" w:rsidP="0034064D">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space="708"/>
          <w:docGrid w:linePitch="360"/>
        </w:sectPr>
      </w:pPr>
    </w:p>
    <w:p w14:paraId="54200C31" w14:textId="1EAAF545" w:rsidR="009F38DB" w:rsidRDefault="009F38DB" w:rsidP="0034064D">
      <w:pPr>
        <w:spacing w:after="40"/>
        <w:rPr>
          <w:rFonts w:ascii="Arial" w:eastAsia="Arial Unicode MS" w:hAnsi="Arial" w:cs="Arial"/>
          <w:sz w:val="20"/>
          <w:szCs w:val="20"/>
        </w:rPr>
      </w:pPr>
    </w:p>
    <w:p w14:paraId="47097972" w14:textId="77777777" w:rsidR="009F38DB" w:rsidRDefault="009F38DB" w:rsidP="0034064D">
      <w:pPr>
        <w:spacing w:after="40"/>
        <w:rPr>
          <w:rFonts w:ascii="Arial" w:eastAsia="Arial Unicode MS" w:hAnsi="Arial" w:cs="Arial"/>
          <w:sz w:val="20"/>
          <w:szCs w:val="20"/>
        </w:rPr>
      </w:pPr>
    </w:p>
    <w:p w14:paraId="59489156" w14:textId="3E9BAD46" w:rsidR="0034064D" w:rsidRPr="009152D8" w:rsidRDefault="0034064D" w:rsidP="009152D8">
      <w:pPr>
        <w:spacing w:before="240"/>
        <w:rPr>
          <w:rFonts w:ascii="Arial" w:eastAsia="Arial Unicode MS" w:hAnsi="Arial" w:cs="Arial"/>
          <w:b/>
          <w:sz w:val="20"/>
          <w:szCs w:val="20"/>
        </w:rPr>
      </w:pPr>
      <w:r w:rsidRPr="009152D8">
        <w:rPr>
          <w:rFonts w:ascii="Arial" w:eastAsia="Arial Unicode MS" w:hAnsi="Arial" w:cs="Arial"/>
          <w:b/>
          <w:sz w:val="20"/>
          <w:szCs w:val="20"/>
        </w:rPr>
        <w:lastRenderedPageBreak/>
        <w:t>Bens Imóveis</w:t>
      </w:r>
    </w:p>
    <w:p w14:paraId="4FFC8102" w14:textId="2E48D984"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Os Bens Imóveis do IFRS, em 31/</w:t>
      </w:r>
      <w:r w:rsidR="00C30501">
        <w:rPr>
          <w:rFonts w:ascii="Arial" w:eastAsia="Arial Unicode MS" w:hAnsi="Arial" w:cs="Arial"/>
          <w:sz w:val="20"/>
          <w:szCs w:val="20"/>
        </w:rPr>
        <w:t>03/2019</w:t>
      </w:r>
      <w:r w:rsidRPr="0034064D">
        <w:rPr>
          <w:rFonts w:ascii="Arial" w:eastAsia="Arial Unicode MS" w:hAnsi="Arial" w:cs="Arial"/>
          <w:sz w:val="20"/>
          <w:szCs w:val="20"/>
        </w:rPr>
        <w:t>, totaliza</w:t>
      </w:r>
      <w:r w:rsidR="00C30501">
        <w:rPr>
          <w:rFonts w:ascii="Arial" w:eastAsia="Arial Unicode MS" w:hAnsi="Arial" w:cs="Arial"/>
          <w:sz w:val="20"/>
          <w:szCs w:val="20"/>
        </w:rPr>
        <w:t>r</w:t>
      </w:r>
      <w:r w:rsidRPr="0034064D">
        <w:rPr>
          <w:rFonts w:ascii="Arial" w:eastAsia="Arial Unicode MS" w:hAnsi="Arial" w:cs="Arial"/>
          <w:sz w:val="20"/>
          <w:szCs w:val="20"/>
        </w:rPr>
        <w:t>am R$ 23</w:t>
      </w:r>
      <w:r w:rsidR="00C30501">
        <w:rPr>
          <w:rFonts w:ascii="Arial" w:eastAsia="Arial Unicode MS" w:hAnsi="Arial" w:cs="Arial"/>
          <w:sz w:val="20"/>
          <w:szCs w:val="20"/>
        </w:rPr>
        <w:t>2</w:t>
      </w:r>
      <w:r w:rsidRPr="0034064D">
        <w:rPr>
          <w:rFonts w:ascii="Arial" w:eastAsia="Arial Unicode MS" w:hAnsi="Arial" w:cs="Arial"/>
          <w:sz w:val="20"/>
          <w:szCs w:val="20"/>
        </w:rPr>
        <w:t xml:space="preserve"> milhões e estão distribuídos conforme demonstrado na tabela a seguir.</w:t>
      </w:r>
    </w:p>
    <w:p w14:paraId="5C2AEAE7" w14:textId="05DBAD6B" w:rsidR="0034064D" w:rsidRDefault="00C30501" w:rsidP="0034064D">
      <w:pPr>
        <w:spacing w:after="40"/>
        <w:rPr>
          <w:rFonts w:ascii="Arial" w:eastAsia="Arial Unicode MS" w:hAnsi="Arial" w:cs="Arial"/>
          <w:sz w:val="20"/>
          <w:szCs w:val="20"/>
        </w:rPr>
      </w:pPr>
      <w:r w:rsidRPr="00C30501">
        <w:rPr>
          <w:noProof/>
          <w:lang w:eastAsia="pt-BR"/>
        </w:rPr>
        <w:drawing>
          <wp:inline distT="0" distB="0" distL="0" distR="0" wp14:anchorId="7E12D6E2" wp14:editId="1F2912FD">
            <wp:extent cx="4816270" cy="1628775"/>
            <wp:effectExtent l="0" t="0" r="381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49540" cy="1640026"/>
                    </a:xfrm>
                    <a:prstGeom prst="rect">
                      <a:avLst/>
                    </a:prstGeom>
                    <a:noFill/>
                    <a:ln>
                      <a:noFill/>
                    </a:ln>
                  </pic:spPr>
                </pic:pic>
              </a:graphicData>
            </a:graphic>
          </wp:inline>
        </w:drawing>
      </w:r>
    </w:p>
    <w:p w14:paraId="11BF3335" w14:textId="4C95B1F7" w:rsidR="00C30501" w:rsidRDefault="00C30501" w:rsidP="0034064D">
      <w:pPr>
        <w:spacing w:after="40"/>
        <w:rPr>
          <w:rFonts w:ascii="Arial" w:eastAsia="Arial Unicode MS" w:hAnsi="Arial" w:cs="Arial"/>
          <w:sz w:val="20"/>
          <w:szCs w:val="20"/>
        </w:rPr>
      </w:pPr>
      <w:r>
        <w:rPr>
          <w:rFonts w:ascii="Arial" w:eastAsia="Arial Unicode MS" w:hAnsi="Arial" w:cs="Arial"/>
          <w:sz w:val="20"/>
          <w:szCs w:val="20"/>
        </w:rPr>
        <w:t>Nos últimos 12 meses, os Imóveis de Uso Educacional somaram valorização de 11%, em maior parte, devido à conclusão das obras em andamento e correspondem, atualmente, à 86% do total de bens imóveis do IFRS. 7% do total de bens imóveis correspondem à obras que permanecem em andamento no primeiro trimestre de 2019.</w:t>
      </w:r>
    </w:p>
    <w:p w14:paraId="20BADAA0"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Porto Alegre</w:t>
      </w:r>
    </w:p>
    <w:p w14:paraId="3B620032" w14:textId="6004BC3A"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19</w:t>
      </w:r>
      <w:r w:rsidRPr="0034064D">
        <w:rPr>
          <w:rFonts w:ascii="Arial" w:eastAsia="Arial Unicode MS" w:hAnsi="Arial" w:cs="Arial"/>
          <w:sz w:val="20"/>
          <w:szCs w:val="20"/>
        </w:rPr>
        <w:t>% correspondem ao edifício Ulbra Saúde Porto Alegre, de 10 pavimentos, sede da estrutura administrativa e de ensino do campus em</w:t>
      </w:r>
      <w:r w:rsidR="00837C80">
        <w:rPr>
          <w:rFonts w:ascii="Arial" w:eastAsia="Arial Unicode MS" w:hAnsi="Arial" w:cs="Arial"/>
          <w:sz w:val="20"/>
          <w:szCs w:val="20"/>
        </w:rPr>
        <w:t xml:space="preserve"> Porto Alegre, doado pela União e </w:t>
      </w:r>
      <w:r w:rsidR="00837C80" w:rsidRPr="0034064D">
        <w:rPr>
          <w:rFonts w:ascii="Arial" w:eastAsia="Arial Unicode MS" w:hAnsi="Arial" w:cs="Arial"/>
          <w:sz w:val="20"/>
          <w:szCs w:val="20"/>
        </w:rPr>
        <w:t>avaliado em R$ 33,8 milhões</w:t>
      </w:r>
      <w:r w:rsidRPr="0034064D">
        <w:rPr>
          <w:rFonts w:ascii="Arial" w:eastAsia="Arial Unicode MS" w:hAnsi="Arial" w:cs="Arial"/>
          <w:sz w:val="20"/>
          <w:szCs w:val="20"/>
        </w:rPr>
        <w:t>.</w:t>
      </w:r>
    </w:p>
    <w:p w14:paraId="39AE505C" w14:textId="77777777" w:rsidR="0034064D" w:rsidRPr="00E40488" w:rsidRDefault="0034064D" w:rsidP="0034064D">
      <w:pPr>
        <w:spacing w:after="40"/>
        <w:rPr>
          <w:rFonts w:ascii="Arial" w:eastAsia="Arial Unicode MS" w:hAnsi="Arial" w:cs="Arial"/>
          <w:b/>
          <w:sz w:val="20"/>
          <w:szCs w:val="20"/>
        </w:rPr>
      </w:pPr>
      <w:r w:rsidRPr="00E40488">
        <w:rPr>
          <w:rFonts w:ascii="Arial" w:eastAsia="Arial Unicode MS" w:hAnsi="Arial" w:cs="Arial"/>
          <w:b/>
          <w:sz w:val="20"/>
          <w:szCs w:val="20"/>
        </w:rPr>
        <w:t>Campus Sertão</w:t>
      </w:r>
    </w:p>
    <w:p w14:paraId="6F4DBD39" w14:textId="29304E2B"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 xml:space="preserve">Dos Bens Imóveis de Uso </w:t>
      </w:r>
      <w:r w:rsidR="00C30501">
        <w:rPr>
          <w:rFonts w:ascii="Arial" w:eastAsia="Arial Unicode MS" w:hAnsi="Arial" w:cs="Arial"/>
          <w:sz w:val="20"/>
          <w:szCs w:val="20"/>
        </w:rPr>
        <w:t>Educacional do IFRS, cerca de 15</w:t>
      </w:r>
      <w:r w:rsidRPr="0034064D">
        <w:rPr>
          <w:rFonts w:ascii="Arial" w:eastAsia="Arial Unicode MS" w:hAnsi="Arial" w:cs="Arial"/>
          <w:sz w:val="20"/>
          <w:szCs w:val="20"/>
        </w:rPr>
        <w:t xml:space="preserve">% </w:t>
      </w:r>
      <w:r w:rsidR="00837C80">
        <w:rPr>
          <w:rFonts w:ascii="Arial" w:eastAsia="Arial Unicode MS" w:hAnsi="Arial" w:cs="Arial"/>
          <w:sz w:val="20"/>
          <w:szCs w:val="20"/>
        </w:rPr>
        <w:t>pertencem</w:t>
      </w:r>
      <w:r w:rsidRPr="0034064D">
        <w:rPr>
          <w:rFonts w:ascii="Arial" w:eastAsia="Arial Unicode MS" w:hAnsi="Arial" w:cs="Arial"/>
          <w:sz w:val="20"/>
          <w:szCs w:val="20"/>
        </w:rPr>
        <w:t xml:space="preserve"> </w:t>
      </w:r>
      <w:r w:rsidR="00837C80">
        <w:rPr>
          <w:rFonts w:ascii="Arial" w:eastAsia="Arial Unicode MS" w:hAnsi="Arial" w:cs="Arial"/>
          <w:sz w:val="20"/>
          <w:szCs w:val="20"/>
        </w:rPr>
        <w:t>ao</w:t>
      </w:r>
      <w:r w:rsidRPr="0034064D">
        <w:rPr>
          <w:rFonts w:ascii="Arial" w:eastAsia="Arial Unicode MS" w:hAnsi="Arial" w:cs="Arial"/>
          <w:sz w:val="20"/>
          <w:szCs w:val="20"/>
        </w:rPr>
        <w:t xml:space="preserve"> Campus Sertão, avaliados em R$ 30,3 milhões, correspondente, principalmente, a fração de terra e mato destinada a agricultura, pecuária e benfeitorias: casas de moradias, oficina mecânica, garagem para veículos, marcenaria, lavanderia, depósito de veneno, alojamentos, oratório, refeitório, padaria, ginásio de esporte, prédio administrativo com salas de aula e laboratório, biblioteca com laboratório de informática, um prédio bloco A2 com 8 salas de aula, ambulatório, almoxarifado com posto de vendas, centro de artes culturas e integração, 9 salas de aula nos setores de agricultura e pecuária (agricultura I, II, III, zootecnia I, II, III, irrigação e drenagem e agroindústria), depósito de insumos, silo e beneficiamento de grãos, fábrica de ração, aviário de corte, aviário de postura, agroindústria (abatedouro, sala de vegetação e sala do leite ) suíno, ovino, cunicultura e central de inseminação de ovinos, aviário de corte experimento/ </w:t>
      </w:r>
      <w:r w:rsidRPr="0034064D">
        <w:rPr>
          <w:rFonts w:ascii="Arial" w:eastAsia="Arial Unicode MS" w:hAnsi="Arial" w:cs="Arial"/>
          <w:sz w:val="20"/>
          <w:szCs w:val="20"/>
        </w:rPr>
        <w:t>consumo da escola, sala de aula e laboratório fitopatologia e entomologia, prédio com salas de coordenação dos cursos superiores, salas de aula e administrativas dos cursos superiores, prédio do restaurante terceirizado, prédio com sala de aula licenciatura, centro de memória, guarita e pórtico de entrada curso superior, guarita e pórtico de entrada do prédio central.</w:t>
      </w:r>
    </w:p>
    <w:p w14:paraId="146131D0" w14:textId="43CA1CA2"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7</w:t>
      </w:r>
      <w:r w:rsidR="0034064D" w:rsidRPr="008E66EE">
        <w:rPr>
          <w:rFonts w:ascii="Arial" w:eastAsia="Arial Unicode MS" w:hAnsi="Arial" w:cs="Arial"/>
          <w:b/>
          <w:color w:val="C45911" w:themeColor="accent2" w:themeShade="BF"/>
          <w:sz w:val="24"/>
          <w:szCs w:val="24"/>
        </w:rPr>
        <w:t xml:space="preserve"> – Intangível</w:t>
      </w:r>
    </w:p>
    <w:p w14:paraId="6FC0C703" w14:textId="40438D8F"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O Ativo Intangível do IFRS, em 31/</w:t>
      </w:r>
      <w:r w:rsidR="004B6577">
        <w:rPr>
          <w:rFonts w:ascii="Arial" w:eastAsia="Arial Unicode MS" w:hAnsi="Arial" w:cs="Arial"/>
          <w:sz w:val="20"/>
          <w:szCs w:val="20"/>
        </w:rPr>
        <w:t>03/2019</w:t>
      </w:r>
      <w:r w:rsidRPr="0034064D">
        <w:rPr>
          <w:rFonts w:ascii="Arial" w:eastAsia="Arial Unicode MS" w:hAnsi="Arial" w:cs="Arial"/>
          <w:sz w:val="20"/>
          <w:szCs w:val="20"/>
        </w:rPr>
        <w:t xml:space="preserve">, totalizou R$ </w:t>
      </w:r>
      <w:r w:rsidR="004B6577">
        <w:rPr>
          <w:rFonts w:ascii="Arial" w:eastAsia="Arial Unicode MS" w:hAnsi="Arial" w:cs="Arial"/>
          <w:sz w:val="20"/>
          <w:szCs w:val="20"/>
        </w:rPr>
        <w:t>1,3 milhões</w:t>
      </w:r>
      <w:r w:rsidRPr="0034064D">
        <w:rPr>
          <w:rFonts w:ascii="Arial" w:eastAsia="Arial Unicode MS" w:hAnsi="Arial" w:cs="Arial"/>
          <w:sz w:val="20"/>
          <w:szCs w:val="20"/>
        </w:rPr>
        <w:t>, conforme detalhado na tabela a seguir.</w:t>
      </w:r>
    </w:p>
    <w:p w14:paraId="7399EB83" w14:textId="051E9642" w:rsidR="0034064D" w:rsidRDefault="004B6577" w:rsidP="0034064D">
      <w:pPr>
        <w:spacing w:after="40"/>
        <w:rPr>
          <w:rFonts w:ascii="Arial" w:eastAsia="Arial Unicode MS" w:hAnsi="Arial" w:cs="Arial"/>
          <w:sz w:val="20"/>
          <w:szCs w:val="20"/>
        </w:rPr>
      </w:pPr>
      <w:r w:rsidRPr="004B6577">
        <w:rPr>
          <w:noProof/>
          <w:lang w:eastAsia="pt-BR"/>
        </w:rPr>
        <w:drawing>
          <wp:inline distT="0" distB="0" distL="0" distR="0" wp14:anchorId="66AA0BE2" wp14:editId="57B63BBD">
            <wp:extent cx="4924425" cy="2771775"/>
            <wp:effectExtent l="0" t="0" r="9525" b="952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24425" cy="2771775"/>
                    </a:xfrm>
                    <a:prstGeom prst="rect">
                      <a:avLst/>
                    </a:prstGeom>
                    <a:noFill/>
                    <a:ln>
                      <a:noFill/>
                    </a:ln>
                  </pic:spPr>
                </pic:pic>
              </a:graphicData>
            </a:graphic>
          </wp:inline>
        </w:drawing>
      </w:r>
    </w:p>
    <w:p w14:paraId="7859F5FB" w14:textId="77777777" w:rsidR="004B6577" w:rsidRPr="0034064D" w:rsidRDefault="004B6577" w:rsidP="0034064D">
      <w:pPr>
        <w:spacing w:after="40"/>
        <w:rPr>
          <w:rFonts w:ascii="Arial" w:eastAsia="Arial Unicode MS" w:hAnsi="Arial" w:cs="Arial"/>
          <w:sz w:val="20"/>
          <w:szCs w:val="20"/>
        </w:rPr>
      </w:pPr>
    </w:p>
    <w:p w14:paraId="6A94880E" w14:textId="53F0C582" w:rsidR="004B6577" w:rsidRDefault="004B6577" w:rsidP="0034064D">
      <w:pPr>
        <w:spacing w:after="40"/>
        <w:rPr>
          <w:rFonts w:ascii="Arial" w:eastAsia="Arial Unicode MS" w:hAnsi="Arial" w:cs="Arial"/>
          <w:sz w:val="20"/>
          <w:szCs w:val="20"/>
        </w:rPr>
      </w:pPr>
      <w:r w:rsidRPr="003750CE">
        <w:rPr>
          <w:rFonts w:ascii="Arial" w:eastAsia="Arial Unicode MS" w:hAnsi="Arial" w:cs="Arial"/>
          <w:sz w:val="20"/>
          <w:szCs w:val="20"/>
        </w:rPr>
        <w:t>Entre os softwares com valores mais representativos no âmbito do IFRS, R$ 298 mil (23%) referem-se ao software de integração e simulação flexível de manufatura, adquirido pelo campus Restinga e, R$ 110 mil (9%) referem-se a licenças de uso do Windows 2010, para utilização nos computadores do campus Feliz, fornecidos pela</w:t>
      </w:r>
      <w:r w:rsidRPr="004B6577">
        <w:rPr>
          <w:rFonts w:ascii="Arial" w:eastAsia="Arial Unicode MS" w:hAnsi="Arial" w:cs="Arial"/>
          <w:sz w:val="20"/>
          <w:szCs w:val="20"/>
        </w:rPr>
        <w:t xml:space="preserve"> Microsoft Informática LTDA.</w:t>
      </w:r>
    </w:p>
    <w:p w14:paraId="5BC508AD" w14:textId="3248DB12" w:rsidR="004B6577" w:rsidRDefault="004B6577" w:rsidP="0034064D">
      <w:pPr>
        <w:spacing w:after="40"/>
        <w:rPr>
          <w:rFonts w:ascii="Arial" w:eastAsia="Arial Unicode MS" w:hAnsi="Arial" w:cs="Arial"/>
          <w:sz w:val="20"/>
          <w:szCs w:val="20"/>
        </w:rPr>
      </w:pPr>
      <w:r>
        <w:rPr>
          <w:rFonts w:ascii="Arial" w:eastAsia="Arial Unicode MS" w:hAnsi="Arial" w:cs="Arial"/>
          <w:sz w:val="20"/>
          <w:szCs w:val="20"/>
        </w:rPr>
        <w:t xml:space="preserve">O aumento líquido de </w:t>
      </w:r>
      <w:r w:rsidR="00B17734">
        <w:rPr>
          <w:rFonts w:ascii="Arial" w:eastAsia="Arial Unicode MS" w:hAnsi="Arial" w:cs="Arial"/>
          <w:sz w:val="20"/>
          <w:szCs w:val="20"/>
        </w:rPr>
        <w:t>bens intang</w:t>
      </w:r>
      <w:r w:rsidR="00C46E2A">
        <w:rPr>
          <w:rFonts w:ascii="Arial" w:eastAsia="Arial Unicode MS" w:hAnsi="Arial" w:cs="Arial"/>
          <w:sz w:val="20"/>
          <w:szCs w:val="20"/>
        </w:rPr>
        <w:t>íveis no primeiro trimestre de 2019 em relação ao mesmo período do exercício anterior foi de 26%</w:t>
      </w:r>
      <w:r w:rsidR="008E66EE">
        <w:rPr>
          <w:rFonts w:ascii="Arial" w:eastAsia="Arial Unicode MS" w:hAnsi="Arial" w:cs="Arial"/>
          <w:sz w:val="20"/>
          <w:szCs w:val="20"/>
        </w:rPr>
        <w:t>, considerando a amortização acumulada dos softwares com vida útil definida.</w:t>
      </w:r>
    </w:p>
    <w:p w14:paraId="351A5CA4" w14:textId="05AC83BC" w:rsidR="004B6577" w:rsidRDefault="004B6577" w:rsidP="0034064D">
      <w:pPr>
        <w:spacing w:after="40"/>
        <w:rPr>
          <w:rFonts w:ascii="Arial" w:eastAsia="Arial Unicode MS" w:hAnsi="Arial" w:cs="Arial"/>
          <w:sz w:val="20"/>
          <w:szCs w:val="20"/>
        </w:rPr>
      </w:pPr>
      <w:r w:rsidRPr="004B6577">
        <w:rPr>
          <w:noProof/>
          <w:lang w:eastAsia="pt-BR"/>
        </w:rPr>
        <w:lastRenderedPageBreak/>
        <w:drawing>
          <wp:inline distT="0" distB="0" distL="0" distR="0" wp14:anchorId="74D21C6F" wp14:editId="44E7A4DD">
            <wp:extent cx="5791200" cy="1057275"/>
            <wp:effectExtent l="0" t="0" r="0" b="952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1200" cy="1057275"/>
                    </a:xfrm>
                    <a:prstGeom prst="rect">
                      <a:avLst/>
                    </a:prstGeom>
                    <a:noFill/>
                    <a:ln>
                      <a:noFill/>
                    </a:ln>
                  </pic:spPr>
                </pic:pic>
              </a:graphicData>
            </a:graphic>
          </wp:inline>
        </w:drawing>
      </w:r>
    </w:p>
    <w:p w14:paraId="076E426F" w14:textId="37A9BB84" w:rsidR="0034064D" w:rsidRPr="0034064D" w:rsidRDefault="0034064D" w:rsidP="0034064D">
      <w:pPr>
        <w:spacing w:after="40"/>
        <w:rPr>
          <w:rFonts w:ascii="Arial" w:eastAsia="Arial Unicode MS" w:hAnsi="Arial" w:cs="Arial"/>
          <w:sz w:val="20"/>
          <w:szCs w:val="20"/>
        </w:rPr>
      </w:pPr>
    </w:p>
    <w:p w14:paraId="2BF75D24" w14:textId="250C4005" w:rsidR="0034064D" w:rsidRPr="0034064D" w:rsidRDefault="008E66EE" w:rsidP="0034064D">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8</w:t>
      </w:r>
      <w:r w:rsidR="0034064D" w:rsidRPr="0034064D">
        <w:rPr>
          <w:rFonts w:ascii="Arial" w:eastAsia="Arial Unicode MS" w:hAnsi="Arial" w:cs="Arial"/>
          <w:b/>
          <w:color w:val="C45911" w:themeColor="accent2" w:themeShade="BF"/>
          <w:sz w:val="24"/>
          <w:szCs w:val="24"/>
        </w:rPr>
        <w:t xml:space="preserve"> – Obrigações Trabalhistas, Previdenciárias e Assistenciais</w:t>
      </w:r>
    </w:p>
    <w:p w14:paraId="4BBCE620" w14:textId="77777777" w:rsidR="0034064D" w:rsidRP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A tabela a seguir demonstra a composição das obrigações trabalhistas, previdenciárias e assistenciais no IFRS.</w:t>
      </w:r>
    </w:p>
    <w:p w14:paraId="61C8F11C" w14:textId="1A4C5AEE" w:rsidR="003114B7" w:rsidRPr="0034064D" w:rsidRDefault="003114B7" w:rsidP="0034064D">
      <w:pPr>
        <w:spacing w:after="40"/>
        <w:rPr>
          <w:rFonts w:ascii="Arial" w:eastAsia="Arial Unicode MS" w:hAnsi="Arial" w:cs="Arial"/>
          <w:sz w:val="20"/>
          <w:szCs w:val="20"/>
        </w:rPr>
      </w:pPr>
      <w:r w:rsidRPr="003114B7">
        <w:rPr>
          <w:noProof/>
          <w:lang w:eastAsia="pt-BR"/>
        </w:rPr>
        <w:drawing>
          <wp:inline distT="0" distB="0" distL="0" distR="0" wp14:anchorId="5169DC6A" wp14:editId="497EA352">
            <wp:extent cx="4895850" cy="1838325"/>
            <wp:effectExtent l="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895850" cy="1838325"/>
                    </a:xfrm>
                    <a:prstGeom prst="rect">
                      <a:avLst/>
                    </a:prstGeom>
                    <a:noFill/>
                    <a:ln>
                      <a:noFill/>
                    </a:ln>
                  </pic:spPr>
                </pic:pic>
              </a:graphicData>
            </a:graphic>
          </wp:inline>
        </w:drawing>
      </w:r>
    </w:p>
    <w:p w14:paraId="3A4DAFBE" w14:textId="74735648" w:rsidR="0034064D" w:rsidRDefault="0034064D" w:rsidP="0034064D">
      <w:pPr>
        <w:spacing w:after="40"/>
        <w:rPr>
          <w:rFonts w:ascii="Arial" w:eastAsia="Arial Unicode MS" w:hAnsi="Arial" w:cs="Arial"/>
          <w:sz w:val="20"/>
          <w:szCs w:val="20"/>
        </w:rPr>
      </w:pPr>
      <w:r w:rsidRPr="0034064D">
        <w:rPr>
          <w:rFonts w:ascii="Arial" w:eastAsia="Arial Unicode MS" w:hAnsi="Arial" w:cs="Arial"/>
          <w:sz w:val="20"/>
          <w:szCs w:val="20"/>
        </w:rPr>
        <w:t>Em sua maior parte, as obrigações trabalhistas, previdenciárias e assistenciais, em 31/</w:t>
      </w:r>
      <w:r w:rsidR="003114B7">
        <w:rPr>
          <w:rFonts w:ascii="Arial" w:eastAsia="Arial Unicode MS" w:hAnsi="Arial" w:cs="Arial"/>
          <w:sz w:val="20"/>
          <w:szCs w:val="20"/>
        </w:rPr>
        <w:t>03</w:t>
      </w:r>
      <w:r w:rsidRPr="0034064D">
        <w:rPr>
          <w:rFonts w:ascii="Arial" w:eastAsia="Arial Unicode MS" w:hAnsi="Arial" w:cs="Arial"/>
          <w:sz w:val="20"/>
          <w:szCs w:val="20"/>
        </w:rPr>
        <w:t>/201</w:t>
      </w:r>
      <w:r w:rsidR="003114B7">
        <w:rPr>
          <w:rFonts w:ascii="Arial" w:eastAsia="Arial Unicode MS" w:hAnsi="Arial" w:cs="Arial"/>
          <w:sz w:val="20"/>
          <w:szCs w:val="20"/>
        </w:rPr>
        <w:t>9</w:t>
      </w:r>
      <w:r w:rsidRPr="0034064D">
        <w:rPr>
          <w:rFonts w:ascii="Arial" w:eastAsia="Arial Unicode MS" w:hAnsi="Arial" w:cs="Arial"/>
          <w:sz w:val="20"/>
          <w:szCs w:val="20"/>
        </w:rPr>
        <w:t xml:space="preserve">, correspondem a folha de pagamento do mês de </w:t>
      </w:r>
      <w:r w:rsidR="003114B7">
        <w:rPr>
          <w:rFonts w:ascii="Arial" w:eastAsia="Arial Unicode MS" w:hAnsi="Arial" w:cs="Arial"/>
          <w:sz w:val="20"/>
          <w:szCs w:val="20"/>
        </w:rPr>
        <w:t>fevereiro</w:t>
      </w:r>
      <w:r w:rsidRPr="0034064D">
        <w:rPr>
          <w:rFonts w:ascii="Arial" w:eastAsia="Arial Unicode MS" w:hAnsi="Arial" w:cs="Arial"/>
          <w:sz w:val="20"/>
          <w:szCs w:val="20"/>
        </w:rPr>
        <w:t xml:space="preserve">, cujo pagamento ocorreu no mês de </w:t>
      </w:r>
      <w:r w:rsidR="003114B7">
        <w:rPr>
          <w:rFonts w:ascii="Arial" w:eastAsia="Arial Unicode MS" w:hAnsi="Arial" w:cs="Arial"/>
          <w:sz w:val="20"/>
          <w:szCs w:val="20"/>
        </w:rPr>
        <w:t>março, diferentemente do mesmo período do exercício anterior, quando o pagamento ocorreu dentro do mesmo mês de referência.</w:t>
      </w:r>
    </w:p>
    <w:p w14:paraId="07C1ED03" w14:textId="77777777" w:rsidR="003114B7" w:rsidRPr="0034064D" w:rsidRDefault="003114B7" w:rsidP="0034064D">
      <w:pPr>
        <w:spacing w:after="40"/>
        <w:rPr>
          <w:rFonts w:ascii="Arial" w:eastAsia="Arial Unicode MS" w:hAnsi="Arial" w:cs="Arial"/>
          <w:sz w:val="20"/>
          <w:szCs w:val="20"/>
        </w:rPr>
      </w:pPr>
    </w:p>
    <w:p w14:paraId="515BE723" w14:textId="1C640CF1" w:rsidR="0034064D" w:rsidRPr="0034064D" w:rsidRDefault="00E40488" w:rsidP="0034064D">
      <w:pPr>
        <w:spacing w:after="240"/>
        <w:ind w:firstLine="284"/>
        <w:rPr>
          <w:rFonts w:ascii="Arial" w:eastAsia="Arial Unicode MS" w:hAnsi="Arial" w:cs="Arial"/>
          <w:b/>
          <w:color w:val="C45911" w:themeColor="accent2" w:themeShade="BF"/>
          <w:sz w:val="24"/>
          <w:szCs w:val="24"/>
        </w:rPr>
      </w:pPr>
      <w:r w:rsidRPr="00C544CF">
        <w:rPr>
          <w:rFonts w:ascii="Arial" w:eastAsia="Arial Unicode MS" w:hAnsi="Arial" w:cs="Arial"/>
          <w:b/>
          <w:color w:val="C45911" w:themeColor="accent2" w:themeShade="BF"/>
          <w:sz w:val="24"/>
          <w:szCs w:val="24"/>
        </w:rPr>
        <w:t>Nota 9</w:t>
      </w:r>
      <w:r w:rsidR="0034064D" w:rsidRPr="00C544CF">
        <w:rPr>
          <w:rFonts w:ascii="Arial" w:eastAsia="Arial Unicode MS" w:hAnsi="Arial" w:cs="Arial"/>
          <w:b/>
          <w:color w:val="C45911" w:themeColor="accent2" w:themeShade="BF"/>
          <w:sz w:val="24"/>
          <w:szCs w:val="24"/>
        </w:rPr>
        <w:t xml:space="preserve"> – Obrigações a Curto e Longo Prazo</w:t>
      </w:r>
    </w:p>
    <w:p w14:paraId="6DF3B33D"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Em 31/03/2019, o IFRS apresentou um saldo de R$ 44,75 milhões de obrigações a curto e longo prazo, sendo 100% do total de obrigações a curto prazo, ou seja, que deverão ser pagos dentro de um prazo de doze meses seguintes, conforme tabela a seguir.</w:t>
      </w:r>
    </w:p>
    <w:p w14:paraId="39302691" w14:textId="5FD98014" w:rsidR="00C544CF" w:rsidRPr="00C544CF" w:rsidRDefault="00C544CF" w:rsidP="00C544CF">
      <w:pPr>
        <w:spacing w:after="40"/>
        <w:rPr>
          <w:rFonts w:ascii="Arial" w:eastAsia="Arial Unicode MS" w:hAnsi="Arial" w:cs="Arial"/>
          <w:sz w:val="20"/>
          <w:szCs w:val="20"/>
        </w:rPr>
      </w:pPr>
      <w:r w:rsidRPr="00C544CF">
        <w:rPr>
          <w:noProof/>
          <w:lang w:eastAsia="pt-BR"/>
        </w:rPr>
        <w:drawing>
          <wp:inline distT="0" distB="0" distL="0" distR="0" wp14:anchorId="0E610EFC" wp14:editId="36A0A08F">
            <wp:extent cx="4580890" cy="1311029"/>
            <wp:effectExtent l="0" t="0" r="0" b="3810"/>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0890" cy="1311029"/>
                    </a:xfrm>
                    <a:prstGeom prst="rect">
                      <a:avLst/>
                    </a:prstGeom>
                    <a:noFill/>
                    <a:ln>
                      <a:noFill/>
                    </a:ln>
                  </pic:spPr>
                </pic:pic>
              </a:graphicData>
            </a:graphic>
          </wp:inline>
        </w:drawing>
      </w:r>
    </w:p>
    <w:p w14:paraId="6675A8C2" w14:textId="4C39C3BF"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 xml:space="preserve"> A maior parte do passivo do IFRS com obrigações se refere a demais obrigações a curto prazo, que representam 92% do total.</w:t>
      </w:r>
    </w:p>
    <w:p w14:paraId="4AD81954"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Fornecedores e Contas a Pagar a Curto Prazo</w:t>
      </w:r>
    </w:p>
    <w:p w14:paraId="5F509936"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Na tabela a seguir, são listadas as Unidades Gestoras com valores mais expressivos de fornecedores e contas a pagar a curto prazo na data base de 31/03/2019. O Campus Sertão e o Campus Restinga destacam-se entre as Unidades com os maiores saldos a pagar (respectivamente 10,40% e 5,85% do total a ser pago).</w:t>
      </w:r>
    </w:p>
    <w:p w14:paraId="0B4A0D5A" w14:textId="2075A25A" w:rsidR="00C544CF" w:rsidRPr="00C544CF" w:rsidRDefault="00744DAC" w:rsidP="00C544CF">
      <w:pPr>
        <w:spacing w:after="40"/>
        <w:rPr>
          <w:rFonts w:ascii="Arial" w:eastAsia="Arial Unicode MS" w:hAnsi="Arial" w:cs="Arial"/>
          <w:sz w:val="20"/>
          <w:szCs w:val="20"/>
        </w:rPr>
      </w:pPr>
      <w:r w:rsidRPr="00744DAC">
        <w:rPr>
          <w:noProof/>
          <w:lang w:eastAsia="pt-BR"/>
        </w:rPr>
        <w:drawing>
          <wp:inline distT="0" distB="0" distL="0" distR="0" wp14:anchorId="55DB4D2E" wp14:editId="70123737">
            <wp:extent cx="4184078" cy="3562350"/>
            <wp:effectExtent l="0" t="0" r="6985" b="0"/>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204804" cy="3579997"/>
                    </a:xfrm>
                    <a:prstGeom prst="rect">
                      <a:avLst/>
                    </a:prstGeom>
                    <a:noFill/>
                    <a:ln>
                      <a:noFill/>
                    </a:ln>
                  </pic:spPr>
                </pic:pic>
              </a:graphicData>
            </a:graphic>
          </wp:inline>
        </w:drawing>
      </w:r>
      <w:r w:rsidR="00C544CF" w:rsidRPr="00C544CF">
        <w:rPr>
          <w:rFonts w:ascii="Arial" w:eastAsia="Arial Unicode MS" w:hAnsi="Arial" w:cs="Arial"/>
          <w:sz w:val="20"/>
          <w:szCs w:val="20"/>
        </w:rPr>
        <w:t xml:space="preserve"> </w:t>
      </w:r>
    </w:p>
    <w:p w14:paraId="32EEF41D"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lastRenderedPageBreak/>
        <w:t>O saldo da conta fornecedores e contas a pagar em 31/03/2019 diminuiu em aproximadamente 5% em comparação a 31/03/2018. O Campus Sertão que nesta data tem o maior saldo a pagar na ordem de R$ 354 mil, foi responsável por um decréscimo de R$ 8 mil nesta obrigação, cuja composição no 1º trimestre é listada na tabela a seguir. Alguns Campi experimentaram um aumento em relação ao trimestre anterior, entretanto, o montante daqueles que experimentaram uma diminuição foi superior, resultando ao final do trimestre um total de menos R$ 178 mil nesta obrigação.</w:t>
      </w:r>
    </w:p>
    <w:p w14:paraId="1417BBC7" w14:textId="2454EB6F" w:rsidR="00C544CF" w:rsidRPr="00C544CF" w:rsidRDefault="00744DAC" w:rsidP="00C544CF">
      <w:pPr>
        <w:spacing w:after="40"/>
        <w:rPr>
          <w:rFonts w:ascii="Arial" w:eastAsia="Arial Unicode MS" w:hAnsi="Arial" w:cs="Arial"/>
          <w:sz w:val="20"/>
          <w:szCs w:val="20"/>
        </w:rPr>
      </w:pPr>
      <w:r w:rsidRPr="00744DAC">
        <w:rPr>
          <w:noProof/>
          <w:lang w:eastAsia="pt-BR"/>
        </w:rPr>
        <w:drawing>
          <wp:inline distT="0" distB="0" distL="0" distR="0" wp14:anchorId="6098ABB0" wp14:editId="6D4D037B">
            <wp:extent cx="4580890" cy="2961941"/>
            <wp:effectExtent l="0" t="0" r="0" b="0"/>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80890" cy="2961941"/>
                    </a:xfrm>
                    <a:prstGeom prst="rect">
                      <a:avLst/>
                    </a:prstGeom>
                    <a:noFill/>
                    <a:ln>
                      <a:noFill/>
                    </a:ln>
                  </pic:spPr>
                </pic:pic>
              </a:graphicData>
            </a:graphic>
          </wp:inline>
        </w:drawing>
      </w:r>
    </w:p>
    <w:p w14:paraId="6D8B8074"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 xml:space="preserve"> </w:t>
      </w:r>
    </w:p>
    <w:p w14:paraId="1BCBE711"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Em 31/03/2019, 417 fornecedores possuíam créditos com o IFRS. Desse total, 27 fornecedores (6,4%) representaram 47,2% do saldo dessa obrigação, apresentados na tabela adiante, totalizando R$ 3,40 milhões do saldo total dessa conta.</w:t>
      </w:r>
    </w:p>
    <w:p w14:paraId="6A060AD2" w14:textId="7D0A8770" w:rsidR="00C544CF" w:rsidRPr="00C544CF" w:rsidRDefault="00744DAC" w:rsidP="00C544CF">
      <w:pPr>
        <w:spacing w:after="40"/>
        <w:rPr>
          <w:rFonts w:ascii="Arial" w:eastAsia="Arial Unicode MS" w:hAnsi="Arial" w:cs="Arial"/>
          <w:sz w:val="20"/>
          <w:szCs w:val="20"/>
        </w:rPr>
      </w:pPr>
      <w:r w:rsidRPr="00744DAC">
        <w:rPr>
          <w:noProof/>
          <w:lang w:eastAsia="pt-BR"/>
        </w:rPr>
        <w:drawing>
          <wp:inline distT="0" distB="0" distL="0" distR="0" wp14:anchorId="7CCFB1A7" wp14:editId="5432CD8A">
            <wp:extent cx="4580890" cy="2892106"/>
            <wp:effectExtent l="0" t="0" r="0" b="3810"/>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0890" cy="2892106"/>
                    </a:xfrm>
                    <a:prstGeom prst="rect">
                      <a:avLst/>
                    </a:prstGeom>
                    <a:noFill/>
                    <a:ln>
                      <a:noFill/>
                    </a:ln>
                  </pic:spPr>
                </pic:pic>
              </a:graphicData>
            </a:graphic>
          </wp:inline>
        </w:drawing>
      </w:r>
      <w:r>
        <w:rPr>
          <w:rFonts w:ascii="Arial" w:eastAsia="Arial Unicode MS" w:hAnsi="Arial" w:cs="Arial"/>
          <w:sz w:val="20"/>
          <w:szCs w:val="20"/>
        </w:rPr>
        <w:tab/>
      </w:r>
      <w:r w:rsidR="00C544CF" w:rsidRPr="00C544CF">
        <w:rPr>
          <w:rFonts w:ascii="Arial" w:eastAsia="Arial Unicode MS" w:hAnsi="Arial" w:cs="Arial"/>
          <w:sz w:val="20"/>
          <w:szCs w:val="20"/>
        </w:rPr>
        <w:t xml:space="preserve"> </w:t>
      </w:r>
    </w:p>
    <w:p w14:paraId="04D9F807"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(a)</w:t>
      </w:r>
      <w:r w:rsidRPr="00C544CF">
        <w:rPr>
          <w:rFonts w:ascii="Arial" w:eastAsia="Arial Unicode MS" w:hAnsi="Arial" w:cs="Arial"/>
          <w:sz w:val="20"/>
          <w:szCs w:val="20"/>
        </w:rPr>
        <w:tab/>
        <w:t>F &amp; F ENGENHARIA E CONSTRUÇÃO LTDA: Pela conclusão do prédio acadêmico Campus Canoas;</w:t>
      </w:r>
    </w:p>
    <w:p w14:paraId="390CE0F0"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FASTLAN SOLUÇÕES EM TECNOLOGIA EIRELLI: Manutenção predial no Campus Feliz;</w:t>
      </w:r>
    </w:p>
    <w:p w14:paraId="3E1E1A19"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t>BRISOTTO SERVIÇOS TECNICOS DE ENGENHARIA LTDA: Materiais e mão-obra em diversas construções no Campus Sertão;</w:t>
      </w:r>
    </w:p>
    <w:p w14:paraId="23DC12CA"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(d)</w:t>
      </w:r>
      <w:r w:rsidRPr="00C544CF">
        <w:rPr>
          <w:rFonts w:ascii="Arial" w:eastAsia="Arial Unicode MS" w:hAnsi="Arial" w:cs="Arial"/>
          <w:sz w:val="20"/>
          <w:szCs w:val="20"/>
        </w:rPr>
        <w:tab/>
        <w:t>INCONFIDÊNCIA LOCADORA DE VEÍCULOS E M.OBRA LTDA: serviços de limpeza e conservação no Campus Porto Alegre.</w:t>
      </w:r>
    </w:p>
    <w:p w14:paraId="4CC9A3D4" w14:textId="77777777" w:rsidR="00C544CF" w:rsidRPr="00C544CF" w:rsidRDefault="00C544CF" w:rsidP="00C544CF">
      <w:pPr>
        <w:spacing w:after="40"/>
        <w:rPr>
          <w:rFonts w:ascii="Arial" w:eastAsia="Arial Unicode MS" w:hAnsi="Arial" w:cs="Arial"/>
          <w:sz w:val="20"/>
          <w:szCs w:val="20"/>
        </w:rPr>
      </w:pPr>
    </w:p>
    <w:p w14:paraId="6E9ECAB0"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Demais Obrigações a Curto Prazo</w:t>
      </w:r>
    </w:p>
    <w:p w14:paraId="5CD2B780" w14:textId="77777777" w:rsidR="00C544CF" w:rsidRPr="00C544CF" w:rsidRDefault="00C544CF" w:rsidP="00C544CF">
      <w:pPr>
        <w:spacing w:after="40"/>
        <w:rPr>
          <w:rFonts w:ascii="Arial" w:eastAsia="Arial Unicode MS" w:hAnsi="Arial" w:cs="Arial"/>
          <w:sz w:val="20"/>
          <w:szCs w:val="20"/>
        </w:rPr>
      </w:pPr>
      <w:r w:rsidRPr="00C544CF">
        <w:rPr>
          <w:rFonts w:ascii="Arial" w:eastAsia="Arial Unicode MS" w:hAnsi="Arial" w:cs="Arial"/>
          <w:sz w:val="20"/>
          <w:szCs w:val="20"/>
        </w:rPr>
        <w:t>Em comparação ao período anterior, o IFRS registrou aumento de R$ 39.876.925,90 nas demais obrigações a curto prazo, equivalente a 2.706%, em razão de compromissos assumidos pela própria manutenção das atividades fins do IFRS e, especialmente, transferências financeiras a comprovar - TED, conforme demonstrado na tabela de composição abaixo.</w:t>
      </w:r>
    </w:p>
    <w:p w14:paraId="1ECF6B76" w14:textId="77777777" w:rsidR="008F6E23" w:rsidRPr="00C544CF" w:rsidRDefault="008F6E23" w:rsidP="008F6E23">
      <w:pPr>
        <w:spacing w:after="40"/>
        <w:rPr>
          <w:rFonts w:ascii="Arial" w:eastAsia="Arial Unicode MS" w:hAnsi="Arial" w:cs="Arial"/>
          <w:sz w:val="20"/>
          <w:szCs w:val="20"/>
        </w:rPr>
      </w:pPr>
      <w:r w:rsidRPr="00744DAC">
        <w:rPr>
          <w:noProof/>
          <w:lang w:eastAsia="pt-BR"/>
        </w:rPr>
        <w:lastRenderedPageBreak/>
        <w:drawing>
          <wp:inline distT="0" distB="0" distL="0" distR="0" wp14:anchorId="34011621" wp14:editId="28BAC722">
            <wp:extent cx="4580890" cy="1553838"/>
            <wp:effectExtent l="0" t="0" r="0" b="8890"/>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80890" cy="1553838"/>
                    </a:xfrm>
                    <a:prstGeom prst="rect">
                      <a:avLst/>
                    </a:prstGeom>
                    <a:noFill/>
                    <a:ln>
                      <a:noFill/>
                    </a:ln>
                  </pic:spPr>
                </pic:pic>
              </a:graphicData>
            </a:graphic>
          </wp:inline>
        </w:drawing>
      </w:r>
    </w:p>
    <w:p w14:paraId="165A470A"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 xml:space="preserve"> (a)</w:t>
      </w:r>
      <w:r w:rsidRPr="00C544CF">
        <w:rPr>
          <w:rFonts w:ascii="Arial" w:eastAsia="Arial Unicode MS" w:hAnsi="Arial" w:cs="Arial"/>
          <w:sz w:val="20"/>
          <w:szCs w:val="20"/>
        </w:rPr>
        <w:tab/>
        <w:t>Consignações</w:t>
      </w:r>
    </w:p>
    <w:p w14:paraId="206414D0"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Compreende os valores entregues em confiança ou em consignações, geralmente na folha de pagamentos dos servidores ou nos pagamentos referente a compras de bens ou serviços constituindo, na sua maior parte, em 31 de março, empréstimos e financiamentos concedidos por terceiros, bem como retenções de parcelas de consórcios, retidos em folha de pagamento</w:t>
      </w:r>
    </w:p>
    <w:p w14:paraId="3A7F42A9"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(b)</w:t>
      </w:r>
      <w:r w:rsidRPr="00C544CF">
        <w:rPr>
          <w:rFonts w:ascii="Arial" w:eastAsia="Arial Unicode MS" w:hAnsi="Arial" w:cs="Arial"/>
          <w:sz w:val="20"/>
          <w:szCs w:val="20"/>
        </w:rPr>
        <w:tab/>
        <w:t>Depósitos e cauções recebidos</w:t>
      </w:r>
    </w:p>
    <w:p w14:paraId="3F2D11BB"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Compreende os valores das obrigações exigíveis contraídas com o recebimento de depósitos e/ou cauções vinculados a contra</w:t>
      </w:r>
      <w:r>
        <w:rPr>
          <w:rFonts w:ascii="Arial" w:eastAsia="Arial Unicode MS" w:hAnsi="Arial" w:cs="Arial"/>
          <w:sz w:val="20"/>
          <w:szCs w:val="20"/>
        </w:rPr>
        <w:t>tos, para garantia de operações.</w:t>
      </w:r>
    </w:p>
    <w:p w14:paraId="3F0DFF96"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(c)</w:t>
      </w:r>
      <w:r w:rsidRPr="00C544CF">
        <w:rPr>
          <w:rFonts w:ascii="Arial" w:eastAsia="Arial Unicode MS" w:hAnsi="Arial" w:cs="Arial"/>
          <w:sz w:val="20"/>
          <w:szCs w:val="20"/>
        </w:rPr>
        <w:tab/>
        <w:t>Indenizações, restituições e compensações</w:t>
      </w:r>
    </w:p>
    <w:p w14:paraId="1712F05E"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Compreende indenizações a pessoal ativo, inativo e CDT em folha de pagamento, restituição de valores junto ao Campus Rio Grande, auxílio a servidores do campus Osório para participação do 3º Salão de Pesquisa, Extensão e Ensino do IFRS e, do campus Restinga, para participação de servidores na XV Semana de Administração Orçamentária – Brasília 2018, não pagas até o final do exercício.</w:t>
      </w:r>
    </w:p>
    <w:p w14:paraId="4C9BF594" w14:textId="77777777" w:rsidR="008F6E23"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w:t>
      </w:r>
      <w:r>
        <w:rPr>
          <w:rFonts w:ascii="Arial" w:eastAsia="Arial Unicode MS" w:hAnsi="Arial" w:cs="Arial"/>
          <w:sz w:val="20"/>
          <w:szCs w:val="20"/>
        </w:rPr>
        <w:t xml:space="preserve">d) </w:t>
      </w:r>
      <w:r>
        <w:rPr>
          <w:rFonts w:ascii="Arial" w:eastAsia="Arial Unicode MS" w:hAnsi="Arial" w:cs="Arial"/>
          <w:sz w:val="20"/>
          <w:szCs w:val="20"/>
        </w:rPr>
        <w:tab/>
        <w:t>Diárias a Pagar</w:t>
      </w:r>
    </w:p>
    <w:p w14:paraId="162907C9" w14:textId="77777777" w:rsidR="008F6E23" w:rsidRPr="0034064D" w:rsidRDefault="008F6E23" w:rsidP="008F6E23">
      <w:pPr>
        <w:spacing w:after="40"/>
        <w:rPr>
          <w:rFonts w:ascii="Arial" w:eastAsia="Arial Unicode MS" w:hAnsi="Arial" w:cs="Arial"/>
          <w:sz w:val="20"/>
          <w:szCs w:val="20"/>
        </w:rPr>
      </w:pPr>
      <w:r>
        <w:rPr>
          <w:rFonts w:ascii="Arial" w:eastAsia="Arial Unicode MS" w:hAnsi="Arial" w:cs="Arial"/>
          <w:sz w:val="20"/>
          <w:szCs w:val="20"/>
        </w:rPr>
        <w:t>Compreende o montante de diárias a pagar no âmbito do IFRS.</w:t>
      </w:r>
    </w:p>
    <w:p w14:paraId="3F1C5567"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(e)</w:t>
      </w:r>
      <w:r w:rsidRPr="00C544CF">
        <w:rPr>
          <w:rFonts w:ascii="Arial" w:eastAsia="Arial Unicode MS" w:hAnsi="Arial" w:cs="Arial"/>
          <w:sz w:val="20"/>
          <w:szCs w:val="20"/>
        </w:rPr>
        <w:tab/>
        <w:t>Incentivo a educação, cultura e outros</w:t>
      </w:r>
    </w:p>
    <w:p w14:paraId="3D0530C7"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Compreende as obrigações com incentivos a educação, cultura, ciência, esporte, bem como bolsas de estudo para cursos de especialização, mestrado, doutorado, e para estagiários.</w:t>
      </w:r>
    </w:p>
    <w:p w14:paraId="0B2D0C67" w14:textId="77777777" w:rsidR="008F6E23" w:rsidRPr="00C544CF" w:rsidRDefault="008F6E23" w:rsidP="008F6E23">
      <w:pPr>
        <w:spacing w:after="40"/>
        <w:rPr>
          <w:rFonts w:ascii="Arial" w:eastAsia="Arial Unicode MS" w:hAnsi="Arial" w:cs="Arial"/>
          <w:sz w:val="20"/>
          <w:szCs w:val="20"/>
        </w:rPr>
      </w:pPr>
      <w:r w:rsidRPr="00C544CF">
        <w:rPr>
          <w:rFonts w:ascii="Arial" w:eastAsia="Arial Unicode MS" w:hAnsi="Arial" w:cs="Arial"/>
          <w:sz w:val="20"/>
          <w:szCs w:val="20"/>
        </w:rPr>
        <w:t>(f)</w:t>
      </w:r>
      <w:r w:rsidRPr="00C544CF">
        <w:rPr>
          <w:rFonts w:ascii="Arial" w:eastAsia="Arial Unicode MS" w:hAnsi="Arial" w:cs="Arial"/>
          <w:sz w:val="20"/>
          <w:szCs w:val="20"/>
        </w:rPr>
        <w:tab/>
        <w:t>Obrigações com entidades federais</w:t>
      </w:r>
    </w:p>
    <w:p w14:paraId="5A41712E" w14:textId="77777777" w:rsidR="008F6E23" w:rsidRDefault="008F6E23" w:rsidP="008F6E23">
      <w:pPr>
        <w:spacing w:after="40"/>
        <w:rPr>
          <w:rFonts w:ascii="Arial" w:eastAsia="Arial Unicode MS" w:hAnsi="Arial" w:cs="Arial"/>
          <w:sz w:val="20"/>
          <w:szCs w:val="20"/>
        </w:rPr>
      </w:pPr>
      <w:r w:rsidRPr="0034064D">
        <w:rPr>
          <w:rFonts w:ascii="Arial" w:eastAsia="Arial Unicode MS" w:hAnsi="Arial" w:cs="Arial"/>
          <w:sz w:val="20"/>
          <w:szCs w:val="20"/>
        </w:rPr>
        <w:t xml:space="preserve">Compreende as obrigações com pagamento de pessoal (salário, vale alimentação, encargos sociais) de empregados cedidos ao IFRS – campus Erechim e campus Sertão, pela Eletrosul, </w:t>
      </w:r>
      <w:r>
        <w:rPr>
          <w:rFonts w:ascii="Arial" w:eastAsia="Arial Unicode MS" w:hAnsi="Arial" w:cs="Arial"/>
          <w:sz w:val="20"/>
          <w:szCs w:val="20"/>
        </w:rPr>
        <w:t>relativo 10, 11, 12/2018 e 01/2019.</w:t>
      </w:r>
    </w:p>
    <w:p w14:paraId="1B9FE088" w14:textId="77777777" w:rsidR="008F6E23" w:rsidRPr="008C22FD" w:rsidRDefault="008F6E23" w:rsidP="008F6E23">
      <w:pPr>
        <w:spacing w:after="40"/>
        <w:rPr>
          <w:rFonts w:ascii="Arial" w:eastAsia="Arial Unicode MS" w:hAnsi="Arial" w:cs="Arial"/>
          <w:sz w:val="20"/>
          <w:szCs w:val="20"/>
        </w:rPr>
      </w:pPr>
      <w:r w:rsidRPr="008C22FD">
        <w:rPr>
          <w:rFonts w:ascii="Arial" w:eastAsia="Arial Unicode MS" w:hAnsi="Arial" w:cs="Arial"/>
          <w:sz w:val="20"/>
          <w:szCs w:val="20"/>
        </w:rPr>
        <w:t>g</w:t>
      </w:r>
      <w:r>
        <w:rPr>
          <w:rFonts w:ascii="Arial" w:eastAsia="Arial Unicode MS" w:hAnsi="Arial" w:cs="Arial"/>
          <w:sz w:val="20"/>
          <w:szCs w:val="20"/>
        </w:rPr>
        <w:t xml:space="preserve">) </w:t>
      </w:r>
      <w:r>
        <w:rPr>
          <w:rFonts w:ascii="Arial" w:eastAsia="Arial Unicode MS" w:hAnsi="Arial" w:cs="Arial"/>
          <w:sz w:val="20"/>
          <w:szCs w:val="20"/>
        </w:rPr>
        <w:tab/>
      </w:r>
      <w:r w:rsidRPr="008C22FD">
        <w:rPr>
          <w:rFonts w:ascii="Arial" w:eastAsia="Arial Unicode MS" w:hAnsi="Arial" w:cs="Arial"/>
          <w:sz w:val="20"/>
          <w:szCs w:val="20"/>
        </w:rPr>
        <w:t>Transferências financeiras a comprovar</w:t>
      </w:r>
    </w:p>
    <w:p w14:paraId="5F758DAF" w14:textId="77777777" w:rsidR="008F6E23" w:rsidRDefault="008F6E23" w:rsidP="008F6E23">
      <w:pPr>
        <w:rPr>
          <w:rFonts w:ascii="Arial" w:hAnsi="Arial" w:cs="Arial"/>
          <w:sz w:val="20"/>
          <w:szCs w:val="20"/>
        </w:rPr>
      </w:pPr>
      <w:r w:rsidRPr="008C22FD">
        <w:rPr>
          <w:rFonts w:ascii="Arial" w:hAnsi="Arial" w:cs="Arial"/>
          <w:sz w:val="20"/>
          <w:szCs w:val="20"/>
        </w:rPr>
        <w:t>Compreende apropriações e pagamentos de recursos orçamentários e financeiros transferidos através de TED</w:t>
      </w:r>
      <w:r>
        <w:rPr>
          <w:rFonts w:ascii="Arial" w:hAnsi="Arial" w:cs="Arial"/>
          <w:sz w:val="20"/>
          <w:szCs w:val="20"/>
        </w:rPr>
        <w:t xml:space="preserve"> – Termo de Execução Descentralizada</w:t>
      </w:r>
      <w:r w:rsidRPr="008C22FD">
        <w:rPr>
          <w:rFonts w:ascii="Arial" w:hAnsi="Arial" w:cs="Arial"/>
          <w:sz w:val="20"/>
          <w:szCs w:val="20"/>
        </w:rPr>
        <w:t xml:space="preserve">, de diversos Órgãos, para serem aplicados </w:t>
      </w:r>
      <w:r>
        <w:rPr>
          <w:rFonts w:ascii="Arial" w:hAnsi="Arial" w:cs="Arial"/>
          <w:sz w:val="20"/>
          <w:szCs w:val="20"/>
        </w:rPr>
        <w:t>no IFRS em projetos específicos.</w:t>
      </w:r>
    </w:p>
    <w:p w14:paraId="3BC948F8" w14:textId="77777777" w:rsidR="008F6E23" w:rsidRDefault="008F6E23" w:rsidP="008F6E23">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20762058" wp14:editId="3EEFE548">
            <wp:extent cx="4399915" cy="5637125"/>
            <wp:effectExtent l="0" t="0" r="635" b="190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412427" cy="5653156"/>
                    </a:xfrm>
                    <a:prstGeom prst="rect">
                      <a:avLst/>
                    </a:prstGeom>
                    <a:noFill/>
                    <a:ln>
                      <a:noFill/>
                    </a:ln>
                  </pic:spPr>
                </pic:pic>
              </a:graphicData>
            </a:graphic>
          </wp:inline>
        </w:drawing>
      </w:r>
      <w:bookmarkStart w:id="0" w:name="_GoBack"/>
      <w:bookmarkEnd w:id="0"/>
    </w:p>
    <w:p w14:paraId="4162E57D" w14:textId="67CDFBB3" w:rsidR="00764A48" w:rsidRPr="0034064D" w:rsidRDefault="00E40488" w:rsidP="00764A48">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lastRenderedPageBreak/>
        <w:t>Nota 10</w:t>
      </w:r>
      <w:r w:rsidR="00764A48" w:rsidRPr="0034064D">
        <w:rPr>
          <w:rFonts w:ascii="Arial" w:eastAsia="Arial Unicode MS" w:hAnsi="Arial" w:cs="Arial"/>
          <w:b/>
          <w:color w:val="C45911" w:themeColor="accent2" w:themeShade="BF"/>
          <w:sz w:val="24"/>
          <w:szCs w:val="24"/>
        </w:rPr>
        <w:t xml:space="preserve"> – Resultado Patrimonial</w:t>
      </w:r>
    </w:p>
    <w:p w14:paraId="0A0AC295"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A apuração do resultado patrimonial implica na confrontação das Variações Patrimoniais Aumentativas (VPA’s) e das Variações Patrimoniais Diminutivas (VPD’s).</w:t>
      </w:r>
    </w:p>
    <w:p w14:paraId="59D77D42"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As VPA’s são reconhecidas quando for provável que benefícios econômicos fluirão para o IFRS e quando puderem ser mensuradas confiavelmente, utilizando-se a lógica do regime de competência.</w:t>
      </w:r>
    </w:p>
    <w:p w14:paraId="3AED307B"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A apuração do resultado se dá pelo encerramento das contas de VPA e VPD, em contrapartida a uma conta de apuração. Após a apuração, o resultado é transferido para conta de Superavit/Deficit do Exercício. O detalhamento do confronto entre VPA e VPD é apresentado na Demonstração das Variações Patrimoniais.</w:t>
      </w:r>
    </w:p>
    <w:p w14:paraId="3869C0EA"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O Resultado Patrimonial apurado em </w:t>
      </w:r>
      <w:r>
        <w:rPr>
          <w:rFonts w:ascii="Arial" w:eastAsia="Arial Unicode MS" w:hAnsi="Arial" w:cs="Arial"/>
          <w:sz w:val="20"/>
          <w:szCs w:val="20"/>
        </w:rPr>
        <w:t>31/03/2019</w:t>
      </w:r>
      <w:r w:rsidRPr="0034064D">
        <w:rPr>
          <w:rFonts w:ascii="Arial" w:eastAsia="Arial Unicode MS" w:hAnsi="Arial" w:cs="Arial"/>
          <w:sz w:val="20"/>
          <w:szCs w:val="20"/>
        </w:rPr>
        <w:t xml:space="preserve"> foi </w:t>
      </w:r>
      <w:r>
        <w:rPr>
          <w:rFonts w:ascii="Arial" w:eastAsia="Arial Unicode MS" w:hAnsi="Arial" w:cs="Arial"/>
          <w:sz w:val="20"/>
          <w:szCs w:val="20"/>
        </w:rPr>
        <w:t>deficitário</w:t>
      </w:r>
      <w:r w:rsidRPr="0034064D">
        <w:rPr>
          <w:rFonts w:ascii="Arial" w:eastAsia="Arial Unicode MS" w:hAnsi="Arial" w:cs="Arial"/>
          <w:sz w:val="20"/>
          <w:szCs w:val="20"/>
        </w:rPr>
        <w:t xml:space="preserve"> em R$ </w:t>
      </w:r>
      <w:r>
        <w:rPr>
          <w:rFonts w:ascii="Arial" w:eastAsia="Arial Unicode MS" w:hAnsi="Arial" w:cs="Arial"/>
          <w:sz w:val="20"/>
          <w:szCs w:val="20"/>
        </w:rPr>
        <w:t>47,5</w:t>
      </w:r>
      <w:r w:rsidRPr="0034064D">
        <w:rPr>
          <w:rFonts w:ascii="Arial" w:eastAsia="Arial Unicode MS" w:hAnsi="Arial" w:cs="Arial"/>
          <w:sz w:val="20"/>
          <w:szCs w:val="20"/>
        </w:rPr>
        <w:t xml:space="preserve"> milhões e está demonstrado na tabela abaixo, ao se confrontar Variações Patrimoniais Aumentativas e Diminutivas.</w:t>
      </w:r>
    </w:p>
    <w:p w14:paraId="36D9AFD7" w14:textId="010687A5" w:rsidR="00764A48" w:rsidRPr="0034064D" w:rsidRDefault="00F416F2" w:rsidP="00764A48">
      <w:pPr>
        <w:spacing w:after="40"/>
        <w:rPr>
          <w:rFonts w:ascii="Arial" w:eastAsia="Arial Unicode MS" w:hAnsi="Arial" w:cs="Arial"/>
          <w:sz w:val="20"/>
          <w:szCs w:val="20"/>
        </w:rPr>
      </w:pPr>
      <w:r w:rsidRPr="00F416F2">
        <w:rPr>
          <w:noProof/>
          <w:lang w:eastAsia="pt-BR"/>
        </w:rPr>
        <w:drawing>
          <wp:inline distT="0" distB="0" distL="0" distR="0" wp14:anchorId="1E7E8FD1" wp14:editId="72522B88">
            <wp:extent cx="4752975" cy="1429275"/>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773051" cy="1435312"/>
                    </a:xfrm>
                    <a:prstGeom prst="rect">
                      <a:avLst/>
                    </a:prstGeom>
                    <a:noFill/>
                    <a:ln>
                      <a:noFill/>
                    </a:ln>
                  </pic:spPr>
                </pic:pic>
              </a:graphicData>
            </a:graphic>
          </wp:inline>
        </w:drawing>
      </w:r>
    </w:p>
    <w:p w14:paraId="583B9CED" w14:textId="77777777" w:rsidR="00764A48" w:rsidRPr="0034064D" w:rsidRDefault="00764A48" w:rsidP="00764A48">
      <w:pPr>
        <w:spacing w:after="40"/>
        <w:rPr>
          <w:rFonts w:ascii="Arial" w:eastAsia="Arial Unicode MS" w:hAnsi="Arial" w:cs="Arial"/>
          <w:sz w:val="20"/>
          <w:szCs w:val="20"/>
        </w:rPr>
      </w:pPr>
    </w:p>
    <w:p w14:paraId="0200176E"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Observa-se que, no resultado Patrimonial do Período, houve um </w:t>
      </w:r>
      <w:r>
        <w:rPr>
          <w:rFonts w:ascii="Arial" w:eastAsia="Arial Unicode MS" w:hAnsi="Arial" w:cs="Arial"/>
          <w:sz w:val="20"/>
          <w:szCs w:val="20"/>
        </w:rPr>
        <w:t>decréscimo</w:t>
      </w:r>
      <w:r w:rsidRPr="0034064D">
        <w:rPr>
          <w:rFonts w:ascii="Arial" w:eastAsia="Arial Unicode MS" w:hAnsi="Arial" w:cs="Arial"/>
          <w:sz w:val="20"/>
          <w:szCs w:val="20"/>
        </w:rPr>
        <w:t xml:space="preserve"> de resultado, quando comparado ao mesmo período do exercício anterior. Até o </w:t>
      </w:r>
      <w:r>
        <w:rPr>
          <w:rFonts w:ascii="Arial" w:eastAsia="Arial Unicode MS" w:hAnsi="Arial" w:cs="Arial"/>
          <w:sz w:val="20"/>
          <w:szCs w:val="20"/>
        </w:rPr>
        <w:t>primeiro</w:t>
      </w:r>
      <w:r w:rsidRPr="0034064D">
        <w:rPr>
          <w:rFonts w:ascii="Arial" w:eastAsia="Arial Unicode MS" w:hAnsi="Arial" w:cs="Arial"/>
          <w:sz w:val="20"/>
          <w:szCs w:val="20"/>
        </w:rPr>
        <w:t xml:space="preserve"> trimestre de 201</w:t>
      </w:r>
      <w:r>
        <w:rPr>
          <w:rFonts w:ascii="Arial" w:eastAsia="Arial Unicode MS" w:hAnsi="Arial" w:cs="Arial"/>
          <w:sz w:val="20"/>
          <w:szCs w:val="20"/>
        </w:rPr>
        <w:t>8</w:t>
      </w:r>
      <w:r w:rsidRPr="0034064D">
        <w:rPr>
          <w:rFonts w:ascii="Arial" w:eastAsia="Arial Unicode MS" w:hAnsi="Arial" w:cs="Arial"/>
          <w:sz w:val="20"/>
          <w:szCs w:val="20"/>
        </w:rPr>
        <w:t xml:space="preserve">, o resultado foi positivo em R$ </w:t>
      </w:r>
      <w:r>
        <w:rPr>
          <w:rFonts w:ascii="Arial" w:eastAsia="Arial Unicode MS" w:hAnsi="Arial" w:cs="Arial"/>
          <w:sz w:val="20"/>
          <w:szCs w:val="20"/>
        </w:rPr>
        <w:t>13,9</w:t>
      </w:r>
      <w:r w:rsidRPr="0034064D">
        <w:rPr>
          <w:rFonts w:ascii="Arial" w:eastAsia="Arial Unicode MS" w:hAnsi="Arial" w:cs="Arial"/>
          <w:sz w:val="20"/>
          <w:szCs w:val="20"/>
        </w:rPr>
        <w:t xml:space="preserve"> milhões, ao passo que, no mesmo período de 201</w:t>
      </w:r>
      <w:r>
        <w:rPr>
          <w:rFonts w:ascii="Arial" w:eastAsia="Arial Unicode MS" w:hAnsi="Arial" w:cs="Arial"/>
          <w:sz w:val="20"/>
          <w:szCs w:val="20"/>
        </w:rPr>
        <w:t>9</w:t>
      </w:r>
      <w:r w:rsidRPr="0034064D">
        <w:rPr>
          <w:rFonts w:ascii="Arial" w:eastAsia="Arial Unicode MS" w:hAnsi="Arial" w:cs="Arial"/>
          <w:sz w:val="20"/>
          <w:szCs w:val="20"/>
        </w:rPr>
        <w:t xml:space="preserve">, o resultado foi </w:t>
      </w:r>
      <w:r>
        <w:rPr>
          <w:rFonts w:ascii="Arial" w:eastAsia="Arial Unicode MS" w:hAnsi="Arial" w:cs="Arial"/>
          <w:sz w:val="20"/>
          <w:szCs w:val="20"/>
        </w:rPr>
        <w:t>déficit</w:t>
      </w:r>
      <w:r w:rsidRPr="0034064D">
        <w:rPr>
          <w:rFonts w:ascii="Arial" w:eastAsia="Arial Unicode MS" w:hAnsi="Arial" w:cs="Arial"/>
          <w:sz w:val="20"/>
          <w:szCs w:val="20"/>
        </w:rPr>
        <w:t xml:space="preserve"> em R$ </w:t>
      </w:r>
      <w:r>
        <w:rPr>
          <w:rFonts w:ascii="Arial" w:eastAsia="Arial Unicode MS" w:hAnsi="Arial" w:cs="Arial"/>
          <w:sz w:val="20"/>
          <w:szCs w:val="20"/>
        </w:rPr>
        <w:t>47,5</w:t>
      </w:r>
      <w:r w:rsidRPr="0034064D">
        <w:rPr>
          <w:rFonts w:ascii="Arial" w:eastAsia="Arial Unicode MS" w:hAnsi="Arial" w:cs="Arial"/>
          <w:sz w:val="20"/>
          <w:szCs w:val="20"/>
        </w:rPr>
        <w:t xml:space="preserve"> milhões, implicando </w:t>
      </w:r>
      <w:r>
        <w:rPr>
          <w:rFonts w:ascii="Arial" w:eastAsia="Arial Unicode MS" w:hAnsi="Arial" w:cs="Arial"/>
          <w:sz w:val="20"/>
          <w:szCs w:val="20"/>
        </w:rPr>
        <w:t xml:space="preserve">em </w:t>
      </w:r>
      <w:r w:rsidRPr="0034064D">
        <w:rPr>
          <w:rFonts w:ascii="Arial" w:eastAsia="Arial Unicode MS" w:hAnsi="Arial" w:cs="Arial"/>
          <w:sz w:val="20"/>
          <w:szCs w:val="20"/>
        </w:rPr>
        <w:t xml:space="preserve">um </w:t>
      </w:r>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na ordem de R$ </w:t>
      </w:r>
      <w:r>
        <w:rPr>
          <w:rFonts w:ascii="Arial" w:eastAsia="Arial Unicode MS" w:hAnsi="Arial" w:cs="Arial"/>
          <w:sz w:val="20"/>
          <w:szCs w:val="20"/>
        </w:rPr>
        <w:t>61,5</w:t>
      </w:r>
      <w:r w:rsidRPr="0034064D">
        <w:rPr>
          <w:rFonts w:ascii="Arial" w:eastAsia="Arial Unicode MS" w:hAnsi="Arial" w:cs="Arial"/>
          <w:sz w:val="20"/>
          <w:szCs w:val="20"/>
        </w:rPr>
        <w:t xml:space="preserve"> milhões. Dentre as principais variações, destacam-se:</w:t>
      </w:r>
    </w:p>
    <w:p w14:paraId="588F7694" w14:textId="77777777" w:rsidR="00764A48"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I.</w:t>
      </w:r>
      <w:r w:rsidRPr="0034064D">
        <w:rPr>
          <w:rFonts w:ascii="Arial" w:eastAsia="Arial Unicode MS" w:hAnsi="Arial" w:cs="Arial"/>
          <w:sz w:val="20"/>
          <w:szCs w:val="20"/>
        </w:rPr>
        <w:tab/>
        <w:t xml:space="preserve">Aumento dos gastos com Pessoal e encargos no montante de R$ </w:t>
      </w:r>
      <w:r>
        <w:rPr>
          <w:rFonts w:ascii="Arial" w:eastAsia="Arial Unicode MS" w:hAnsi="Arial" w:cs="Arial"/>
          <w:sz w:val="20"/>
          <w:szCs w:val="20"/>
        </w:rPr>
        <w:t>6,36</w:t>
      </w:r>
      <w:r w:rsidRPr="0034064D">
        <w:rPr>
          <w:rFonts w:ascii="Arial" w:eastAsia="Arial Unicode MS" w:hAnsi="Arial" w:cs="Arial"/>
          <w:sz w:val="20"/>
          <w:szCs w:val="20"/>
        </w:rPr>
        <w:t xml:space="preserve"> milhões (</w:t>
      </w:r>
      <w:r>
        <w:rPr>
          <w:rFonts w:ascii="Arial" w:eastAsia="Arial Unicode MS" w:hAnsi="Arial" w:cs="Arial"/>
          <w:sz w:val="20"/>
          <w:szCs w:val="20"/>
        </w:rPr>
        <w:t>7,93</w:t>
      </w:r>
      <w:r w:rsidRPr="0034064D">
        <w:rPr>
          <w:rFonts w:ascii="Arial" w:eastAsia="Arial Unicode MS" w:hAnsi="Arial" w:cs="Arial"/>
          <w:sz w:val="20"/>
          <w:szCs w:val="20"/>
        </w:rPr>
        <w:t>%);</w:t>
      </w:r>
    </w:p>
    <w:p w14:paraId="12C4FEA3" w14:textId="77777777" w:rsidR="00764A48" w:rsidRPr="0034064D" w:rsidRDefault="00764A48" w:rsidP="00764A48">
      <w:pPr>
        <w:spacing w:after="40"/>
        <w:rPr>
          <w:rFonts w:ascii="Arial" w:eastAsia="Arial Unicode MS" w:hAnsi="Arial" w:cs="Arial"/>
          <w:sz w:val="20"/>
          <w:szCs w:val="20"/>
        </w:rPr>
      </w:pPr>
      <w:r>
        <w:rPr>
          <w:rFonts w:ascii="Arial" w:eastAsia="Arial Unicode MS" w:hAnsi="Arial" w:cs="Arial"/>
          <w:sz w:val="20"/>
          <w:szCs w:val="20"/>
        </w:rPr>
        <w:t>II.</w:t>
      </w:r>
      <w:r>
        <w:rPr>
          <w:rFonts w:ascii="Arial" w:eastAsia="Arial Unicode MS" w:hAnsi="Arial" w:cs="Arial"/>
          <w:sz w:val="20"/>
          <w:szCs w:val="20"/>
        </w:rPr>
        <w:tab/>
        <w:t>Aumento dos gastos com Benefícios Previdenciários e Assistenciais em R$ 200 mil (2,95%);</w:t>
      </w:r>
    </w:p>
    <w:p w14:paraId="2A6968CA"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II</w:t>
      </w:r>
      <w:r>
        <w:rPr>
          <w:rFonts w:ascii="Arial" w:eastAsia="Arial Unicode MS" w:hAnsi="Arial" w:cs="Arial"/>
          <w:sz w:val="20"/>
          <w:szCs w:val="20"/>
        </w:rPr>
        <w:t>I</w:t>
      </w:r>
      <w:r w:rsidRPr="0034064D">
        <w:rPr>
          <w:rFonts w:ascii="Arial" w:eastAsia="Arial Unicode MS" w:hAnsi="Arial" w:cs="Arial"/>
          <w:sz w:val="20"/>
          <w:szCs w:val="20"/>
        </w:rPr>
        <w:t>.</w:t>
      </w:r>
      <w:r w:rsidRPr="0034064D">
        <w:rPr>
          <w:rFonts w:ascii="Arial" w:eastAsia="Arial Unicode MS" w:hAnsi="Arial" w:cs="Arial"/>
          <w:sz w:val="20"/>
          <w:szCs w:val="20"/>
        </w:rPr>
        <w:tab/>
        <w:t xml:space="preserve">Aumento </w:t>
      </w:r>
      <w:r>
        <w:rPr>
          <w:rFonts w:ascii="Arial" w:eastAsia="Arial Unicode MS" w:hAnsi="Arial" w:cs="Arial"/>
          <w:sz w:val="20"/>
          <w:szCs w:val="20"/>
        </w:rPr>
        <w:t>na Desvalorização de Ativos</w:t>
      </w:r>
      <w:r w:rsidRPr="0034064D">
        <w:rPr>
          <w:rFonts w:ascii="Arial" w:eastAsia="Arial Unicode MS" w:hAnsi="Arial" w:cs="Arial"/>
          <w:sz w:val="20"/>
          <w:szCs w:val="20"/>
        </w:rPr>
        <w:t xml:space="preserve"> </w:t>
      </w:r>
      <w:r>
        <w:rPr>
          <w:rFonts w:ascii="Arial" w:eastAsia="Arial Unicode MS" w:hAnsi="Arial" w:cs="Arial"/>
          <w:sz w:val="20"/>
          <w:szCs w:val="20"/>
        </w:rPr>
        <w:t xml:space="preserve">(Incorporação de Passivos e Desincorporação de Ativos) </w:t>
      </w:r>
      <w:r w:rsidRPr="0034064D">
        <w:rPr>
          <w:rFonts w:ascii="Arial" w:eastAsia="Arial Unicode MS" w:hAnsi="Arial" w:cs="Arial"/>
          <w:sz w:val="20"/>
          <w:szCs w:val="20"/>
        </w:rPr>
        <w:t xml:space="preserve">em R$ </w:t>
      </w:r>
      <w:r>
        <w:rPr>
          <w:rFonts w:ascii="Arial" w:eastAsia="Arial Unicode MS" w:hAnsi="Arial" w:cs="Arial"/>
          <w:sz w:val="20"/>
          <w:szCs w:val="20"/>
        </w:rPr>
        <w:t>52,40</w:t>
      </w:r>
      <w:r w:rsidRPr="0034064D">
        <w:rPr>
          <w:rFonts w:ascii="Arial" w:eastAsia="Arial Unicode MS" w:hAnsi="Arial" w:cs="Arial"/>
          <w:sz w:val="20"/>
          <w:szCs w:val="20"/>
        </w:rPr>
        <w:t xml:space="preserve"> milhões (</w:t>
      </w:r>
      <w:r>
        <w:rPr>
          <w:rFonts w:ascii="Arial" w:eastAsia="Arial Unicode MS" w:hAnsi="Arial" w:cs="Arial"/>
          <w:sz w:val="20"/>
          <w:szCs w:val="20"/>
        </w:rPr>
        <w:t>895,40</w:t>
      </w:r>
      <w:r w:rsidRPr="0034064D">
        <w:rPr>
          <w:rFonts w:ascii="Arial" w:eastAsia="Arial Unicode MS" w:hAnsi="Arial" w:cs="Arial"/>
          <w:sz w:val="20"/>
          <w:szCs w:val="20"/>
        </w:rPr>
        <w:t>%) e;</w:t>
      </w:r>
    </w:p>
    <w:p w14:paraId="28E5E25A"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Abaixo, é apresentado o resultado da Demonstração das Variações Patrimoniais:</w:t>
      </w:r>
    </w:p>
    <w:p w14:paraId="7774182E" w14:textId="77777777" w:rsidR="00E40488" w:rsidRDefault="00E40488" w:rsidP="00764A48">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num="2" w:space="708"/>
          <w:docGrid w:linePitch="360"/>
        </w:sectPr>
      </w:pPr>
    </w:p>
    <w:p w14:paraId="4EB24ABC" w14:textId="4C60F896" w:rsidR="00764A48" w:rsidRPr="0034064D" w:rsidRDefault="00F416F2" w:rsidP="00E40488">
      <w:pPr>
        <w:spacing w:after="40"/>
        <w:jc w:val="center"/>
        <w:rPr>
          <w:rFonts w:ascii="Arial" w:eastAsia="Arial Unicode MS" w:hAnsi="Arial" w:cs="Arial"/>
          <w:sz w:val="20"/>
          <w:szCs w:val="20"/>
        </w:rPr>
      </w:pPr>
      <w:r w:rsidRPr="00F416F2">
        <w:rPr>
          <w:noProof/>
          <w:lang w:eastAsia="pt-BR"/>
        </w:rPr>
        <w:lastRenderedPageBreak/>
        <w:drawing>
          <wp:inline distT="0" distB="0" distL="0" distR="0" wp14:anchorId="0019C616" wp14:editId="7F844619">
            <wp:extent cx="7660348" cy="346710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96964" cy="3483672"/>
                    </a:xfrm>
                    <a:prstGeom prst="rect">
                      <a:avLst/>
                    </a:prstGeom>
                    <a:noFill/>
                    <a:ln>
                      <a:noFill/>
                    </a:ln>
                  </pic:spPr>
                </pic:pic>
              </a:graphicData>
            </a:graphic>
          </wp:inline>
        </w:drawing>
      </w:r>
    </w:p>
    <w:p w14:paraId="496359E5" w14:textId="77777777" w:rsidR="00E40488" w:rsidRDefault="00E40488" w:rsidP="00764A48">
      <w:pPr>
        <w:spacing w:after="40"/>
        <w:rPr>
          <w:rFonts w:ascii="Arial" w:eastAsia="Arial Unicode MS" w:hAnsi="Arial" w:cs="Arial"/>
          <w:sz w:val="20"/>
          <w:szCs w:val="20"/>
        </w:rPr>
        <w:sectPr w:rsidR="00E40488" w:rsidSect="00E40488">
          <w:type w:val="continuous"/>
          <w:pgSz w:w="16838" w:h="11906" w:orient="landscape"/>
          <w:pgMar w:top="1021" w:right="851" w:bottom="1021" w:left="851" w:header="709" w:footer="0" w:gutter="0"/>
          <w:cols w:space="708"/>
          <w:docGrid w:linePitch="360"/>
        </w:sectPr>
      </w:pPr>
    </w:p>
    <w:p w14:paraId="28E9EA89" w14:textId="3BD083F6"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Dentre as Variações Patrimoniais Aumentativas destacamos o resultado positivo com o item </w:t>
      </w:r>
      <w:r>
        <w:rPr>
          <w:rFonts w:ascii="Arial" w:eastAsia="Arial Unicode MS" w:hAnsi="Arial" w:cs="Arial"/>
          <w:sz w:val="20"/>
          <w:szCs w:val="20"/>
        </w:rPr>
        <w:t>Transferências e Delegações Recebidas</w:t>
      </w:r>
      <w:r w:rsidRPr="0034064D">
        <w:rPr>
          <w:rFonts w:ascii="Arial" w:eastAsia="Arial Unicode MS" w:hAnsi="Arial" w:cs="Arial"/>
          <w:sz w:val="20"/>
          <w:szCs w:val="20"/>
        </w:rPr>
        <w:t xml:space="preserve">, em um montante de R$ </w:t>
      </w:r>
      <w:r>
        <w:rPr>
          <w:rFonts w:ascii="Arial" w:eastAsia="Arial Unicode MS" w:hAnsi="Arial" w:cs="Arial"/>
          <w:sz w:val="20"/>
          <w:szCs w:val="20"/>
        </w:rPr>
        <w:t>6,83</w:t>
      </w:r>
      <w:r w:rsidRPr="0034064D">
        <w:rPr>
          <w:rFonts w:ascii="Arial" w:eastAsia="Arial Unicode MS" w:hAnsi="Arial" w:cs="Arial"/>
          <w:sz w:val="20"/>
          <w:szCs w:val="20"/>
        </w:rPr>
        <w:t xml:space="preserve"> milhões, (</w:t>
      </w:r>
      <w:r>
        <w:rPr>
          <w:rFonts w:ascii="Arial" w:eastAsia="Arial Unicode MS" w:hAnsi="Arial" w:cs="Arial"/>
          <w:sz w:val="20"/>
          <w:szCs w:val="20"/>
        </w:rPr>
        <w:t>6,77</w:t>
      </w:r>
      <w:r w:rsidRPr="0034064D">
        <w:rPr>
          <w:rFonts w:ascii="Arial" w:eastAsia="Arial Unicode MS" w:hAnsi="Arial" w:cs="Arial"/>
          <w:sz w:val="20"/>
          <w:szCs w:val="20"/>
        </w:rPr>
        <w:t>%), pelo repasse da Secretaria de Planejamento e Orçamento, correspondentes ao orçamento anual, quando comparado ao mesm</w:t>
      </w:r>
      <w:r>
        <w:rPr>
          <w:rFonts w:ascii="Arial" w:eastAsia="Arial Unicode MS" w:hAnsi="Arial" w:cs="Arial"/>
          <w:sz w:val="20"/>
          <w:szCs w:val="20"/>
        </w:rPr>
        <w:t xml:space="preserve">o período do exercício anterior, e </w:t>
      </w:r>
      <w:r w:rsidRPr="0034064D">
        <w:rPr>
          <w:rFonts w:ascii="Arial" w:eastAsia="Arial Unicode MS" w:hAnsi="Arial" w:cs="Arial"/>
          <w:sz w:val="20"/>
          <w:szCs w:val="20"/>
        </w:rPr>
        <w:t xml:space="preserve"> </w:t>
      </w:r>
      <w:r>
        <w:rPr>
          <w:rFonts w:ascii="Arial" w:eastAsia="Arial Unicode MS" w:hAnsi="Arial" w:cs="Arial"/>
          <w:sz w:val="20"/>
          <w:szCs w:val="20"/>
        </w:rPr>
        <w:t>a diminuição na Valorização e ganhos com Ativos (Reavaliação de Bens Imóveis e Desincorporação de Passivos), equi</w:t>
      </w:r>
      <w:r w:rsidRPr="0034064D">
        <w:rPr>
          <w:rFonts w:ascii="Arial" w:eastAsia="Arial Unicode MS" w:hAnsi="Arial" w:cs="Arial"/>
          <w:sz w:val="20"/>
          <w:szCs w:val="20"/>
        </w:rPr>
        <w:t xml:space="preserve">valente a R$ </w:t>
      </w:r>
      <w:r>
        <w:rPr>
          <w:rFonts w:ascii="Arial" w:eastAsia="Arial Unicode MS" w:hAnsi="Arial" w:cs="Arial"/>
          <w:sz w:val="20"/>
          <w:szCs w:val="20"/>
        </w:rPr>
        <w:t>10,75</w:t>
      </w:r>
      <w:r w:rsidRPr="0034064D">
        <w:rPr>
          <w:rFonts w:ascii="Arial" w:eastAsia="Arial Unicode MS" w:hAnsi="Arial" w:cs="Arial"/>
          <w:sz w:val="20"/>
          <w:szCs w:val="20"/>
        </w:rPr>
        <w:t xml:space="preserve"> milhões</w:t>
      </w:r>
      <w:r>
        <w:rPr>
          <w:rFonts w:ascii="Arial" w:eastAsia="Arial Unicode MS" w:hAnsi="Arial" w:cs="Arial"/>
          <w:sz w:val="20"/>
          <w:szCs w:val="20"/>
        </w:rPr>
        <w:t xml:space="preserve">, (-37,30). </w:t>
      </w:r>
      <w:r w:rsidRPr="0034064D">
        <w:rPr>
          <w:rFonts w:ascii="Arial" w:eastAsia="Arial Unicode MS" w:hAnsi="Arial" w:cs="Arial"/>
          <w:sz w:val="20"/>
          <w:szCs w:val="20"/>
        </w:rPr>
        <w:t>Quanto as Outras VPAs, correspondem</w:t>
      </w:r>
      <w:r>
        <w:rPr>
          <w:rFonts w:ascii="Arial" w:eastAsia="Arial Unicode MS" w:hAnsi="Arial" w:cs="Arial"/>
          <w:sz w:val="20"/>
          <w:szCs w:val="20"/>
        </w:rPr>
        <w:t xml:space="preserve"> a Exploração e Venda de Bens, Variações Patrimoniais Aumentativas Financeiras e Outras VPAS, em que pese terem comportamento positivo de aproximadamente R$ 266 mil, foram diluídos pela variação negativa do item Valorização e Ganhos com Ativos.</w:t>
      </w:r>
    </w:p>
    <w:p w14:paraId="30D75440"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Isto posto, conclui-se que, até </w:t>
      </w:r>
      <w:r>
        <w:rPr>
          <w:rFonts w:ascii="Arial" w:eastAsia="Arial Unicode MS" w:hAnsi="Arial" w:cs="Arial"/>
          <w:sz w:val="20"/>
          <w:szCs w:val="20"/>
        </w:rPr>
        <w:t>março</w:t>
      </w:r>
      <w:r w:rsidRPr="0034064D">
        <w:rPr>
          <w:rFonts w:ascii="Arial" w:eastAsia="Arial Unicode MS" w:hAnsi="Arial" w:cs="Arial"/>
          <w:sz w:val="20"/>
          <w:szCs w:val="20"/>
        </w:rPr>
        <w:t>/201</w:t>
      </w:r>
      <w:r>
        <w:rPr>
          <w:rFonts w:ascii="Arial" w:eastAsia="Arial Unicode MS" w:hAnsi="Arial" w:cs="Arial"/>
          <w:sz w:val="20"/>
          <w:szCs w:val="20"/>
        </w:rPr>
        <w:t>9</w:t>
      </w:r>
      <w:r w:rsidRPr="0034064D">
        <w:rPr>
          <w:rFonts w:ascii="Arial" w:eastAsia="Arial Unicode MS" w:hAnsi="Arial" w:cs="Arial"/>
          <w:sz w:val="20"/>
          <w:szCs w:val="20"/>
        </w:rPr>
        <w:t xml:space="preserve">, houve um </w:t>
      </w:r>
      <w:r>
        <w:rPr>
          <w:rFonts w:ascii="Arial" w:eastAsia="Arial Unicode MS" w:hAnsi="Arial" w:cs="Arial"/>
          <w:sz w:val="20"/>
          <w:szCs w:val="20"/>
        </w:rPr>
        <w:t>de</w:t>
      </w:r>
      <w:r w:rsidRPr="0034064D">
        <w:rPr>
          <w:rFonts w:ascii="Arial" w:eastAsia="Arial Unicode MS" w:hAnsi="Arial" w:cs="Arial"/>
          <w:sz w:val="20"/>
          <w:szCs w:val="20"/>
        </w:rPr>
        <w:t xml:space="preserve">créscimo do resultado patrimonial, quando comparado ao mesmo período do exercício anterior, </w:t>
      </w:r>
      <w:r w:rsidRPr="0034064D">
        <w:rPr>
          <w:rFonts w:ascii="Arial" w:eastAsia="Arial Unicode MS" w:hAnsi="Arial" w:cs="Arial"/>
          <w:sz w:val="20"/>
          <w:szCs w:val="20"/>
        </w:rPr>
        <w:t xml:space="preserve">equivalente a R$ </w:t>
      </w:r>
      <w:r>
        <w:rPr>
          <w:rFonts w:ascii="Arial" w:eastAsia="Arial Unicode MS" w:hAnsi="Arial" w:cs="Arial"/>
          <w:sz w:val="20"/>
          <w:szCs w:val="20"/>
        </w:rPr>
        <w:t>61,5</w:t>
      </w:r>
      <w:r w:rsidRPr="0034064D">
        <w:rPr>
          <w:rFonts w:ascii="Arial" w:eastAsia="Arial Unicode MS" w:hAnsi="Arial" w:cs="Arial"/>
          <w:sz w:val="20"/>
          <w:szCs w:val="20"/>
        </w:rPr>
        <w:t xml:space="preserve"> milhões, conforme Tabela 21, impactado principalmente pelas contas de </w:t>
      </w:r>
      <w:r>
        <w:rPr>
          <w:rFonts w:ascii="Arial" w:eastAsia="Arial Unicode MS" w:hAnsi="Arial" w:cs="Arial"/>
          <w:sz w:val="20"/>
          <w:szCs w:val="20"/>
        </w:rPr>
        <w:t>Desvalorização e perda de ativos</w:t>
      </w:r>
      <w:r w:rsidRPr="0034064D">
        <w:rPr>
          <w:rFonts w:ascii="Arial" w:eastAsia="Arial Unicode MS" w:hAnsi="Arial" w:cs="Arial"/>
          <w:sz w:val="20"/>
          <w:szCs w:val="20"/>
        </w:rPr>
        <w:t xml:space="preserve">, e </w:t>
      </w:r>
      <w:r>
        <w:rPr>
          <w:rFonts w:ascii="Arial" w:eastAsia="Arial Unicode MS" w:hAnsi="Arial" w:cs="Arial"/>
          <w:sz w:val="20"/>
          <w:szCs w:val="20"/>
        </w:rPr>
        <w:t>deficitário</w:t>
      </w:r>
      <w:r w:rsidRPr="0034064D">
        <w:rPr>
          <w:rFonts w:ascii="Arial" w:eastAsia="Arial Unicode MS" w:hAnsi="Arial" w:cs="Arial"/>
          <w:sz w:val="20"/>
          <w:szCs w:val="20"/>
        </w:rPr>
        <w:t xml:space="preserve"> no total do Resultado Patrimonial em R$ </w:t>
      </w:r>
      <w:r>
        <w:rPr>
          <w:rFonts w:ascii="Arial" w:eastAsia="Arial Unicode MS" w:hAnsi="Arial" w:cs="Arial"/>
          <w:sz w:val="20"/>
          <w:szCs w:val="20"/>
        </w:rPr>
        <w:t>47,5</w:t>
      </w:r>
      <w:r w:rsidRPr="0034064D">
        <w:rPr>
          <w:rFonts w:ascii="Arial" w:eastAsia="Arial Unicode MS" w:hAnsi="Arial" w:cs="Arial"/>
          <w:sz w:val="20"/>
          <w:szCs w:val="20"/>
        </w:rPr>
        <w:t xml:space="preserve"> milhões.</w:t>
      </w:r>
    </w:p>
    <w:p w14:paraId="4FC7E3DB"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Os grupos relacionados ao desempenho valorativo de ativos (Valorização e Ganhos com Ativos e Desvalorização e Perda de Ativos), quando associados em conjunto (Resultado Valorativo de Ativos), apresentaram um </w:t>
      </w:r>
      <w:r>
        <w:rPr>
          <w:rFonts w:ascii="Arial" w:eastAsia="Arial Unicode MS" w:hAnsi="Arial" w:cs="Arial"/>
          <w:sz w:val="20"/>
          <w:szCs w:val="20"/>
        </w:rPr>
        <w:t>decréscimo</w:t>
      </w:r>
      <w:r w:rsidRPr="0034064D">
        <w:rPr>
          <w:rFonts w:ascii="Arial" w:eastAsia="Arial Unicode MS" w:hAnsi="Arial" w:cs="Arial"/>
          <w:sz w:val="20"/>
          <w:szCs w:val="20"/>
        </w:rPr>
        <w:t xml:space="preserve"> na ordem de </w:t>
      </w:r>
      <w:r>
        <w:rPr>
          <w:rFonts w:ascii="Arial" w:eastAsia="Arial Unicode MS" w:hAnsi="Arial" w:cs="Arial"/>
          <w:sz w:val="20"/>
          <w:szCs w:val="20"/>
        </w:rPr>
        <w:t>275%, o que representa uma diminuição</w:t>
      </w:r>
      <w:r w:rsidRPr="0034064D">
        <w:rPr>
          <w:rFonts w:ascii="Arial" w:eastAsia="Arial Unicode MS" w:hAnsi="Arial" w:cs="Arial"/>
          <w:sz w:val="20"/>
          <w:szCs w:val="20"/>
        </w:rPr>
        <w:t xml:space="preserve"> do resultado em cerca de R$ </w:t>
      </w:r>
      <w:r>
        <w:rPr>
          <w:rFonts w:ascii="Arial" w:eastAsia="Arial Unicode MS" w:hAnsi="Arial" w:cs="Arial"/>
          <w:sz w:val="20"/>
          <w:szCs w:val="20"/>
        </w:rPr>
        <w:t>63</w:t>
      </w:r>
      <w:r w:rsidRPr="0034064D">
        <w:rPr>
          <w:rFonts w:ascii="Arial" w:eastAsia="Arial Unicode MS" w:hAnsi="Arial" w:cs="Arial"/>
          <w:sz w:val="20"/>
          <w:szCs w:val="20"/>
        </w:rPr>
        <w:t xml:space="preserve"> milhões.</w:t>
      </w:r>
    </w:p>
    <w:p w14:paraId="427D22C6"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Abaixo, encontram-se as tabelas comparativas do resultado valorativo de ativos apurados até </w:t>
      </w:r>
      <w:r>
        <w:rPr>
          <w:rFonts w:ascii="Arial" w:eastAsia="Arial Unicode MS" w:hAnsi="Arial" w:cs="Arial"/>
          <w:sz w:val="20"/>
          <w:szCs w:val="20"/>
        </w:rPr>
        <w:t>março/2019</w:t>
      </w:r>
      <w:r w:rsidRPr="0034064D">
        <w:rPr>
          <w:rFonts w:ascii="Arial" w:eastAsia="Arial Unicode MS" w:hAnsi="Arial" w:cs="Arial"/>
          <w:sz w:val="20"/>
          <w:szCs w:val="20"/>
        </w:rPr>
        <w:t>, comparados ao mesmo período do ano anterior, bem como das variações comparativas relacionadas aos períodos mencionados.</w:t>
      </w:r>
    </w:p>
    <w:p w14:paraId="42FAB281" w14:textId="77777777" w:rsidR="00326B0E" w:rsidRDefault="00326B0E" w:rsidP="00764A48">
      <w:pPr>
        <w:spacing w:after="40"/>
        <w:rPr>
          <w:rFonts w:ascii="Arial" w:eastAsia="Arial Unicode MS" w:hAnsi="Arial" w:cs="Arial"/>
          <w:sz w:val="20"/>
          <w:szCs w:val="20"/>
        </w:rPr>
        <w:sectPr w:rsidR="00326B0E" w:rsidSect="00E40488">
          <w:type w:val="continuous"/>
          <w:pgSz w:w="16838" w:h="11906" w:orient="landscape"/>
          <w:pgMar w:top="1021" w:right="851" w:bottom="1021" w:left="851" w:header="709" w:footer="0" w:gutter="0"/>
          <w:cols w:num="2" w:space="708"/>
          <w:docGrid w:linePitch="360"/>
        </w:sectPr>
      </w:pPr>
    </w:p>
    <w:p w14:paraId="3BF3EE6A" w14:textId="211BCFAC" w:rsidR="00764A48" w:rsidRDefault="00F416F2" w:rsidP="00764A48">
      <w:pPr>
        <w:spacing w:after="40"/>
        <w:rPr>
          <w:rFonts w:ascii="Arial" w:eastAsia="Arial Unicode MS" w:hAnsi="Arial" w:cs="Arial"/>
          <w:sz w:val="20"/>
          <w:szCs w:val="20"/>
        </w:rPr>
      </w:pPr>
      <w:r w:rsidRPr="00F416F2">
        <w:rPr>
          <w:noProof/>
          <w:lang w:eastAsia="pt-BR"/>
        </w:rPr>
        <w:lastRenderedPageBreak/>
        <w:drawing>
          <wp:inline distT="0" distB="0" distL="0" distR="0" wp14:anchorId="1FADBAE9" wp14:editId="25C46733">
            <wp:extent cx="7134225" cy="2419350"/>
            <wp:effectExtent l="0" t="0" r="9525"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134225" cy="2419350"/>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383C93EF" w14:textId="77777777" w:rsidR="00326B0E" w:rsidRDefault="00326B0E" w:rsidP="00764A48">
      <w:pPr>
        <w:spacing w:after="40"/>
        <w:rPr>
          <w:rFonts w:ascii="Arial" w:eastAsia="Arial Unicode MS" w:hAnsi="Arial" w:cs="Arial"/>
          <w:sz w:val="20"/>
          <w:szCs w:val="20"/>
        </w:rPr>
        <w:sectPr w:rsidR="00326B0E" w:rsidSect="00326B0E">
          <w:type w:val="continuous"/>
          <w:pgSz w:w="16838" w:h="11906" w:orient="landscape"/>
          <w:pgMar w:top="1021" w:right="851" w:bottom="1021" w:left="851" w:header="709" w:footer="0" w:gutter="0"/>
          <w:cols w:space="708"/>
          <w:docGrid w:linePitch="360"/>
        </w:sectPr>
      </w:pPr>
    </w:p>
    <w:p w14:paraId="557BE975" w14:textId="269EE179" w:rsidR="00F416F2" w:rsidRPr="0034064D" w:rsidRDefault="00F416F2" w:rsidP="00764A48">
      <w:pPr>
        <w:spacing w:after="40"/>
        <w:rPr>
          <w:rFonts w:ascii="Arial" w:eastAsia="Arial Unicode MS" w:hAnsi="Arial" w:cs="Arial"/>
          <w:sz w:val="20"/>
          <w:szCs w:val="20"/>
        </w:rPr>
      </w:pPr>
    </w:p>
    <w:p w14:paraId="7238A2D0" w14:textId="7ED1BD42" w:rsidR="00764A48" w:rsidRPr="0034064D" w:rsidRDefault="00F416F2" w:rsidP="00764A48">
      <w:pPr>
        <w:spacing w:after="40"/>
        <w:rPr>
          <w:rFonts w:ascii="Arial" w:eastAsia="Arial Unicode MS" w:hAnsi="Arial" w:cs="Arial"/>
          <w:sz w:val="20"/>
          <w:szCs w:val="20"/>
        </w:rPr>
      </w:pPr>
      <w:r w:rsidRPr="00F416F2">
        <w:rPr>
          <w:noProof/>
          <w:lang w:eastAsia="pt-BR"/>
        </w:rPr>
        <w:drawing>
          <wp:inline distT="0" distB="0" distL="0" distR="0" wp14:anchorId="03AD7E0D" wp14:editId="2A0AE3CB">
            <wp:extent cx="4772025" cy="1628775"/>
            <wp:effectExtent l="0" t="0" r="9525"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72025" cy="1628775"/>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01CB03F8" w14:textId="5CAED2FA" w:rsidR="00764A48"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O item do Resultado Valorativo de Ativos mais relevante está relacionado à Reavaliação de Bens Imóveis, no montante de R$ </w:t>
      </w:r>
      <w:r>
        <w:rPr>
          <w:rFonts w:ascii="Arial" w:eastAsia="Arial Unicode MS" w:hAnsi="Arial" w:cs="Arial"/>
          <w:sz w:val="20"/>
          <w:szCs w:val="20"/>
        </w:rPr>
        <w:t>13</w:t>
      </w:r>
      <w:r w:rsidRPr="0034064D">
        <w:rPr>
          <w:rFonts w:ascii="Arial" w:eastAsia="Arial Unicode MS" w:hAnsi="Arial" w:cs="Arial"/>
          <w:sz w:val="20"/>
          <w:szCs w:val="20"/>
        </w:rPr>
        <w:t xml:space="preserve"> milhões até o </w:t>
      </w:r>
      <w:r>
        <w:rPr>
          <w:rFonts w:ascii="Arial" w:eastAsia="Arial Unicode MS" w:hAnsi="Arial" w:cs="Arial"/>
          <w:sz w:val="20"/>
          <w:szCs w:val="20"/>
        </w:rPr>
        <w:t>primeiro trimestre de 2019</w:t>
      </w:r>
      <w:r w:rsidRPr="0034064D">
        <w:rPr>
          <w:rFonts w:ascii="Arial" w:eastAsia="Arial Unicode MS" w:hAnsi="Arial" w:cs="Arial"/>
          <w:sz w:val="20"/>
          <w:szCs w:val="20"/>
        </w:rPr>
        <w:t>. Tais valores são demonstrados por Unidade Gestora na figura que segue e correspondem, em quase totalidade, conclusões das obras em andamento, objeto de reavaliação dos bens imóveis.</w:t>
      </w:r>
    </w:p>
    <w:p w14:paraId="39E0B735" w14:textId="3DAC8AF9" w:rsidR="00326B0E" w:rsidRDefault="00326B0E" w:rsidP="00764A48">
      <w:pPr>
        <w:spacing w:after="40"/>
        <w:rPr>
          <w:rFonts w:ascii="Arial" w:eastAsia="Arial Unicode MS" w:hAnsi="Arial" w:cs="Arial"/>
          <w:sz w:val="20"/>
          <w:szCs w:val="20"/>
        </w:rPr>
      </w:pPr>
    </w:p>
    <w:p w14:paraId="1F5C5357" w14:textId="3DA7E2F7" w:rsidR="00326B0E" w:rsidRDefault="00326B0E" w:rsidP="00764A48">
      <w:pPr>
        <w:spacing w:after="40"/>
        <w:rPr>
          <w:rFonts w:ascii="Arial" w:eastAsia="Arial Unicode MS" w:hAnsi="Arial" w:cs="Arial"/>
          <w:sz w:val="20"/>
          <w:szCs w:val="20"/>
        </w:rPr>
      </w:pPr>
    </w:p>
    <w:p w14:paraId="6CBAF2D9" w14:textId="6E86C4D4" w:rsidR="00326B0E" w:rsidRDefault="00326B0E" w:rsidP="00764A48">
      <w:pPr>
        <w:spacing w:after="40"/>
        <w:rPr>
          <w:rFonts w:ascii="Arial" w:eastAsia="Arial Unicode MS" w:hAnsi="Arial" w:cs="Arial"/>
          <w:sz w:val="20"/>
          <w:szCs w:val="20"/>
        </w:rPr>
      </w:pPr>
    </w:p>
    <w:p w14:paraId="4339E942" w14:textId="7BFD6C87" w:rsidR="00326B0E" w:rsidRDefault="00326B0E" w:rsidP="00764A48">
      <w:pPr>
        <w:spacing w:after="40"/>
        <w:rPr>
          <w:rFonts w:ascii="Arial" w:eastAsia="Arial Unicode MS" w:hAnsi="Arial" w:cs="Arial"/>
          <w:sz w:val="20"/>
          <w:szCs w:val="20"/>
        </w:rPr>
      </w:pPr>
    </w:p>
    <w:p w14:paraId="44397992" w14:textId="0ED074C0" w:rsidR="00326B0E" w:rsidRDefault="00326B0E" w:rsidP="00764A48">
      <w:pPr>
        <w:spacing w:after="40"/>
        <w:rPr>
          <w:rFonts w:ascii="Arial" w:eastAsia="Arial Unicode MS" w:hAnsi="Arial" w:cs="Arial"/>
          <w:sz w:val="20"/>
          <w:szCs w:val="20"/>
        </w:rPr>
      </w:pPr>
    </w:p>
    <w:p w14:paraId="6E1BB25A" w14:textId="7B2E3AE9" w:rsidR="00326B0E" w:rsidRDefault="00326B0E" w:rsidP="00764A48">
      <w:pPr>
        <w:spacing w:after="40"/>
        <w:rPr>
          <w:rFonts w:ascii="Arial" w:eastAsia="Arial Unicode MS" w:hAnsi="Arial" w:cs="Arial"/>
          <w:sz w:val="20"/>
          <w:szCs w:val="20"/>
        </w:rPr>
      </w:pPr>
    </w:p>
    <w:p w14:paraId="3797041E" w14:textId="77777777" w:rsidR="00326B0E" w:rsidRDefault="00326B0E" w:rsidP="00764A48">
      <w:pPr>
        <w:spacing w:after="40"/>
        <w:rPr>
          <w:rFonts w:ascii="Arial" w:eastAsia="Arial Unicode MS" w:hAnsi="Arial" w:cs="Arial"/>
          <w:sz w:val="20"/>
          <w:szCs w:val="20"/>
        </w:rPr>
      </w:pPr>
    </w:p>
    <w:p w14:paraId="5F695CE6" w14:textId="046D3BDD" w:rsidR="00F416F2" w:rsidRPr="00F416F2" w:rsidRDefault="00F416F2" w:rsidP="00764A48">
      <w:pPr>
        <w:spacing w:after="40"/>
        <w:rPr>
          <w:rFonts w:ascii="Arial" w:eastAsia="Arial Unicode MS" w:hAnsi="Arial" w:cs="Arial"/>
          <w:b/>
          <w:sz w:val="20"/>
          <w:szCs w:val="20"/>
        </w:rPr>
      </w:pPr>
      <w:r w:rsidRPr="00F416F2">
        <w:rPr>
          <w:rFonts w:ascii="Arial" w:eastAsia="Arial Unicode MS" w:hAnsi="Arial" w:cs="Arial"/>
          <w:b/>
          <w:sz w:val="20"/>
          <w:szCs w:val="20"/>
        </w:rPr>
        <w:t>Reavaliação de Bens Imóveis por UG</w:t>
      </w:r>
    </w:p>
    <w:p w14:paraId="6464050D" w14:textId="52DCF9E0" w:rsidR="00764A48" w:rsidRPr="0034064D" w:rsidRDefault="00F416F2" w:rsidP="00764A48">
      <w:pPr>
        <w:spacing w:after="40"/>
        <w:rPr>
          <w:rFonts w:ascii="Arial" w:eastAsia="Arial Unicode MS" w:hAnsi="Arial" w:cs="Arial"/>
          <w:sz w:val="20"/>
          <w:szCs w:val="20"/>
        </w:rPr>
      </w:pPr>
      <w:r>
        <w:rPr>
          <w:rFonts w:ascii="Arial" w:eastAsia="Arial Unicode MS" w:hAnsi="Arial" w:cs="Arial"/>
          <w:noProof/>
          <w:sz w:val="20"/>
          <w:szCs w:val="20"/>
          <w:lang w:eastAsia="pt-BR"/>
        </w:rPr>
        <w:drawing>
          <wp:inline distT="0" distB="0" distL="0" distR="0" wp14:anchorId="6D5EC9A9" wp14:editId="79EB4C59">
            <wp:extent cx="4999355" cy="236537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99355" cy="2365375"/>
                    </a:xfrm>
                    <a:prstGeom prst="rect">
                      <a:avLst/>
                    </a:prstGeom>
                    <a:noFill/>
                  </pic:spPr>
                </pic:pic>
              </a:graphicData>
            </a:graphic>
          </wp:inline>
        </w:drawing>
      </w:r>
      <w:r w:rsidR="00764A48" w:rsidRPr="0034064D">
        <w:rPr>
          <w:rFonts w:ascii="Arial" w:eastAsia="Arial Unicode MS" w:hAnsi="Arial" w:cs="Arial"/>
          <w:sz w:val="20"/>
          <w:szCs w:val="20"/>
        </w:rPr>
        <w:t xml:space="preserve"> </w:t>
      </w:r>
    </w:p>
    <w:p w14:paraId="6C22BA42"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 </w:t>
      </w:r>
    </w:p>
    <w:p w14:paraId="0B507476" w14:textId="77777777" w:rsidR="00764A48" w:rsidRPr="0034064D" w:rsidRDefault="00764A48" w:rsidP="00764A48">
      <w:pPr>
        <w:spacing w:after="40"/>
        <w:rPr>
          <w:rFonts w:ascii="Arial" w:eastAsia="Arial Unicode MS" w:hAnsi="Arial" w:cs="Arial"/>
          <w:sz w:val="20"/>
          <w:szCs w:val="20"/>
        </w:rPr>
      </w:pPr>
      <w:r>
        <w:rPr>
          <w:rFonts w:ascii="Arial" w:eastAsia="Arial Unicode MS" w:hAnsi="Arial" w:cs="Arial"/>
          <w:sz w:val="20"/>
          <w:szCs w:val="20"/>
        </w:rPr>
        <w:t>Fonte: SIAFI, 2019</w:t>
      </w:r>
    </w:p>
    <w:p w14:paraId="2890775C"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Houve, também, </w:t>
      </w:r>
      <w:r>
        <w:rPr>
          <w:rFonts w:ascii="Arial" w:eastAsia="Arial Unicode MS" w:hAnsi="Arial" w:cs="Arial"/>
          <w:sz w:val="20"/>
          <w:szCs w:val="20"/>
        </w:rPr>
        <w:t>diminuição</w:t>
      </w:r>
      <w:r w:rsidRPr="0034064D">
        <w:rPr>
          <w:rFonts w:ascii="Arial" w:eastAsia="Arial Unicode MS" w:hAnsi="Arial" w:cs="Arial"/>
          <w:sz w:val="20"/>
          <w:szCs w:val="20"/>
        </w:rPr>
        <w:t xml:space="preserve"> nas VPD’s tributárias, Impostos, Taxas e Contribuições de Melhoria, na ordem de </w:t>
      </w:r>
      <w:r>
        <w:rPr>
          <w:rFonts w:ascii="Arial" w:eastAsia="Arial Unicode MS" w:hAnsi="Arial" w:cs="Arial"/>
          <w:sz w:val="20"/>
          <w:szCs w:val="20"/>
        </w:rPr>
        <w:t>54</w:t>
      </w:r>
      <w:r w:rsidRPr="0034064D">
        <w:rPr>
          <w:rFonts w:ascii="Arial" w:eastAsia="Arial Unicode MS" w:hAnsi="Arial" w:cs="Arial"/>
          <w:sz w:val="20"/>
          <w:szCs w:val="20"/>
        </w:rPr>
        <w:t xml:space="preserve">%, com destaque para </w:t>
      </w:r>
      <w:r>
        <w:rPr>
          <w:rFonts w:ascii="Arial" w:eastAsia="Arial Unicode MS" w:hAnsi="Arial" w:cs="Arial"/>
          <w:sz w:val="20"/>
          <w:szCs w:val="20"/>
        </w:rPr>
        <w:t>Taxas Inter OFSS</w:t>
      </w:r>
      <w:r w:rsidRPr="0034064D">
        <w:rPr>
          <w:rFonts w:ascii="Arial" w:eastAsia="Arial Unicode MS" w:hAnsi="Arial" w:cs="Arial"/>
          <w:sz w:val="20"/>
          <w:szCs w:val="20"/>
        </w:rPr>
        <w:t xml:space="preserve">, com </w:t>
      </w:r>
      <w:r>
        <w:rPr>
          <w:rFonts w:ascii="Arial" w:eastAsia="Arial Unicode MS" w:hAnsi="Arial" w:cs="Arial"/>
          <w:sz w:val="20"/>
          <w:szCs w:val="20"/>
        </w:rPr>
        <w:t xml:space="preserve">decréscimo </w:t>
      </w:r>
      <w:r w:rsidRPr="0034064D">
        <w:rPr>
          <w:rFonts w:ascii="Arial" w:eastAsia="Arial Unicode MS" w:hAnsi="Arial" w:cs="Arial"/>
          <w:sz w:val="20"/>
          <w:szCs w:val="20"/>
        </w:rPr>
        <w:t xml:space="preserve"> de </w:t>
      </w:r>
      <w:r>
        <w:rPr>
          <w:rFonts w:ascii="Arial" w:eastAsia="Arial Unicode MS" w:hAnsi="Arial" w:cs="Arial"/>
          <w:sz w:val="20"/>
          <w:szCs w:val="20"/>
        </w:rPr>
        <w:t>66</w:t>
      </w:r>
      <w:r w:rsidRPr="0034064D">
        <w:rPr>
          <w:rFonts w:ascii="Arial" w:eastAsia="Arial Unicode MS" w:hAnsi="Arial" w:cs="Arial"/>
          <w:sz w:val="20"/>
          <w:szCs w:val="20"/>
        </w:rPr>
        <w:t xml:space="preserve">%, </w:t>
      </w:r>
      <w:r>
        <w:rPr>
          <w:rFonts w:ascii="Arial" w:eastAsia="Arial Unicode MS" w:hAnsi="Arial" w:cs="Arial"/>
          <w:sz w:val="20"/>
          <w:szCs w:val="20"/>
        </w:rPr>
        <w:t xml:space="preserve">correspondendo a R$ 34 mil, </w:t>
      </w:r>
      <w:r w:rsidRPr="0034064D">
        <w:rPr>
          <w:rFonts w:ascii="Arial" w:eastAsia="Arial Unicode MS" w:hAnsi="Arial" w:cs="Arial"/>
          <w:sz w:val="20"/>
          <w:szCs w:val="20"/>
        </w:rPr>
        <w:t>conforme a tabela a seguir.</w:t>
      </w:r>
    </w:p>
    <w:p w14:paraId="4A5A2A58" w14:textId="77777777" w:rsidR="00326B0E" w:rsidRDefault="00326B0E" w:rsidP="00764A48">
      <w:pPr>
        <w:spacing w:after="40"/>
        <w:rPr>
          <w:rFonts w:ascii="Arial" w:eastAsia="Arial Unicode MS" w:hAnsi="Arial" w:cs="Arial"/>
          <w:sz w:val="20"/>
          <w:szCs w:val="20"/>
        </w:rPr>
        <w:sectPr w:rsidR="00326B0E" w:rsidSect="00E40488">
          <w:type w:val="continuous"/>
          <w:pgSz w:w="16838" w:h="11906" w:orient="landscape"/>
          <w:pgMar w:top="1021" w:right="851" w:bottom="1021" w:left="851" w:header="709" w:footer="0" w:gutter="0"/>
          <w:cols w:num="2" w:space="708"/>
          <w:docGrid w:linePitch="360"/>
        </w:sectPr>
      </w:pPr>
    </w:p>
    <w:p w14:paraId="2F2245D6" w14:textId="74570B51" w:rsidR="00764A48" w:rsidRPr="0034064D" w:rsidRDefault="00F416F2" w:rsidP="00764A48">
      <w:pPr>
        <w:spacing w:after="40"/>
        <w:rPr>
          <w:rFonts w:ascii="Arial" w:eastAsia="Arial Unicode MS" w:hAnsi="Arial" w:cs="Arial"/>
          <w:sz w:val="20"/>
          <w:szCs w:val="20"/>
        </w:rPr>
      </w:pPr>
      <w:r w:rsidRPr="00F416F2">
        <w:rPr>
          <w:noProof/>
          <w:lang w:eastAsia="pt-BR"/>
        </w:rPr>
        <w:lastRenderedPageBreak/>
        <w:drawing>
          <wp:inline distT="0" distB="0" distL="0" distR="0" wp14:anchorId="2AE06074" wp14:editId="213263B7">
            <wp:extent cx="7134225" cy="2419350"/>
            <wp:effectExtent l="0" t="0" r="9525"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34225" cy="2419350"/>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1BA3F4C4" w14:textId="77777777" w:rsidR="00326B0E" w:rsidRDefault="00326B0E" w:rsidP="00764A48">
      <w:pPr>
        <w:spacing w:after="40"/>
        <w:rPr>
          <w:rFonts w:ascii="Arial" w:eastAsia="Arial Unicode MS" w:hAnsi="Arial" w:cs="Arial"/>
          <w:sz w:val="20"/>
          <w:szCs w:val="20"/>
        </w:rPr>
        <w:sectPr w:rsidR="00326B0E" w:rsidSect="00326B0E">
          <w:type w:val="continuous"/>
          <w:pgSz w:w="16838" w:h="11906" w:orient="landscape"/>
          <w:pgMar w:top="1021" w:right="851" w:bottom="1021" w:left="851" w:header="709" w:footer="0" w:gutter="0"/>
          <w:cols w:space="708"/>
          <w:docGrid w:linePitch="360"/>
        </w:sectPr>
      </w:pPr>
    </w:p>
    <w:p w14:paraId="50DDF2C4" w14:textId="00175EFE"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Em relação às Taxas, a variação </w:t>
      </w:r>
      <w:r>
        <w:rPr>
          <w:rFonts w:ascii="Arial" w:eastAsia="Arial Unicode MS" w:hAnsi="Arial" w:cs="Arial"/>
          <w:sz w:val="20"/>
          <w:szCs w:val="20"/>
        </w:rPr>
        <w:t xml:space="preserve">negativa </w:t>
      </w:r>
      <w:r w:rsidRPr="0034064D">
        <w:rPr>
          <w:rFonts w:ascii="Arial" w:eastAsia="Arial Unicode MS" w:hAnsi="Arial" w:cs="Arial"/>
          <w:sz w:val="20"/>
          <w:szCs w:val="20"/>
        </w:rPr>
        <w:t xml:space="preserve">foi na ordem de R$ </w:t>
      </w:r>
      <w:r>
        <w:rPr>
          <w:rFonts w:ascii="Arial" w:eastAsia="Arial Unicode MS" w:hAnsi="Arial" w:cs="Arial"/>
          <w:sz w:val="20"/>
          <w:szCs w:val="20"/>
        </w:rPr>
        <w:t>3</w:t>
      </w:r>
      <w:r w:rsidRPr="0034064D">
        <w:rPr>
          <w:rFonts w:ascii="Arial" w:eastAsia="Arial Unicode MS" w:hAnsi="Arial" w:cs="Arial"/>
          <w:sz w:val="20"/>
          <w:szCs w:val="20"/>
        </w:rPr>
        <w:t>4 mil, equivalente a 6</w:t>
      </w:r>
      <w:r>
        <w:rPr>
          <w:rFonts w:ascii="Arial" w:eastAsia="Arial Unicode MS" w:hAnsi="Arial" w:cs="Arial"/>
          <w:sz w:val="20"/>
          <w:szCs w:val="20"/>
        </w:rPr>
        <w:t>6</w:t>
      </w:r>
      <w:r w:rsidRPr="0034064D">
        <w:rPr>
          <w:rFonts w:ascii="Arial" w:eastAsia="Arial Unicode MS" w:hAnsi="Arial" w:cs="Arial"/>
          <w:sz w:val="20"/>
          <w:szCs w:val="20"/>
        </w:rPr>
        <w:t xml:space="preserve">% em relação ao mesmo período anterior. </w:t>
      </w:r>
    </w:p>
    <w:p w14:paraId="6DB722BD"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Outras Variações Patrimoniais Diminutivas tiveram variação com impacto no Resultado Patrimonial do IFRS, na ordem de </w:t>
      </w:r>
      <w:r>
        <w:rPr>
          <w:rFonts w:ascii="Arial" w:eastAsia="Arial Unicode MS" w:hAnsi="Arial" w:cs="Arial"/>
          <w:sz w:val="20"/>
          <w:szCs w:val="20"/>
        </w:rPr>
        <w:t>11</w:t>
      </w:r>
      <w:r w:rsidRPr="0034064D">
        <w:rPr>
          <w:rFonts w:ascii="Arial" w:eastAsia="Arial Unicode MS" w:hAnsi="Arial" w:cs="Arial"/>
          <w:sz w:val="20"/>
          <w:szCs w:val="20"/>
        </w:rPr>
        <w:t xml:space="preserve">%. Conforme demonstrado a seguir, estão diretamente relacionadas à Bolsa de Estudos no País, no montante de R$ </w:t>
      </w:r>
      <w:r>
        <w:rPr>
          <w:rFonts w:ascii="Arial" w:eastAsia="Arial Unicode MS" w:hAnsi="Arial" w:cs="Arial"/>
          <w:sz w:val="20"/>
          <w:szCs w:val="20"/>
        </w:rPr>
        <w:t>1,53</w:t>
      </w:r>
      <w:r w:rsidRPr="0034064D">
        <w:rPr>
          <w:rFonts w:ascii="Arial" w:eastAsia="Arial Unicode MS" w:hAnsi="Arial" w:cs="Arial"/>
          <w:sz w:val="20"/>
          <w:szCs w:val="20"/>
        </w:rPr>
        <w:t xml:space="preserve"> milhões, com variação na ordem de </w:t>
      </w:r>
      <w:r>
        <w:rPr>
          <w:rFonts w:ascii="Arial" w:eastAsia="Arial Unicode MS" w:hAnsi="Arial" w:cs="Arial"/>
          <w:sz w:val="20"/>
          <w:szCs w:val="20"/>
        </w:rPr>
        <w:t>12%, equivalentes a R$ 221 mil. Outras VPDs tiveram crescimento em relação ao mesmo trimestre do período anterior, porém com modesta repercussão.</w:t>
      </w:r>
    </w:p>
    <w:p w14:paraId="7501CC5C" w14:textId="77777777" w:rsidR="00F416F2" w:rsidRDefault="00F416F2" w:rsidP="00764A48">
      <w:pPr>
        <w:spacing w:after="40"/>
      </w:pPr>
      <w:r w:rsidRPr="00F416F2">
        <w:rPr>
          <w:noProof/>
          <w:lang w:eastAsia="pt-BR"/>
        </w:rPr>
        <w:drawing>
          <wp:inline distT="0" distB="0" distL="0" distR="0" wp14:anchorId="2BEF56FB" wp14:editId="56376BD5">
            <wp:extent cx="7134225" cy="209550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134225" cy="2095500"/>
                    </a:xfrm>
                    <a:prstGeom prst="rect">
                      <a:avLst/>
                    </a:prstGeom>
                    <a:noFill/>
                    <a:ln>
                      <a:noFill/>
                    </a:ln>
                  </pic:spPr>
                </pic:pic>
              </a:graphicData>
            </a:graphic>
          </wp:inline>
        </w:drawing>
      </w:r>
      <w:r w:rsidRPr="00F416F2">
        <w:t xml:space="preserve"> </w:t>
      </w:r>
    </w:p>
    <w:p w14:paraId="670701BE" w14:textId="70823B4A"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Na </w:t>
      </w:r>
      <w:r w:rsidR="00326B0E">
        <w:rPr>
          <w:rFonts w:ascii="Arial" w:eastAsia="Arial Unicode MS" w:hAnsi="Arial" w:cs="Arial"/>
          <w:sz w:val="20"/>
          <w:szCs w:val="20"/>
        </w:rPr>
        <w:t>tabela a seguir</w:t>
      </w:r>
      <w:r w:rsidRPr="0034064D">
        <w:rPr>
          <w:rFonts w:ascii="Arial" w:eastAsia="Arial Unicode MS" w:hAnsi="Arial" w:cs="Arial"/>
          <w:sz w:val="20"/>
          <w:szCs w:val="20"/>
        </w:rPr>
        <w:t>, apresenta-se a distribuição das Bolsas de Estudos no País, por Unidade Gestora do IFRS.</w:t>
      </w:r>
    </w:p>
    <w:p w14:paraId="438C1F9D" w14:textId="77777777" w:rsidR="00326B0E" w:rsidRDefault="00326B0E" w:rsidP="00764A48">
      <w:pPr>
        <w:spacing w:after="40"/>
        <w:rPr>
          <w:rFonts w:ascii="Arial" w:eastAsia="Arial Unicode MS" w:hAnsi="Arial" w:cs="Arial"/>
          <w:sz w:val="20"/>
          <w:szCs w:val="20"/>
        </w:rPr>
        <w:sectPr w:rsidR="00326B0E" w:rsidSect="00326B0E">
          <w:type w:val="continuous"/>
          <w:pgSz w:w="16838" w:h="11906" w:orient="landscape"/>
          <w:pgMar w:top="1021" w:right="851" w:bottom="1021" w:left="851" w:header="709" w:footer="0" w:gutter="0"/>
          <w:cols w:space="708"/>
          <w:docGrid w:linePitch="360"/>
        </w:sectPr>
      </w:pPr>
    </w:p>
    <w:p w14:paraId="3825B6D4" w14:textId="77777777" w:rsidR="00326B0E" w:rsidRDefault="00326B0E" w:rsidP="00764A48">
      <w:pPr>
        <w:spacing w:after="40"/>
        <w:rPr>
          <w:rFonts w:ascii="Arial" w:eastAsia="Arial Unicode MS" w:hAnsi="Arial" w:cs="Arial"/>
          <w:sz w:val="20"/>
          <w:szCs w:val="20"/>
        </w:rPr>
        <w:sectPr w:rsidR="00326B0E" w:rsidSect="00326B0E">
          <w:type w:val="continuous"/>
          <w:pgSz w:w="16838" w:h="11906" w:orient="landscape"/>
          <w:pgMar w:top="1021" w:right="851" w:bottom="1021" w:left="851" w:header="709" w:footer="0" w:gutter="0"/>
          <w:cols w:space="708"/>
          <w:docGrid w:linePitch="360"/>
        </w:sectPr>
      </w:pPr>
    </w:p>
    <w:p w14:paraId="6F1D0EF7" w14:textId="7EAC6EDB" w:rsidR="00764A48" w:rsidRPr="0034064D" w:rsidRDefault="00F416F2" w:rsidP="00764A48">
      <w:pPr>
        <w:spacing w:after="40"/>
        <w:rPr>
          <w:rFonts w:ascii="Arial" w:eastAsia="Arial Unicode MS" w:hAnsi="Arial" w:cs="Arial"/>
          <w:sz w:val="20"/>
          <w:szCs w:val="20"/>
        </w:rPr>
      </w:pPr>
      <w:r w:rsidRPr="00F416F2">
        <w:rPr>
          <w:noProof/>
          <w:lang w:eastAsia="pt-BR"/>
        </w:rPr>
        <w:lastRenderedPageBreak/>
        <w:drawing>
          <wp:inline distT="0" distB="0" distL="0" distR="0" wp14:anchorId="0556875A" wp14:editId="261482F9">
            <wp:extent cx="5867400" cy="37147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67400" cy="3714750"/>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7C8F22E5" w14:textId="77777777" w:rsidR="00326B0E" w:rsidRDefault="00326B0E" w:rsidP="00764A48">
      <w:pPr>
        <w:spacing w:after="240"/>
        <w:ind w:firstLine="284"/>
        <w:rPr>
          <w:rFonts w:ascii="Arial" w:eastAsia="Arial Unicode MS" w:hAnsi="Arial" w:cs="Arial"/>
          <w:b/>
          <w:color w:val="C45911" w:themeColor="accent2" w:themeShade="BF"/>
          <w:sz w:val="24"/>
          <w:szCs w:val="24"/>
        </w:rPr>
        <w:sectPr w:rsidR="00326B0E" w:rsidSect="00326B0E">
          <w:type w:val="continuous"/>
          <w:pgSz w:w="16838" w:h="11906" w:orient="landscape"/>
          <w:pgMar w:top="1021" w:right="851" w:bottom="1021" w:left="851" w:header="709" w:footer="0" w:gutter="0"/>
          <w:cols w:space="708"/>
          <w:docGrid w:linePitch="360"/>
        </w:sectPr>
      </w:pPr>
    </w:p>
    <w:p w14:paraId="48D41271" w14:textId="71A5B149" w:rsidR="00764A48" w:rsidRPr="0034064D" w:rsidRDefault="00E40488" w:rsidP="00764A48">
      <w:pPr>
        <w:spacing w:after="240"/>
        <w:ind w:firstLine="284"/>
        <w:rPr>
          <w:rFonts w:ascii="Arial" w:eastAsia="Arial Unicode MS" w:hAnsi="Arial" w:cs="Arial"/>
          <w:b/>
          <w:color w:val="C45911" w:themeColor="accent2" w:themeShade="BF"/>
          <w:sz w:val="24"/>
          <w:szCs w:val="24"/>
        </w:rPr>
      </w:pPr>
      <w:r>
        <w:rPr>
          <w:rFonts w:ascii="Arial" w:eastAsia="Arial Unicode MS" w:hAnsi="Arial" w:cs="Arial"/>
          <w:b/>
          <w:color w:val="C45911" w:themeColor="accent2" w:themeShade="BF"/>
          <w:sz w:val="24"/>
          <w:szCs w:val="24"/>
        </w:rPr>
        <w:t>Nota 11</w:t>
      </w:r>
      <w:r w:rsidR="00764A48" w:rsidRPr="0034064D">
        <w:rPr>
          <w:rFonts w:ascii="Arial" w:eastAsia="Arial Unicode MS" w:hAnsi="Arial" w:cs="Arial"/>
          <w:b/>
          <w:color w:val="C45911" w:themeColor="accent2" w:themeShade="BF"/>
          <w:sz w:val="24"/>
          <w:szCs w:val="24"/>
        </w:rPr>
        <w:t xml:space="preserve"> – Resultado Orçamentário</w:t>
      </w:r>
    </w:p>
    <w:p w14:paraId="0AD44482"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O resultado orçamentário é originado a partir da confrontação entre receitas arrecadadas e as despesas legalmente empenhadas no período, tendo em vista critério estabelecido pelo art. 35 da Lei nº 4.320/1964.</w:t>
      </w:r>
    </w:p>
    <w:p w14:paraId="0C54DF56"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Até o </w:t>
      </w:r>
      <w:r>
        <w:rPr>
          <w:rFonts w:ascii="Arial" w:eastAsia="Arial Unicode MS" w:hAnsi="Arial" w:cs="Arial"/>
          <w:sz w:val="20"/>
          <w:szCs w:val="20"/>
        </w:rPr>
        <w:t>primeiro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as receitas realizadas montaram a quantia aproximada de R$ </w:t>
      </w:r>
      <w:r>
        <w:rPr>
          <w:rFonts w:ascii="Arial" w:eastAsia="Arial Unicode MS" w:hAnsi="Arial" w:cs="Arial"/>
          <w:sz w:val="20"/>
          <w:szCs w:val="20"/>
        </w:rPr>
        <w:t>0,38</w:t>
      </w:r>
      <w:r w:rsidRPr="0034064D">
        <w:rPr>
          <w:rFonts w:ascii="Arial" w:eastAsia="Arial Unicode MS" w:hAnsi="Arial" w:cs="Arial"/>
          <w:sz w:val="20"/>
          <w:szCs w:val="20"/>
        </w:rPr>
        <w:t xml:space="preserve"> milhões, enquanto que as despesas empenhadas perfizeram o montante de R$ </w:t>
      </w:r>
      <w:r>
        <w:rPr>
          <w:rFonts w:ascii="Arial" w:eastAsia="Arial Unicode MS" w:hAnsi="Arial" w:cs="Arial"/>
          <w:sz w:val="20"/>
          <w:szCs w:val="20"/>
        </w:rPr>
        <w:t>382</w:t>
      </w:r>
      <w:r w:rsidRPr="0034064D">
        <w:rPr>
          <w:rFonts w:ascii="Arial" w:eastAsia="Arial Unicode MS" w:hAnsi="Arial" w:cs="Arial"/>
          <w:sz w:val="20"/>
          <w:szCs w:val="20"/>
        </w:rPr>
        <w:t xml:space="preserve"> milhões.</w:t>
      </w:r>
    </w:p>
    <w:p w14:paraId="2F088AE2"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De acordo com informações extraídas do Balanço Orçamentário, o empenho d</w:t>
      </w:r>
      <w:r>
        <w:rPr>
          <w:rFonts w:ascii="Arial" w:eastAsia="Arial Unicode MS" w:hAnsi="Arial" w:cs="Arial"/>
          <w:sz w:val="20"/>
          <w:szCs w:val="20"/>
        </w:rPr>
        <w:t>e</w:t>
      </w:r>
      <w:r w:rsidRPr="0034064D">
        <w:rPr>
          <w:rFonts w:ascii="Arial" w:eastAsia="Arial Unicode MS" w:hAnsi="Arial" w:cs="Arial"/>
          <w:sz w:val="20"/>
          <w:szCs w:val="20"/>
        </w:rPr>
        <w:t xml:space="preserve"> despesas </w:t>
      </w:r>
      <w:r>
        <w:rPr>
          <w:rFonts w:ascii="Arial" w:eastAsia="Arial Unicode MS" w:hAnsi="Arial" w:cs="Arial"/>
          <w:sz w:val="20"/>
          <w:szCs w:val="20"/>
        </w:rPr>
        <w:t xml:space="preserve">alcançou cerca de </w:t>
      </w:r>
      <w:r w:rsidRPr="0034064D">
        <w:rPr>
          <w:rFonts w:ascii="Arial" w:eastAsia="Arial Unicode MS" w:hAnsi="Arial" w:cs="Arial"/>
          <w:sz w:val="20"/>
          <w:szCs w:val="20"/>
        </w:rPr>
        <w:t>ultrapassou a dotação atualizada em 0,01%, R$ 2,7 milhões em valores monetários, no exercício de 2018, lembrando que, no primeiro trimestre, 72,08% desses empenhos já haviam sido realizados.</w:t>
      </w:r>
    </w:p>
    <w:p w14:paraId="75C4D31F" w14:textId="44158C10"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A realização de receitas até o quarto trimestre alcançou 91,5% da previsão atualizada de arrecadação, evidenciando que a execução de despesas ocorreu em ritmo superio</w:t>
      </w:r>
      <w:r w:rsidR="00865B74">
        <w:rPr>
          <w:rFonts w:ascii="Arial" w:eastAsia="Arial Unicode MS" w:hAnsi="Arial" w:cs="Arial"/>
          <w:sz w:val="20"/>
          <w:szCs w:val="20"/>
        </w:rPr>
        <w:t>r ao da realização de receitas.</w:t>
      </w:r>
    </w:p>
    <w:p w14:paraId="1AE42FFE"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Receitas</w:t>
      </w:r>
    </w:p>
    <w:p w14:paraId="3F11F41F"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As receitas realizadas até o quarto trimestre de 2018, em comparação com as do mesmo período de 2017, estão distribuídas nas seguintes categorias, conforme demonstrado nos respectivos Balanços Orçamentários:</w:t>
      </w:r>
    </w:p>
    <w:p w14:paraId="5B740EC3" w14:textId="384D684E" w:rsidR="00764A48" w:rsidRPr="0034064D" w:rsidRDefault="00F416F2" w:rsidP="00764A48">
      <w:pPr>
        <w:spacing w:after="40"/>
        <w:rPr>
          <w:rFonts w:ascii="Arial" w:eastAsia="Arial Unicode MS" w:hAnsi="Arial" w:cs="Arial"/>
          <w:sz w:val="20"/>
          <w:szCs w:val="20"/>
        </w:rPr>
      </w:pPr>
      <w:r w:rsidRPr="00F416F2">
        <w:rPr>
          <w:noProof/>
          <w:lang w:eastAsia="pt-BR"/>
        </w:rPr>
        <w:drawing>
          <wp:inline distT="0" distB="0" distL="0" distR="0" wp14:anchorId="66743D20" wp14:editId="3B85A414">
            <wp:extent cx="4687878" cy="14097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95478" cy="1411986"/>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0E673CD7"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Comparando-se as receitas realizadas até o </w:t>
      </w:r>
      <w:r>
        <w:rPr>
          <w:rFonts w:ascii="Arial" w:eastAsia="Arial Unicode MS" w:hAnsi="Arial" w:cs="Arial"/>
          <w:sz w:val="20"/>
          <w:szCs w:val="20"/>
        </w:rPr>
        <w:t>primeiro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com 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percebe-se uma </w:t>
      </w:r>
      <w:r>
        <w:rPr>
          <w:rFonts w:ascii="Arial" w:eastAsia="Arial Unicode MS" w:hAnsi="Arial" w:cs="Arial"/>
          <w:sz w:val="20"/>
          <w:szCs w:val="20"/>
        </w:rPr>
        <w:t>evolução</w:t>
      </w:r>
      <w:r w:rsidRPr="0034064D">
        <w:rPr>
          <w:rFonts w:ascii="Arial" w:eastAsia="Arial Unicode MS" w:hAnsi="Arial" w:cs="Arial"/>
          <w:sz w:val="20"/>
          <w:szCs w:val="20"/>
        </w:rPr>
        <w:t xml:space="preserve"> de aproximadamente </w:t>
      </w:r>
      <w:r>
        <w:rPr>
          <w:rFonts w:ascii="Arial" w:eastAsia="Arial Unicode MS" w:hAnsi="Arial" w:cs="Arial"/>
          <w:sz w:val="20"/>
          <w:szCs w:val="20"/>
        </w:rPr>
        <w:t>254</w:t>
      </w:r>
      <w:r w:rsidRPr="0034064D">
        <w:rPr>
          <w:rFonts w:ascii="Arial" w:eastAsia="Arial Unicode MS" w:hAnsi="Arial" w:cs="Arial"/>
          <w:sz w:val="20"/>
          <w:szCs w:val="20"/>
        </w:rPr>
        <w:t>% na arrecadação de receitas correntes.</w:t>
      </w:r>
    </w:p>
    <w:p w14:paraId="2995AA19"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A </w:t>
      </w:r>
      <w:r>
        <w:rPr>
          <w:rFonts w:ascii="Arial" w:eastAsia="Arial Unicode MS" w:hAnsi="Arial" w:cs="Arial"/>
          <w:sz w:val="20"/>
          <w:szCs w:val="20"/>
        </w:rPr>
        <w:t>e</w:t>
      </w:r>
      <w:r w:rsidRPr="0034064D">
        <w:rPr>
          <w:rFonts w:ascii="Arial" w:eastAsia="Arial Unicode MS" w:hAnsi="Arial" w:cs="Arial"/>
          <w:sz w:val="20"/>
          <w:szCs w:val="20"/>
        </w:rPr>
        <w:t xml:space="preserve">volução observada importa em aproximadamente R$ </w:t>
      </w:r>
      <w:r>
        <w:rPr>
          <w:rFonts w:ascii="Arial" w:eastAsia="Arial Unicode MS" w:hAnsi="Arial" w:cs="Arial"/>
          <w:sz w:val="20"/>
          <w:szCs w:val="20"/>
        </w:rPr>
        <w:t>275</w:t>
      </w:r>
      <w:r w:rsidRPr="0034064D">
        <w:rPr>
          <w:rFonts w:ascii="Arial" w:eastAsia="Arial Unicode MS" w:hAnsi="Arial" w:cs="Arial"/>
          <w:sz w:val="20"/>
          <w:szCs w:val="20"/>
        </w:rPr>
        <w:t xml:space="preserve"> mil, afetando </w:t>
      </w:r>
      <w:r>
        <w:rPr>
          <w:rFonts w:ascii="Arial" w:eastAsia="Arial Unicode MS" w:hAnsi="Arial" w:cs="Arial"/>
          <w:sz w:val="20"/>
          <w:szCs w:val="20"/>
        </w:rPr>
        <w:t xml:space="preserve">positivamente </w:t>
      </w:r>
      <w:r w:rsidRPr="0034064D">
        <w:rPr>
          <w:rFonts w:ascii="Arial" w:eastAsia="Arial Unicode MS" w:hAnsi="Arial" w:cs="Arial"/>
          <w:sz w:val="20"/>
          <w:szCs w:val="20"/>
        </w:rPr>
        <w:t>o desempenho da arrecadação que pode ser demonstrada conforme tabela abaixo:</w:t>
      </w:r>
    </w:p>
    <w:p w14:paraId="5C933D8B" w14:textId="1AAA10D1" w:rsidR="00764A48" w:rsidRPr="0034064D" w:rsidRDefault="00F416F2" w:rsidP="00764A48">
      <w:pPr>
        <w:spacing w:after="40"/>
        <w:rPr>
          <w:rFonts w:ascii="Arial" w:eastAsia="Arial Unicode MS" w:hAnsi="Arial" w:cs="Arial"/>
          <w:sz w:val="20"/>
          <w:szCs w:val="20"/>
        </w:rPr>
      </w:pPr>
      <w:r w:rsidRPr="00F416F2">
        <w:rPr>
          <w:noProof/>
          <w:lang w:eastAsia="pt-BR"/>
        </w:rPr>
        <w:drawing>
          <wp:inline distT="0" distB="0" distL="0" distR="0" wp14:anchorId="01A5F1EB" wp14:editId="136D57A4">
            <wp:extent cx="4667250" cy="2001436"/>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700196" cy="2015564"/>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17ACD517" w14:textId="77777777" w:rsidR="00764A48" w:rsidRPr="0034064D" w:rsidRDefault="00764A48" w:rsidP="00764A48">
      <w:pPr>
        <w:spacing w:after="40"/>
        <w:rPr>
          <w:rFonts w:ascii="Arial" w:eastAsia="Arial Unicode MS" w:hAnsi="Arial" w:cs="Arial"/>
          <w:sz w:val="20"/>
          <w:szCs w:val="20"/>
        </w:rPr>
      </w:pPr>
      <w:r>
        <w:rPr>
          <w:rFonts w:ascii="Arial" w:eastAsia="Arial Unicode MS" w:hAnsi="Arial" w:cs="Arial"/>
          <w:sz w:val="20"/>
          <w:szCs w:val="20"/>
        </w:rPr>
        <w:t>Analisando o comportamento da Receita</w:t>
      </w:r>
      <w:r w:rsidRPr="0034064D">
        <w:rPr>
          <w:rFonts w:ascii="Arial" w:eastAsia="Arial Unicode MS" w:hAnsi="Arial" w:cs="Arial"/>
          <w:sz w:val="20"/>
          <w:szCs w:val="20"/>
        </w:rPr>
        <w:t>, percebe-s</w:t>
      </w:r>
      <w:r>
        <w:rPr>
          <w:rFonts w:ascii="Arial" w:eastAsia="Arial Unicode MS" w:hAnsi="Arial" w:cs="Arial"/>
          <w:sz w:val="20"/>
          <w:szCs w:val="20"/>
        </w:rPr>
        <w:t>e que a variação verificada resulta,</w:t>
      </w:r>
      <w:r w:rsidRPr="0034064D">
        <w:rPr>
          <w:rFonts w:ascii="Arial" w:eastAsia="Arial Unicode MS" w:hAnsi="Arial" w:cs="Arial"/>
          <w:sz w:val="20"/>
          <w:szCs w:val="20"/>
        </w:rPr>
        <w:t xml:space="preserve"> principalmente</w:t>
      </w:r>
      <w:r>
        <w:rPr>
          <w:rFonts w:ascii="Arial" w:eastAsia="Arial Unicode MS" w:hAnsi="Arial" w:cs="Arial"/>
          <w:sz w:val="20"/>
          <w:szCs w:val="20"/>
        </w:rPr>
        <w:t>,</w:t>
      </w:r>
      <w:r w:rsidRPr="0034064D">
        <w:rPr>
          <w:rFonts w:ascii="Arial" w:eastAsia="Arial Unicode MS" w:hAnsi="Arial" w:cs="Arial"/>
          <w:sz w:val="20"/>
          <w:szCs w:val="20"/>
        </w:rPr>
        <w:t xml:space="preserve"> pela arrecadação </w:t>
      </w:r>
      <w:r>
        <w:rPr>
          <w:rFonts w:ascii="Arial" w:eastAsia="Arial Unicode MS" w:hAnsi="Arial" w:cs="Arial"/>
          <w:sz w:val="20"/>
          <w:szCs w:val="20"/>
        </w:rPr>
        <w:t>de Receita de Serviços e Receita</w:t>
      </w:r>
      <w:r w:rsidRPr="0034064D">
        <w:rPr>
          <w:rFonts w:ascii="Arial" w:eastAsia="Arial Unicode MS" w:hAnsi="Arial" w:cs="Arial"/>
          <w:sz w:val="20"/>
          <w:szCs w:val="20"/>
        </w:rPr>
        <w:t xml:space="preserve"> </w:t>
      </w:r>
      <w:r>
        <w:rPr>
          <w:rFonts w:ascii="Arial" w:eastAsia="Arial Unicode MS" w:hAnsi="Arial" w:cs="Arial"/>
          <w:sz w:val="20"/>
          <w:szCs w:val="20"/>
        </w:rPr>
        <w:t>Agropecuária, cujo</w:t>
      </w:r>
      <w:r w:rsidRPr="0034064D">
        <w:rPr>
          <w:rFonts w:ascii="Arial" w:eastAsia="Arial Unicode MS" w:hAnsi="Arial" w:cs="Arial"/>
          <w:sz w:val="20"/>
          <w:szCs w:val="20"/>
        </w:rPr>
        <w:t xml:space="preserve">s </w:t>
      </w:r>
      <w:r>
        <w:rPr>
          <w:rFonts w:ascii="Arial" w:eastAsia="Arial Unicode MS" w:hAnsi="Arial" w:cs="Arial"/>
          <w:sz w:val="20"/>
          <w:szCs w:val="20"/>
        </w:rPr>
        <w:t>acréscimos</w:t>
      </w:r>
      <w:r w:rsidRPr="0034064D">
        <w:rPr>
          <w:rFonts w:ascii="Arial" w:eastAsia="Arial Unicode MS" w:hAnsi="Arial" w:cs="Arial"/>
          <w:sz w:val="20"/>
          <w:szCs w:val="20"/>
        </w:rPr>
        <w:t xml:space="preserve"> foram respectivamente de R$ </w:t>
      </w:r>
      <w:r>
        <w:rPr>
          <w:rFonts w:ascii="Arial" w:eastAsia="Arial Unicode MS" w:hAnsi="Arial" w:cs="Arial"/>
          <w:sz w:val="20"/>
          <w:szCs w:val="20"/>
        </w:rPr>
        <w:t>223</w:t>
      </w:r>
      <w:r w:rsidRPr="0034064D">
        <w:rPr>
          <w:rFonts w:ascii="Arial" w:eastAsia="Arial Unicode MS" w:hAnsi="Arial" w:cs="Arial"/>
          <w:sz w:val="20"/>
          <w:szCs w:val="20"/>
        </w:rPr>
        <w:t xml:space="preserve"> e R$ </w:t>
      </w:r>
      <w:r>
        <w:rPr>
          <w:rFonts w:ascii="Arial" w:eastAsia="Arial Unicode MS" w:hAnsi="Arial" w:cs="Arial"/>
          <w:sz w:val="20"/>
          <w:szCs w:val="20"/>
        </w:rPr>
        <w:t>27</w:t>
      </w:r>
      <w:r w:rsidRPr="0034064D">
        <w:rPr>
          <w:rFonts w:ascii="Arial" w:eastAsia="Arial Unicode MS" w:hAnsi="Arial" w:cs="Arial"/>
          <w:sz w:val="20"/>
          <w:szCs w:val="20"/>
        </w:rPr>
        <w:t xml:space="preserve"> mil. </w:t>
      </w:r>
      <w:r>
        <w:rPr>
          <w:rFonts w:ascii="Arial" w:eastAsia="Arial Unicode MS" w:hAnsi="Arial" w:cs="Arial"/>
          <w:sz w:val="20"/>
          <w:szCs w:val="20"/>
        </w:rPr>
        <w:t>As demais Naturezas de Receitas exploradas pelo IFRS  também experimentaram acréscimos que somados atingem R$ 25 mil.</w:t>
      </w:r>
    </w:p>
    <w:p w14:paraId="5C7793CB"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Conforme evidenciado na tabela anterior, cerca de </w:t>
      </w:r>
      <w:r>
        <w:rPr>
          <w:rFonts w:ascii="Arial" w:eastAsia="Arial Unicode MS" w:hAnsi="Arial" w:cs="Arial"/>
          <w:sz w:val="20"/>
          <w:szCs w:val="20"/>
        </w:rPr>
        <w:t>67</w:t>
      </w:r>
      <w:r w:rsidRPr="0034064D">
        <w:rPr>
          <w:rFonts w:ascii="Arial" w:eastAsia="Arial Unicode MS" w:hAnsi="Arial" w:cs="Arial"/>
          <w:sz w:val="20"/>
          <w:szCs w:val="20"/>
        </w:rPr>
        <w:t xml:space="preserve">% das receitas arrecadadas até o </w:t>
      </w:r>
      <w:r>
        <w:rPr>
          <w:rFonts w:ascii="Arial" w:eastAsia="Arial Unicode MS" w:hAnsi="Arial" w:cs="Arial"/>
          <w:sz w:val="20"/>
          <w:szCs w:val="20"/>
        </w:rPr>
        <w:t>primeiro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ou seja, R$ </w:t>
      </w:r>
      <w:r>
        <w:rPr>
          <w:rFonts w:ascii="Arial" w:eastAsia="Arial Unicode MS" w:hAnsi="Arial" w:cs="Arial"/>
          <w:sz w:val="20"/>
          <w:szCs w:val="20"/>
        </w:rPr>
        <w:t>255</w:t>
      </w:r>
      <w:r w:rsidRPr="0034064D">
        <w:rPr>
          <w:rFonts w:ascii="Arial" w:eastAsia="Arial Unicode MS" w:hAnsi="Arial" w:cs="Arial"/>
          <w:sz w:val="20"/>
          <w:szCs w:val="20"/>
        </w:rPr>
        <w:t xml:space="preserve"> mil, refere-se à re</w:t>
      </w:r>
      <w:r>
        <w:rPr>
          <w:rFonts w:ascii="Arial" w:eastAsia="Arial Unicode MS" w:hAnsi="Arial" w:cs="Arial"/>
          <w:sz w:val="20"/>
          <w:szCs w:val="20"/>
        </w:rPr>
        <w:t>alização de Receita de Serviços, onde se destaca a arrecadação proveniente de Inscrição em Concursos e Processos Seletivos, recolhidos pela FAURGS, relativos a processos de seleção iniciados no exercício de 2018.</w:t>
      </w:r>
    </w:p>
    <w:p w14:paraId="726DB4AD"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A segunda maior origem desta ca</w:t>
      </w:r>
      <w:r>
        <w:rPr>
          <w:rFonts w:ascii="Arial" w:eastAsia="Arial Unicode MS" w:hAnsi="Arial" w:cs="Arial"/>
          <w:sz w:val="20"/>
          <w:szCs w:val="20"/>
        </w:rPr>
        <w:t xml:space="preserve">tegoria econômica no trimestre </w:t>
      </w:r>
      <w:r w:rsidRPr="0034064D">
        <w:rPr>
          <w:rFonts w:ascii="Arial" w:eastAsia="Arial Unicode MS" w:hAnsi="Arial" w:cs="Arial"/>
          <w:sz w:val="20"/>
          <w:szCs w:val="20"/>
        </w:rPr>
        <w:t xml:space="preserve">é decorrente da arrecadação de Receita Agropecuária, relativa a Receita da Produção Vegetal e Receita da Produção Animal e Derivados os quais montam a quantia de aproximadamente R$ </w:t>
      </w:r>
      <w:r>
        <w:rPr>
          <w:rFonts w:ascii="Arial" w:eastAsia="Arial Unicode MS" w:hAnsi="Arial" w:cs="Arial"/>
          <w:sz w:val="20"/>
          <w:szCs w:val="20"/>
        </w:rPr>
        <w:t>64</w:t>
      </w:r>
      <w:r w:rsidRPr="0034064D">
        <w:rPr>
          <w:rFonts w:ascii="Arial" w:eastAsia="Arial Unicode MS" w:hAnsi="Arial" w:cs="Arial"/>
          <w:sz w:val="20"/>
          <w:szCs w:val="20"/>
        </w:rPr>
        <w:t xml:space="preserve"> mil. Pela tabela anterior, pode ser percebido que, até o </w:t>
      </w:r>
      <w:r>
        <w:rPr>
          <w:rFonts w:ascii="Arial" w:eastAsia="Arial Unicode MS" w:hAnsi="Arial" w:cs="Arial"/>
          <w:sz w:val="20"/>
          <w:szCs w:val="20"/>
        </w:rPr>
        <w:t>primeiro</w:t>
      </w:r>
      <w:r w:rsidRPr="0034064D">
        <w:rPr>
          <w:rFonts w:ascii="Arial" w:eastAsia="Arial Unicode MS" w:hAnsi="Arial" w:cs="Arial"/>
          <w:sz w:val="20"/>
          <w:szCs w:val="20"/>
        </w:rPr>
        <w:t xml:space="preserve"> trimestre de 201</w:t>
      </w:r>
      <w:r>
        <w:rPr>
          <w:rFonts w:ascii="Arial" w:eastAsia="Arial Unicode MS" w:hAnsi="Arial" w:cs="Arial"/>
          <w:sz w:val="20"/>
          <w:szCs w:val="20"/>
        </w:rPr>
        <w:t>9</w:t>
      </w:r>
      <w:r w:rsidRPr="0034064D">
        <w:rPr>
          <w:rFonts w:ascii="Arial" w:eastAsia="Arial Unicode MS" w:hAnsi="Arial" w:cs="Arial"/>
          <w:sz w:val="20"/>
          <w:szCs w:val="20"/>
        </w:rPr>
        <w:t xml:space="preserve">, a arrecadação de Receita Agropecuária aumentou em cerca de R$ </w:t>
      </w:r>
      <w:r>
        <w:rPr>
          <w:rFonts w:ascii="Arial" w:eastAsia="Arial Unicode MS" w:hAnsi="Arial" w:cs="Arial"/>
          <w:sz w:val="20"/>
          <w:szCs w:val="20"/>
        </w:rPr>
        <w:t>27</w:t>
      </w:r>
      <w:r w:rsidRPr="0034064D">
        <w:rPr>
          <w:rFonts w:ascii="Arial" w:eastAsia="Arial Unicode MS" w:hAnsi="Arial" w:cs="Arial"/>
          <w:sz w:val="20"/>
          <w:szCs w:val="20"/>
        </w:rPr>
        <w:t xml:space="preserve"> mil em relação ao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evidenciando um acréscimo de aproximadamente </w:t>
      </w:r>
      <w:r>
        <w:rPr>
          <w:rFonts w:ascii="Arial" w:eastAsia="Arial Unicode MS" w:hAnsi="Arial" w:cs="Arial"/>
          <w:sz w:val="20"/>
          <w:szCs w:val="20"/>
        </w:rPr>
        <w:t>75</w:t>
      </w:r>
      <w:r w:rsidRPr="0034064D">
        <w:rPr>
          <w:rFonts w:ascii="Arial" w:eastAsia="Arial Unicode MS" w:hAnsi="Arial" w:cs="Arial"/>
          <w:sz w:val="20"/>
          <w:szCs w:val="20"/>
        </w:rPr>
        <w:t>% nesta fonte.</w:t>
      </w:r>
    </w:p>
    <w:p w14:paraId="75B93A32"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Na tabela a seguir, é evidenciada a composição da arrecadação de Receita de Serviços, tendo como base os fatos geradores desta arrecadação.</w:t>
      </w:r>
    </w:p>
    <w:p w14:paraId="42791EAA"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Na tabela a seguir, constata-se que a arrecadação de recursos com Receita Agropecuária referente a Receita da Produção Vegetal e Receita da Produção Animal.</w:t>
      </w:r>
    </w:p>
    <w:p w14:paraId="3B9A2837" w14:textId="77777777" w:rsidR="00764A48" w:rsidRPr="0034064D" w:rsidRDefault="00764A48" w:rsidP="00764A48">
      <w:pPr>
        <w:spacing w:after="40"/>
        <w:rPr>
          <w:rFonts w:ascii="Arial" w:eastAsia="Arial Unicode MS" w:hAnsi="Arial" w:cs="Arial"/>
          <w:sz w:val="20"/>
          <w:szCs w:val="20"/>
        </w:rPr>
      </w:pPr>
    </w:p>
    <w:p w14:paraId="04C8C45F" w14:textId="245AA680" w:rsidR="00764A48" w:rsidRPr="0034064D" w:rsidRDefault="00F416F2" w:rsidP="00764A48">
      <w:pPr>
        <w:spacing w:after="40"/>
        <w:rPr>
          <w:rFonts w:ascii="Arial" w:eastAsia="Arial Unicode MS" w:hAnsi="Arial" w:cs="Arial"/>
          <w:sz w:val="20"/>
          <w:szCs w:val="20"/>
        </w:rPr>
      </w:pPr>
      <w:r w:rsidRPr="00F416F2">
        <w:rPr>
          <w:noProof/>
          <w:lang w:eastAsia="pt-BR"/>
        </w:rPr>
        <w:drawing>
          <wp:inline distT="0" distB="0" distL="0" distR="0" wp14:anchorId="61F6986F" wp14:editId="3448B3A7">
            <wp:extent cx="4772025" cy="1435004"/>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796975" cy="1442507"/>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2522348C"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Despesas</w:t>
      </w:r>
    </w:p>
    <w:p w14:paraId="2C46B601"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Como explanado anteriormente, o resultado orçamentário é a diferença entre as receitas arrecadadas e as despesas legalmente empenhadas no período, tendo em vista critério estabelecido pelo art. 35 da Lei nº 4.320/1964.</w:t>
      </w:r>
    </w:p>
    <w:p w14:paraId="2FC1015B"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De acordo com o art. 58 daquela Lei, empenho da despesa é o ato emanado de autoridade competente que cria para o Estado obrigação de pagamento pendente ou não de implemento de condição.</w:t>
      </w:r>
    </w:p>
    <w:p w14:paraId="1A5DD45B"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Nesta fase da execução da despesa pública ainda não é possível afirmar se a despesa foi efetivamente realizada, ou seja, não há condições de asseverar se o bem ou material adquirido foi entregue pelo seu fornecedor ou se o serviço contratado foi efetivamente prestado pelo contratado.</w:t>
      </w:r>
    </w:p>
    <w:p w14:paraId="1CA867CD"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Nesta etapa é possível asseverar apenas que os recursos consignados na Lei Orçamentária Anual estão reservados, assegurados para a realização de alguma finalidade pública, tendo como executante determinado fornecedor de bens e serviços demandados pela Administração Pública, nominalmente identificados.</w:t>
      </w:r>
    </w:p>
    <w:p w14:paraId="03A2D48E"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Como explanado anteriormente, o empenho de despesas no período em análise montou a quantia aproximada de R$ </w:t>
      </w:r>
      <w:r>
        <w:rPr>
          <w:rFonts w:ascii="Arial" w:eastAsia="Arial Unicode MS" w:hAnsi="Arial" w:cs="Arial"/>
          <w:sz w:val="20"/>
          <w:szCs w:val="20"/>
        </w:rPr>
        <w:t>382</w:t>
      </w:r>
      <w:r w:rsidRPr="0034064D">
        <w:rPr>
          <w:rFonts w:ascii="Arial" w:eastAsia="Arial Unicode MS" w:hAnsi="Arial" w:cs="Arial"/>
          <w:sz w:val="20"/>
          <w:szCs w:val="20"/>
        </w:rPr>
        <w:t xml:space="preserve"> milhões, enquanto que no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tal fase da execução da despesa pública montou a cifra de R$ </w:t>
      </w:r>
      <w:r>
        <w:rPr>
          <w:rFonts w:ascii="Arial" w:eastAsia="Arial Unicode MS" w:hAnsi="Arial" w:cs="Arial"/>
          <w:sz w:val="20"/>
          <w:szCs w:val="20"/>
        </w:rPr>
        <w:t>336</w:t>
      </w:r>
      <w:r w:rsidRPr="0034064D">
        <w:rPr>
          <w:rFonts w:ascii="Arial" w:eastAsia="Arial Unicode MS" w:hAnsi="Arial" w:cs="Arial"/>
          <w:sz w:val="20"/>
          <w:szCs w:val="20"/>
        </w:rPr>
        <w:t xml:space="preserve"> milhões.</w:t>
      </w:r>
    </w:p>
    <w:p w14:paraId="18C0FE17"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Semelhante ao quarto trimestre de 201</w:t>
      </w:r>
      <w:r>
        <w:rPr>
          <w:rFonts w:ascii="Arial" w:eastAsia="Arial Unicode MS" w:hAnsi="Arial" w:cs="Arial"/>
          <w:sz w:val="20"/>
          <w:szCs w:val="20"/>
        </w:rPr>
        <w:t>8</w:t>
      </w:r>
      <w:r w:rsidRPr="0034064D">
        <w:rPr>
          <w:rFonts w:ascii="Arial" w:eastAsia="Arial Unicode MS" w:hAnsi="Arial" w:cs="Arial"/>
          <w:sz w:val="20"/>
          <w:szCs w:val="20"/>
        </w:rPr>
        <w:t xml:space="preserve">, contribuiu de forma preponderante para este número o empenho de despesas correntes, o qual perfaz </w:t>
      </w:r>
      <w:r>
        <w:rPr>
          <w:rFonts w:ascii="Arial" w:eastAsia="Arial Unicode MS" w:hAnsi="Arial" w:cs="Arial"/>
          <w:sz w:val="20"/>
          <w:szCs w:val="20"/>
        </w:rPr>
        <w:t>praticamente</w:t>
      </w:r>
      <w:r w:rsidRPr="0034064D">
        <w:rPr>
          <w:rFonts w:ascii="Arial" w:eastAsia="Arial Unicode MS" w:hAnsi="Arial" w:cs="Arial"/>
          <w:sz w:val="20"/>
          <w:szCs w:val="20"/>
        </w:rPr>
        <w:t xml:space="preserve"> </w:t>
      </w:r>
      <w:r>
        <w:rPr>
          <w:rFonts w:ascii="Arial" w:eastAsia="Arial Unicode MS" w:hAnsi="Arial" w:cs="Arial"/>
          <w:sz w:val="20"/>
          <w:szCs w:val="20"/>
        </w:rPr>
        <w:t>100</w:t>
      </w:r>
      <w:r w:rsidRPr="0034064D">
        <w:rPr>
          <w:rFonts w:ascii="Arial" w:eastAsia="Arial Unicode MS" w:hAnsi="Arial" w:cs="Arial"/>
          <w:sz w:val="20"/>
          <w:szCs w:val="20"/>
        </w:rPr>
        <w:t>% de toda despesa empenhada no período,</w:t>
      </w:r>
      <w:r>
        <w:rPr>
          <w:rFonts w:ascii="Arial" w:eastAsia="Arial Unicode MS" w:hAnsi="Arial" w:cs="Arial"/>
          <w:sz w:val="20"/>
          <w:szCs w:val="20"/>
        </w:rPr>
        <w:t xml:space="preserve"> grande parte em razão de que até este primeiro trimestre de 2019</w:t>
      </w:r>
      <w:r w:rsidRPr="0034064D">
        <w:rPr>
          <w:rFonts w:ascii="Arial" w:eastAsia="Arial Unicode MS" w:hAnsi="Arial" w:cs="Arial"/>
          <w:sz w:val="20"/>
          <w:szCs w:val="20"/>
        </w:rPr>
        <w:t xml:space="preserve"> </w:t>
      </w:r>
      <w:r>
        <w:rPr>
          <w:rFonts w:ascii="Arial" w:eastAsia="Arial Unicode MS" w:hAnsi="Arial" w:cs="Arial"/>
          <w:sz w:val="20"/>
          <w:szCs w:val="20"/>
        </w:rPr>
        <w:t xml:space="preserve">só houve liberação de 10% do orçamento próprio, considerando o montante estimado para Investimentos no exercício, o que corresponde a R$ 544 mil, </w:t>
      </w:r>
      <w:r w:rsidRPr="0034064D">
        <w:rPr>
          <w:rFonts w:ascii="Arial" w:eastAsia="Arial Unicode MS" w:hAnsi="Arial" w:cs="Arial"/>
          <w:sz w:val="20"/>
          <w:szCs w:val="20"/>
        </w:rPr>
        <w:t>conforme evidenciado na tabela a seguir:</w:t>
      </w:r>
    </w:p>
    <w:p w14:paraId="27E8BF8B" w14:textId="77777777" w:rsidR="00F416F2" w:rsidRDefault="00F416F2" w:rsidP="00764A48">
      <w:pPr>
        <w:spacing w:after="40"/>
      </w:pPr>
      <w:r w:rsidRPr="00F416F2">
        <w:rPr>
          <w:noProof/>
          <w:lang w:eastAsia="pt-BR"/>
        </w:rPr>
        <w:lastRenderedPageBreak/>
        <w:drawing>
          <wp:inline distT="0" distB="0" distL="0" distR="0" wp14:anchorId="6A41D749" wp14:editId="78F6D579">
            <wp:extent cx="4733925" cy="1423547"/>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761829" cy="1431938"/>
                    </a:xfrm>
                    <a:prstGeom prst="rect">
                      <a:avLst/>
                    </a:prstGeom>
                    <a:noFill/>
                    <a:ln>
                      <a:noFill/>
                    </a:ln>
                  </pic:spPr>
                </pic:pic>
              </a:graphicData>
            </a:graphic>
          </wp:inline>
        </w:drawing>
      </w:r>
      <w:r w:rsidRPr="00F416F2">
        <w:t xml:space="preserve"> </w:t>
      </w:r>
    </w:p>
    <w:p w14:paraId="6886A446" w14:textId="1848476C"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As despesas correntes empenhadas com maior preponderância no universo da referida categoria econômica referem-se ao grupo de natureza da despesa intitulado “Pessoal e Encargos Sociais”, o qual montou a quantia aproximada de R$ </w:t>
      </w:r>
      <w:r>
        <w:rPr>
          <w:rFonts w:ascii="Arial" w:eastAsia="Arial Unicode MS" w:hAnsi="Arial" w:cs="Arial"/>
          <w:sz w:val="20"/>
          <w:szCs w:val="20"/>
        </w:rPr>
        <w:t>352</w:t>
      </w:r>
      <w:r w:rsidRPr="0034064D">
        <w:rPr>
          <w:rFonts w:ascii="Arial" w:eastAsia="Arial Unicode MS" w:hAnsi="Arial" w:cs="Arial"/>
          <w:sz w:val="20"/>
          <w:szCs w:val="20"/>
        </w:rPr>
        <w:t xml:space="preserve"> milhões.</w:t>
      </w:r>
    </w:p>
    <w:p w14:paraId="43067109" w14:textId="20A25C5C" w:rsidR="00764A48" w:rsidRPr="0034064D" w:rsidRDefault="00F416F2" w:rsidP="00764A48">
      <w:pPr>
        <w:spacing w:after="40"/>
        <w:rPr>
          <w:rFonts w:ascii="Arial" w:eastAsia="Arial Unicode MS" w:hAnsi="Arial" w:cs="Arial"/>
          <w:sz w:val="20"/>
          <w:szCs w:val="20"/>
        </w:rPr>
      </w:pPr>
      <w:r w:rsidRPr="00F416F2">
        <w:rPr>
          <w:noProof/>
          <w:lang w:eastAsia="pt-BR"/>
        </w:rPr>
        <w:drawing>
          <wp:inline distT="0" distB="0" distL="0" distR="0" wp14:anchorId="32543862" wp14:editId="77A4CC2D">
            <wp:extent cx="4762500" cy="1432140"/>
            <wp:effectExtent l="0" t="0" r="0" b="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784448" cy="1438740"/>
                    </a:xfrm>
                    <a:prstGeom prst="rect">
                      <a:avLst/>
                    </a:prstGeom>
                    <a:noFill/>
                    <a:ln>
                      <a:noFill/>
                    </a:ln>
                  </pic:spPr>
                </pic:pic>
              </a:graphicData>
            </a:graphic>
          </wp:inline>
        </w:drawing>
      </w:r>
      <w:r w:rsidR="00764A48" w:rsidRPr="0034064D">
        <w:rPr>
          <w:rFonts w:ascii="Arial" w:eastAsia="Arial Unicode MS" w:hAnsi="Arial" w:cs="Arial"/>
          <w:sz w:val="20"/>
          <w:szCs w:val="20"/>
        </w:rPr>
        <w:t xml:space="preserve"> </w:t>
      </w:r>
    </w:p>
    <w:p w14:paraId="692B2ECC"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Segundo informações extraídas do SIAFI, o grupo de natureza da despesa “Pessoal e Encargos Sociais” é constituído dos seguintes elementos de despesa:</w:t>
      </w:r>
    </w:p>
    <w:p w14:paraId="73373AFA" w14:textId="77777777" w:rsidR="001C6AF6" w:rsidRDefault="001C6AF6" w:rsidP="00764A48">
      <w:pPr>
        <w:spacing w:after="40"/>
        <w:rPr>
          <w:rFonts w:ascii="Arial" w:eastAsia="Arial Unicode MS" w:hAnsi="Arial" w:cs="Arial"/>
          <w:sz w:val="20"/>
          <w:szCs w:val="20"/>
        </w:rPr>
        <w:sectPr w:rsidR="001C6AF6" w:rsidSect="00E40488">
          <w:type w:val="continuous"/>
          <w:pgSz w:w="16838" w:h="11906" w:orient="landscape"/>
          <w:pgMar w:top="1021" w:right="851" w:bottom="1021" w:left="851" w:header="709" w:footer="0" w:gutter="0"/>
          <w:cols w:num="2" w:space="708"/>
          <w:docGrid w:linePitch="360"/>
        </w:sectPr>
      </w:pPr>
    </w:p>
    <w:p w14:paraId="3679021E" w14:textId="34E6F16F" w:rsidR="00764A48" w:rsidRPr="0034064D" w:rsidRDefault="00F416F2" w:rsidP="001C6AF6">
      <w:pPr>
        <w:spacing w:after="40"/>
        <w:jc w:val="center"/>
        <w:rPr>
          <w:rFonts w:ascii="Arial" w:eastAsia="Arial Unicode MS" w:hAnsi="Arial" w:cs="Arial"/>
          <w:sz w:val="20"/>
          <w:szCs w:val="20"/>
        </w:rPr>
      </w:pPr>
      <w:r w:rsidRPr="00F416F2">
        <w:rPr>
          <w:noProof/>
          <w:lang w:eastAsia="pt-BR"/>
        </w:rPr>
        <w:drawing>
          <wp:inline distT="0" distB="0" distL="0" distR="0" wp14:anchorId="1E297538" wp14:editId="5CCD8AB6">
            <wp:extent cx="6953250" cy="3884848"/>
            <wp:effectExtent l="0" t="0" r="0" b="0"/>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005963" cy="3914299"/>
                    </a:xfrm>
                    <a:prstGeom prst="rect">
                      <a:avLst/>
                    </a:prstGeom>
                    <a:noFill/>
                    <a:ln>
                      <a:noFill/>
                    </a:ln>
                  </pic:spPr>
                </pic:pic>
              </a:graphicData>
            </a:graphic>
          </wp:inline>
        </w:drawing>
      </w:r>
    </w:p>
    <w:p w14:paraId="7D5AEFFE" w14:textId="77777777" w:rsidR="001C6AF6" w:rsidRDefault="001C6AF6" w:rsidP="00764A48">
      <w:pPr>
        <w:spacing w:after="40"/>
        <w:rPr>
          <w:rFonts w:ascii="Arial" w:eastAsia="Arial Unicode MS" w:hAnsi="Arial" w:cs="Arial"/>
          <w:sz w:val="20"/>
          <w:szCs w:val="20"/>
        </w:rPr>
        <w:sectPr w:rsidR="001C6AF6" w:rsidSect="001C6AF6">
          <w:type w:val="continuous"/>
          <w:pgSz w:w="16838" w:h="11906" w:orient="landscape"/>
          <w:pgMar w:top="1021" w:right="851" w:bottom="1021" w:left="851" w:header="709" w:footer="0" w:gutter="0"/>
          <w:cols w:space="708"/>
          <w:docGrid w:linePitch="360"/>
        </w:sectPr>
      </w:pPr>
    </w:p>
    <w:p w14:paraId="45B4EC46" w14:textId="50C3F9F4" w:rsidR="001C6AF6"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lastRenderedPageBreak/>
        <w:t>Pela tabela acima, percebe-se que o grupo de natureza da despesa “Pessoal e Encargos Sociais” teve um cr</w:t>
      </w:r>
      <w:r>
        <w:rPr>
          <w:rFonts w:ascii="Arial" w:eastAsia="Arial Unicode MS" w:hAnsi="Arial" w:cs="Arial"/>
          <w:sz w:val="20"/>
          <w:szCs w:val="20"/>
        </w:rPr>
        <w:t>escimento de cerca de 20% no primeiro trimestre de 2019</w:t>
      </w:r>
      <w:r w:rsidRPr="0034064D">
        <w:rPr>
          <w:rFonts w:ascii="Arial" w:eastAsia="Arial Unicode MS" w:hAnsi="Arial" w:cs="Arial"/>
          <w:sz w:val="20"/>
          <w:szCs w:val="20"/>
        </w:rPr>
        <w:t xml:space="preserve"> em relação ao mesmo período de 201</w:t>
      </w:r>
      <w:r>
        <w:rPr>
          <w:rFonts w:ascii="Arial" w:eastAsia="Arial Unicode MS" w:hAnsi="Arial" w:cs="Arial"/>
          <w:sz w:val="20"/>
          <w:szCs w:val="20"/>
        </w:rPr>
        <w:t>8</w:t>
      </w:r>
      <w:r w:rsidRPr="0034064D">
        <w:rPr>
          <w:rFonts w:ascii="Arial" w:eastAsia="Arial Unicode MS" w:hAnsi="Arial" w:cs="Arial"/>
          <w:sz w:val="20"/>
          <w:szCs w:val="20"/>
        </w:rPr>
        <w:t xml:space="preserve">, evidenciando uma evolução no empenho de despesas da ordem de R$ </w:t>
      </w:r>
      <w:r>
        <w:rPr>
          <w:rFonts w:ascii="Arial" w:eastAsia="Arial Unicode MS" w:hAnsi="Arial" w:cs="Arial"/>
          <w:sz w:val="20"/>
          <w:szCs w:val="20"/>
        </w:rPr>
        <w:t>58</w:t>
      </w:r>
      <w:r w:rsidRPr="0034064D">
        <w:rPr>
          <w:rFonts w:ascii="Arial" w:eastAsia="Arial Unicode MS" w:hAnsi="Arial" w:cs="Arial"/>
          <w:sz w:val="20"/>
          <w:szCs w:val="20"/>
        </w:rPr>
        <w:t xml:space="preserve"> milhões, destacando-se os vencimentos e vantagens fixas – pessoal civil (aumento de R$ </w:t>
      </w:r>
      <w:r>
        <w:rPr>
          <w:rFonts w:ascii="Arial" w:eastAsia="Arial Unicode MS" w:hAnsi="Arial" w:cs="Arial"/>
          <w:sz w:val="20"/>
          <w:szCs w:val="20"/>
        </w:rPr>
        <w:t>44</w:t>
      </w:r>
      <w:r w:rsidRPr="0034064D">
        <w:rPr>
          <w:rFonts w:ascii="Arial" w:eastAsia="Arial Unicode MS" w:hAnsi="Arial" w:cs="Arial"/>
          <w:sz w:val="20"/>
          <w:szCs w:val="20"/>
        </w:rPr>
        <w:t xml:space="preserve"> milhões), </w:t>
      </w:r>
      <w:r>
        <w:rPr>
          <w:rFonts w:ascii="Arial" w:eastAsia="Arial Unicode MS" w:hAnsi="Arial" w:cs="Arial"/>
          <w:sz w:val="20"/>
          <w:szCs w:val="20"/>
        </w:rPr>
        <w:t xml:space="preserve">Contratação Por Tempo Determinado (aumento de 4,43 milhões), Aposentadorias do  RPPS, Reserva Remunerada e Reforma Militar </w:t>
      </w:r>
      <w:r w:rsidRPr="0034064D">
        <w:rPr>
          <w:rFonts w:ascii="Arial" w:eastAsia="Arial Unicode MS" w:hAnsi="Arial" w:cs="Arial"/>
          <w:sz w:val="20"/>
          <w:szCs w:val="20"/>
        </w:rPr>
        <w:t>(aumento de R$ 3,</w:t>
      </w:r>
      <w:r>
        <w:rPr>
          <w:rFonts w:ascii="Arial" w:eastAsia="Arial Unicode MS" w:hAnsi="Arial" w:cs="Arial"/>
          <w:sz w:val="20"/>
          <w:szCs w:val="20"/>
        </w:rPr>
        <w:t>7</w:t>
      </w:r>
      <w:r w:rsidRPr="0034064D">
        <w:rPr>
          <w:rFonts w:ascii="Arial" w:eastAsia="Arial Unicode MS" w:hAnsi="Arial" w:cs="Arial"/>
          <w:sz w:val="20"/>
          <w:szCs w:val="20"/>
        </w:rPr>
        <w:t xml:space="preserve"> milhões) que perfazem, também, o grupo de despesas com maior participação no rol de empenhos de Pessoal e Encargos Sociais, conforme evidenciado no gráfico abaixo:</w:t>
      </w:r>
    </w:p>
    <w:p w14:paraId="0958E028" w14:textId="7163AD78" w:rsidR="001C6AF6" w:rsidRDefault="001C6AF6" w:rsidP="00764A48">
      <w:pPr>
        <w:spacing w:after="40"/>
        <w:rPr>
          <w:rFonts w:ascii="Arial" w:eastAsia="Arial Unicode MS" w:hAnsi="Arial" w:cs="Arial"/>
          <w:sz w:val="20"/>
          <w:szCs w:val="20"/>
        </w:rPr>
      </w:pPr>
    </w:p>
    <w:p w14:paraId="1802D8B2" w14:textId="77777777" w:rsidR="001C6AF6" w:rsidRPr="001C6AF6" w:rsidRDefault="001C6AF6" w:rsidP="00764A48">
      <w:pPr>
        <w:spacing w:after="40"/>
        <w:rPr>
          <w:rFonts w:ascii="Arial" w:eastAsia="Arial Unicode MS" w:hAnsi="Arial" w:cs="Arial"/>
          <w:sz w:val="20"/>
          <w:szCs w:val="20"/>
        </w:rPr>
        <w:sectPr w:rsidR="001C6AF6" w:rsidRPr="001C6AF6" w:rsidSect="001C6AF6">
          <w:type w:val="continuous"/>
          <w:pgSz w:w="16838" w:h="11906" w:orient="landscape"/>
          <w:pgMar w:top="1021" w:right="851" w:bottom="1021" w:left="851" w:header="709" w:footer="0" w:gutter="0"/>
          <w:cols w:space="708"/>
          <w:docGrid w:linePitch="360"/>
        </w:sectPr>
      </w:pPr>
    </w:p>
    <w:p w14:paraId="19CC9352" w14:textId="4BE210FB" w:rsidR="00764A48" w:rsidRPr="0034064D" w:rsidRDefault="00764A48" w:rsidP="00764A48">
      <w:pPr>
        <w:spacing w:after="40"/>
        <w:rPr>
          <w:rFonts w:ascii="Arial" w:eastAsia="Arial Unicode MS" w:hAnsi="Arial" w:cs="Arial"/>
          <w:sz w:val="20"/>
          <w:szCs w:val="20"/>
        </w:rPr>
      </w:pPr>
      <w:r w:rsidRPr="00F416F2">
        <w:rPr>
          <w:rFonts w:ascii="Arial" w:eastAsia="Arial Unicode MS" w:hAnsi="Arial" w:cs="Arial"/>
          <w:b/>
          <w:sz w:val="20"/>
          <w:szCs w:val="20"/>
        </w:rPr>
        <w:t>Venc. e Vantagens Fixas, Contratação Por Tempo Determinado e Aposentadorias do RPPS, Res. Remunerada e Ref. Militar.</w:t>
      </w:r>
    </w:p>
    <w:p w14:paraId="583C7F8A" w14:textId="1E45FE2E"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 </w:t>
      </w:r>
      <w:r w:rsidR="00F416F2">
        <w:rPr>
          <w:rFonts w:ascii="Arial" w:eastAsia="Arial Unicode MS" w:hAnsi="Arial" w:cs="Arial"/>
          <w:noProof/>
          <w:sz w:val="20"/>
          <w:szCs w:val="20"/>
          <w:lang w:eastAsia="pt-BR"/>
        </w:rPr>
        <w:drawing>
          <wp:inline distT="0" distB="0" distL="0" distR="0" wp14:anchorId="2D3D12AF" wp14:editId="6D3E96BA">
            <wp:extent cx="4724400" cy="2677346"/>
            <wp:effectExtent l="0" t="0" r="0" b="889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33294" cy="2682386"/>
                    </a:xfrm>
                    <a:prstGeom prst="rect">
                      <a:avLst/>
                    </a:prstGeom>
                    <a:noFill/>
                  </pic:spPr>
                </pic:pic>
              </a:graphicData>
            </a:graphic>
          </wp:inline>
        </w:drawing>
      </w:r>
    </w:p>
    <w:p w14:paraId="23F5A74D"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Fonte: SIAFI, 201</w:t>
      </w:r>
      <w:r>
        <w:rPr>
          <w:rFonts w:ascii="Arial" w:eastAsia="Arial Unicode MS" w:hAnsi="Arial" w:cs="Arial"/>
          <w:sz w:val="20"/>
          <w:szCs w:val="20"/>
        </w:rPr>
        <w:t>9 e 2018</w:t>
      </w:r>
    </w:p>
    <w:p w14:paraId="57CC99E9" w14:textId="77777777" w:rsidR="001C6AF6" w:rsidRDefault="001C6AF6" w:rsidP="00764A48">
      <w:pPr>
        <w:spacing w:after="40"/>
        <w:rPr>
          <w:rFonts w:ascii="Arial" w:eastAsia="Arial Unicode MS" w:hAnsi="Arial" w:cs="Arial"/>
          <w:sz w:val="20"/>
          <w:szCs w:val="20"/>
        </w:rPr>
        <w:sectPr w:rsidR="001C6AF6" w:rsidSect="001C6AF6">
          <w:type w:val="continuous"/>
          <w:pgSz w:w="16838" w:h="11906" w:orient="landscape"/>
          <w:pgMar w:top="1021" w:right="851" w:bottom="1021" w:left="851" w:header="709" w:footer="0" w:gutter="0"/>
          <w:cols w:space="708"/>
          <w:docGrid w:linePitch="360"/>
        </w:sectPr>
      </w:pPr>
    </w:p>
    <w:p w14:paraId="2256E435" w14:textId="77777777" w:rsidR="001C6AF6" w:rsidRDefault="001C6AF6" w:rsidP="00764A48">
      <w:pPr>
        <w:spacing w:after="40"/>
        <w:rPr>
          <w:rFonts w:ascii="Arial" w:eastAsia="Arial Unicode MS" w:hAnsi="Arial" w:cs="Arial"/>
          <w:sz w:val="20"/>
          <w:szCs w:val="20"/>
        </w:rPr>
      </w:pPr>
    </w:p>
    <w:p w14:paraId="22200A78" w14:textId="1502AA95"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 xml:space="preserve">A variação total das três naturezas de despesas supracitadas soma R$ </w:t>
      </w:r>
      <w:r>
        <w:rPr>
          <w:rFonts w:ascii="Arial" w:eastAsia="Arial Unicode MS" w:hAnsi="Arial" w:cs="Arial"/>
          <w:sz w:val="20"/>
          <w:szCs w:val="20"/>
        </w:rPr>
        <w:t>52</w:t>
      </w:r>
      <w:r w:rsidRPr="0034064D">
        <w:rPr>
          <w:rFonts w:ascii="Arial" w:eastAsia="Arial Unicode MS" w:hAnsi="Arial" w:cs="Arial"/>
          <w:sz w:val="20"/>
          <w:szCs w:val="20"/>
        </w:rPr>
        <w:t xml:space="preserve"> milhões, equivalente a </w:t>
      </w:r>
      <w:r>
        <w:rPr>
          <w:rFonts w:ascii="Arial" w:eastAsia="Arial Unicode MS" w:hAnsi="Arial" w:cs="Arial"/>
          <w:sz w:val="20"/>
          <w:szCs w:val="20"/>
        </w:rPr>
        <w:t>90</w:t>
      </w:r>
      <w:r w:rsidRPr="0034064D">
        <w:rPr>
          <w:rFonts w:ascii="Arial" w:eastAsia="Arial Unicode MS" w:hAnsi="Arial" w:cs="Arial"/>
          <w:sz w:val="20"/>
          <w:szCs w:val="20"/>
        </w:rPr>
        <w:t>% da variação verificada no total do grupo Pessoal e Encargos Sociais.</w:t>
      </w:r>
    </w:p>
    <w:p w14:paraId="423E5ABC" w14:textId="77777777"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t>Em relação às despesas empenhadas com outras despesas correntes, destacam-se as despesas com Auxílio-alimentação Civis, cujos empenhos no período somaram R$ 11,1</w:t>
      </w:r>
      <w:r>
        <w:rPr>
          <w:rFonts w:ascii="Arial" w:eastAsia="Arial Unicode MS" w:hAnsi="Arial" w:cs="Arial"/>
          <w:sz w:val="20"/>
          <w:szCs w:val="20"/>
        </w:rPr>
        <w:t>1</w:t>
      </w:r>
      <w:r w:rsidRPr="0034064D">
        <w:rPr>
          <w:rFonts w:ascii="Arial" w:eastAsia="Arial Unicode MS" w:hAnsi="Arial" w:cs="Arial"/>
          <w:sz w:val="20"/>
          <w:szCs w:val="20"/>
        </w:rPr>
        <w:t xml:space="preserve"> milhões, e </w:t>
      </w:r>
      <w:r>
        <w:rPr>
          <w:rFonts w:ascii="Arial" w:eastAsia="Arial Unicode MS" w:hAnsi="Arial" w:cs="Arial"/>
          <w:sz w:val="20"/>
          <w:szCs w:val="20"/>
        </w:rPr>
        <w:t>Ressarcimento Assistência Médica/Odontológica</w:t>
      </w:r>
      <w:r w:rsidRPr="0034064D">
        <w:rPr>
          <w:rFonts w:ascii="Arial" w:eastAsia="Arial Unicode MS" w:hAnsi="Arial" w:cs="Arial"/>
          <w:sz w:val="20"/>
          <w:szCs w:val="20"/>
        </w:rPr>
        <w:t xml:space="preserve">, cuja soma foi de R$ </w:t>
      </w:r>
      <w:r>
        <w:rPr>
          <w:rFonts w:ascii="Arial" w:eastAsia="Arial Unicode MS" w:hAnsi="Arial" w:cs="Arial"/>
          <w:sz w:val="20"/>
          <w:szCs w:val="20"/>
        </w:rPr>
        <w:t>3,63</w:t>
      </w:r>
      <w:r w:rsidRPr="0034064D">
        <w:rPr>
          <w:rFonts w:ascii="Arial" w:eastAsia="Arial Unicode MS" w:hAnsi="Arial" w:cs="Arial"/>
          <w:sz w:val="20"/>
          <w:szCs w:val="20"/>
        </w:rPr>
        <w:t xml:space="preserve"> milhões, que correspondem às maiores despesas do período em valores absolutos. Por outro lado, podemos destacar também algumas despesas que tiveram a maior variação percentual no período, como por exemplo </w:t>
      </w:r>
      <w:r>
        <w:rPr>
          <w:rFonts w:ascii="Arial" w:eastAsia="Arial Unicode MS" w:hAnsi="Arial" w:cs="Arial"/>
          <w:sz w:val="20"/>
          <w:szCs w:val="20"/>
        </w:rPr>
        <w:t xml:space="preserve">Diárias no Exterior, com uma variação percentual de </w:t>
      </w:r>
      <w:r>
        <w:rPr>
          <w:rFonts w:ascii="Arial" w:eastAsia="Arial Unicode MS" w:hAnsi="Arial" w:cs="Arial"/>
          <w:sz w:val="20"/>
          <w:szCs w:val="20"/>
        </w:rPr>
        <w:t xml:space="preserve">15.728,39%, pelo empenho de despesas com viagens ao exterior </w:t>
      </w:r>
      <w:r w:rsidRPr="003F7870">
        <w:rPr>
          <w:rFonts w:ascii="Arial" w:eastAsia="Arial Unicode MS" w:hAnsi="Arial" w:cs="Arial"/>
          <w:sz w:val="20"/>
          <w:szCs w:val="20"/>
        </w:rPr>
        <w:t>a</w:t>
      </w:r>
      <w:r w:rsidRPr="003F7870">
        <w:rPr>
          <w:rStyle w:val="tl8wme"/>
          <w:rFonts w:ascii="Arial" w:hAnsi="Arial" w:cs="Arial"/>
          <w:sz w:val="20"/>
          <w:szCs w:val="20"/>
        </w:rPr>
        <w:t>companhar os alunos da equipe Drop Team com o projeto "Protótipo veicular de alta eficiência energética" dura</w:t>
      </w:r>
      <w:r>
        <w:rPr>
          <w:rStyle w:val="tl8wme"/>
          <w:rFonts w:ascii="Arial" w:hAnsi="Arial" w:cs="Arial"/>
          <w:sz w:val="20"/>
          <w:szCs w:val="20"/>
        </w:rPr>
        <w:t>nte a competição " Schell Eco -M</w:t>
      </w:r>
      <w:r w:rsidRPr="003F7870">
        <w:rPr>
          <w:rStyle w:val="tl8wme"/>
          <w:rFonts w:ascii="Arial" w:hAnsi="Arial" w:cs="Arial"/>
          <w:sz w:val="20"/>
          <w:szCs w:val="20"/>
        </w:rPr>
        <w:t>arathon Americas 2019", na pista de Sonoma Raceway, California /EUA, representando o IFRS</w:t>
      </w:r>
      <w:r>
        <w:rPr>
          <w:rStyle w:val="tl8wme"/>
        </w:rPr>
        <w:t xml:space="preserve">, </w:t>
      </w:r>
      <w:r>
        <w:rPr>
          <w:rFonts w:ascii="Arial" w:eastAsia="Arial Unicode MS" w:hAnsi="Arial" w:cs="Arial"/>
          <w:sz w:val="20"/>
          <w:szCs w:val="20"/>
        </w:rPr>
        <w:t>Locação de Imóveis</w:t>
      </w:r>
      <w:r w:rsidRPr="0034064D">
        <w:rPr>
          <w:rFonts w:ascii="Arial" w:eastAsia="Arial Unicode MS" w:hAnsi="Arial" w:cs="Arial"/>
          <w:sz w:val="20"/>
          <w:szCs w:val="20"/>
        </w:rPr>
        <w:t xml:space="preserve">, com uma variação percentual de </w:t>
      </w:r>
      <w:r>
        <w:rPr>
          <w:rFonts w:ascii="Arial" w:eastAsia="Arial Unicode MS" w:hAnsi="Arial" w:cs="Arial"/>
          <w:sz w:val="20"/>
          <w:szCs w:val="20"/>
        </w:rPr>
        <w:t>5.321</w:t>
      </w:r>
      <w:r w:rsidRPr="0034064D">
        <w:rPr>
          <w:rFonts w:ascii="Arial" w:eastAsia="Arial Unicode MS" w:hAnsi="Arial" w:cs="Arial"/>
          <w:sz w:val="20"/>
          <w:szCs w:val="20"/>
        </w:rPr>
        <w:t xml:space="preserve">%, </w:t>
      </w:r>
      <w:r>
        <w:rPr>
          <w:rFonts w:ascii="Arial" w:eastAsia="Arial Unicode MS" w:hAnsi="Arial" w:cs="Arial"/>
          <w:sz w:val="20"/>
          <w:szCs w:val="20"/>
        </w:rPr>
        <w:t xml:space="preserve">pelo empenho da despesa estimada para três meses referente a locação do prédio da TECNOPUC para servir de sede ao Campus Viamão, </w:t>
      </w:r>
      <w:r w:rsidRPr="0034064D">
        <w:rPr>
          <w:rFonts w:ascii="Arial" w:eastAsia="Arial Unicode MS" w:hAnsi="Arial" w:cs="Arial"/>
          <w:sz w:val="20"/>
          <w:szCs w:val="20"/>
        </w:rPr>
        <w:t xml:space="preserve">e </w:t>
      </w:r>
      <w:r>
        <w:rPr>
          <w:rFonts w:ascii="Arial" w:eastAsia="Arial Unicode MS" w:hAnsi="Arial" w:cs="Arial"/>
          <w:sz w:val="20"/>
          <w:szCs w:val="20"/>
        </w:rPr>
        <w:t>Outsorcing de Impressão</w:t>
      </w:r>
      <w:r w:rsidRPr="0034064D">
        <w:rPr>
          <w:rFonts w:ascii="Arial" w:eastAsia="Arial Unicode MS" w:hAnsi="Arial" w:cs="Arial"/>
          <w:sz w:val="20"/>
          <w:szCs w:val="20"/>
        </w:rPr>
        <w:t xml:space="preserve">, com variação de </w:t>
      </w:r>
      <w:r>
        <w:rPr>
          <w:rFonts w:ascii="Arial" w:eastAsia="Arial Unicode MS" w:hAnsi="Arial" w:cs="Arial"/>
          <w:sz w:val="20"/>
          <w:szCs w:val="20"/>
        </w:rPr>
        <w:t>1.240,27%, em razão de que no exercício anterior estas despesas eram empenhadas na Natureza Despesa 3390.39.83 – Serviços de Cópias e Reprodução de Documentos,</w:t>
      </w:r>
      <w:r w:rsidRPr="0034064D">
        <w:rPr>
          <w:rFonts w:ascii="Arial" w:eastAsia="Arial Unicode MS" w:hAnsi="Arial" w:cs="Arial"/>
          <w:sz w:val="20"/>
          <w:szCs w:val="20"/>
        </w:rPr>
        <w:t xml:space="preserve"> comparados com o mesmo período do exercício anterior, conforme observado na tabela que segue:</w:t>
      </w:r>
    </w:p>
    <w:p w14:paraId="3C6555CE" w14:textId="77777777" w:rsidR="001C6AF6" w:rsidRDefault="001C6AF6" w:rsidP="00764A48">
      <w:pPr>
        <w:spacing w:after="40"/>
        <w:rPr>
          <w:rFonts w:ascii="Arial" w:eastAsia="Arial Unicode MS" w:hAnsi="Arial" w:cs="Arial"/>
          <w:sz w:val="20"/>
          <w:szCs w:val="20"/>
        </w:rPr>
        <w:sectPr w:rsidR="001C6AF6" w:rsidSect="00E40488">
          <w:type w:val="continuous"/>
          <w:pgSz w:w="16838" w:h="11906" w:orient="landscape"/>
          <w:pgMar w:top="1021" w:right="851" w:bottom="1021" w:left="851" w:header="709" w:footer="0" w:gutter="0"/>
          <w:cols w:num="2" w:space="708"/>
          <w:docGrid w:linePitch="360"/>
        </w:sectPr>
      </w:pPr>
    </w:p>
    <w:p w14:paraId="6D2BC087" w14:textId="05B2EE1C" w:rsidR="00764A48" w:rsidRPr="0034064D" w:rsidRDefault="00F416F2" w:rsidP="00764A48">
      <w:pPr>
        <w:spacing w:after="40"/>
        <w:rPr>
          <w:rFonts w:ascii="Arial" w:eastAsia="Arial Unicode MS" w:hAnsi="Arial" w:cs="Arial"/>
          <w:sz w:val="20"/>
          <w:szCs w:val="20"/>
        </w:rPr>
      </w:pPr>
      <w:r w:rsidRPr="00F416F2">
        <w:rPr>
          <w:noProof/>
          <w:lang w:eastAsia="pt-BR"/>
        </w:rPr>
        <w:lastRenderedPageBreak/>
        <w:drawing>
          <wp:inline distT="0" distB="0" distL="0" distR="0" wp14:anchorId="786441A1" wp14:editId="09761243">
            <wp:extent cx="7181024" cy="6362700"/>
            <wp:effectExtent l="0" t="0" r="1270" b="0"/>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186901" cy="6367908"/>
                    </a:xfrm>
                    <a:prstGeom prst="rect">
                      <a:avLst/>
                    </a:prstGeom>
                    <a:noFill/>
                    <a:ln>
                      <a:noFill/>
                    </a:ln>
                  </pic:spPr>
                </pic:pic>
              </a:graphicData>
            </a:graphic>
          </wp:inline>
        </w:drawing>
      </w:r>
    </w:p>
    <w:p w14:paraId="1B78CCBE" w14:textId="77777777" w:rsidR="001C6AF6" w:rsidRDefault="001C6AF6" w:rsidP="00764A48">
      <w:pPr>
        <w:spacing w:after="40"/>
        <w:rPr>
          <w:rFonts w:ascii="Arial" w:eastAsia="Arial Unicode MS" w:hAnsi="Arial" w:cs="Arial"/>
          <w:sz w:val="20"/>
          <w:szCs w:val="20"/>
        </w:rPr>
        <w:sectPr w:rsidR="001C6AF6" w:rsidSect="001C6AF6">
          <w:type w:val="continuous"/>
          <w:pgSz w:w="16838" w:h="11906" w:orient="landscape"/>
          <w:pgMar w:top="1021" w:right="851" w:bottom="1021" w:left="851" w:header="709" w:footer="0" w:gutter="0"/>
          <w:cols w:space="708"/>
          <w:docGrid w:linePitch="360"/>
        </w:sectPr>
      </w:pPr>
    </w:p>
    <w:p w14:paraId="24054B43" w14:textId="5BD35F09" w:rsidR="00764A48" w:rsidRPr="0034064D" w:rsidRDefault="00764A48" w:rsidP="00764A48">
      <w:pPr>
        <w:spacing w:after="40"/>
        <w:rPr>
          <w:rFonts w:ascii="Arial" w:eastAsia="Arial Unicode MS" w:hAnsi="Arial" w:cs="Arial"/>
          <w:sz w:val="20"/>
          <w:szCs w:val="20"/>
        </w:rPr>
      </w:pPr>
      <w:r w:rsidRPr="0034064D">
        <w:rPr>
          <w:rFonts w:ascii="Arial" w:eastAsia="Arial Unicode MS" w:hAnsi="Arial" w:cs="Arial"/>
          <w:sz w:val="20"/>
          <w:szCs w:val="20"/>
        </w:rPr>
        <w:lastRenderedPageBreak/>
        <w:t xml:space="preserve"> Ainda em relação às despesas, percebe-se que o empenho de despesas com </w:t>
      </w:r>
      <w:r>
        <w:rPr>
          <w:rFonts w:ascii="Arial" w:eastAsia="Arial Unicode MS" w:hAnsi="Arial" w:cs="Arial"/>
          <w:sz w:val="20"/>
          <w:szCs w:val="20"/>
        </w:rPr>
        <w:t>instalações</w:t>
      </w:r>
      <w:r w:rsidRPr="0034064D">
        <w:rPr>
          <w:rFonts w:ascii="Arial" w:eastAsia="Arial Unicode MS" w:hAnsi="Arial" w:cs="Arial"/>
          <w:sz w:val="20"/>
          <w:szCs w:val="20"/>
        </w:rPr>
        <w:t xml:space="preserve"> (despesas de capital) montou o valor de R$ </w:t>
      </w:r>
      <w:r>
        <w:rPr>
          <w:rFonts w:ascii="Arial" w:eastAsia="Arial Unicode MS" w:hAnsi="Arial" w:cs="Arial"/>
          <w:sz w:val="20"/>
          <w:szCs w:val="20"/>
        </w:rPr>
        <w:t>43 mil</w:t>
      </w:r>
      <w:r w:rsidRPr="0034064D">
        <w:rPr>
          <w:rFonts w:ascii="Arial" w:eastAsia="Arial Unicode MS" w:hAnsi="Arial" w:cs="Arial"/>
          <w:sz w:val="20"/>
          <w:szCs w:val="20"/>
        </w:rPr>
        <w:t xml:space="preserve">, equivalentes a </w:t>
      </w:r>
      <w:r>
        <w:rPr>
          <w:rFonts w:ascii="Arial" w:eastAsia="Arial Unicode MS" w:hAnsi="Arial" w:cs="Arial"/>
          <w:sz w:val="20"/>
          <w:szCs w:val="20"/>
        </w:rPr>
        <w:t>49</w:t>
      </w:r>
      <w:r w:rsidRPr="0034064D">
        <w:rPr>
          <w:rFonts w:ascii="Arial" w:eastAsia="Arial Unicode MS" w:hAnsi="Arial" w:cs="Arial"/>
          <w:sz w:val="20"/>
          <w:szCs w:val="20"/>
        </w:rPr>
        <w:t xml:space="preserve">%, do total empenhado das despesas de capital no exercício. Podemos destacar também aquisição de </w:t>
      </w:r>
      <w:r>
        <w:rPr>
          <w:rFonts w:ascii="Arial" w:eastAsia="Arial Unicode MS" w:hAnsi="Arial" w:cs="Arial"/>
          <w:sz w:val="20"/>
          <w:szCs w:val="20"/>
        </w:rPr>
        <w:t>equipamentos de proteção, segurança e socorro</w:t>
      </w:r>
      <w:r w:rsidRPr="0034064D">
        <w:rPr>
          <w:rFonts w:ascii="Arial" w:eastAsia="Arial Unicode MS" w:hAnsi="Arial" w:cs="Arial"/>
          <w:sz w:val="20"/>
          <w:szCs w:val="20"/>
        </w:rPr>
        <w:t xml:space="preserve">, no montante de R$ </w:t>
      </w:r>
      <w:r>
        <w:rPr>
          <w:rFonts w:ascii="Arial" w:eastAsia="Arial Unicode MS" w:hAnsi="Arial" w:cs="Arial"/>
          <w:sz w:val="20"/>
          <w:szCs w:val="20"/>
        </w:rPr>
        <w:t>15</w:t>
      </w:r>
      <w:r w:rsidRPr="0034064D">
        <w:rPr>
          <w:rFonts w:ascii="Arial" w:eastAsia="Arial Unicode MS" w:hAnsi="Arial" w:cs="Arial"/>
          <w:sz w:val="20"/>
          <w:szCs w:val="20"/>
        </w:rPr>
        <w:t xml:space="preserve"> mil, equivalentes a </w:t>
      </w:r>
      <w:r>
        <w:rPr>
          <w:rFonts w:ascii="Arial" w:eastAsia="Arial Unicode MS" w:hAnsi="Arial" w:cs="Arial"/>
          <w:sz w:val="20"/>
          <w:szCs w:val="20"/>
        </w:rPr>
        <w:t>17</w:t>
      </w:r>
      <w:r w:rsidRPr="0034064D">
        <w:rPr>
          <w:rFonts w:ascii="Arial" w:eastAsia="Arial Unicode MS" w:hAnsi="Arial" w:cs="Arial"/>
          <w:sz w:val="20"/>
          <w:szCs w:val="20"/>
        </w:rPr>
        <w:t xml:space="preserve">% de toda a despesa de capital </w:t>
      </w:r>
      <w:r w:rsidRPr="0034064D">
        <w:rPr>
          <w:rFonts w:ascii="Arial" w:eastAsia="Arial Unicode MS" w:hAnsi="Arial" w:cs="Arial"/>
          <w:sz w:val="20"/>
          <w:szCs w:val="20"/>
        </w:rPr>
        <w:t>empenhada no período em questão, constituindo-se nos dois principais investimentos no período, conforme demonstrado na tabela que segue:</w:t>
      </w:r>
    </w:p>
    <w:p w14:paraId="753B231E" w14:textId="75A35180" w:rsidR="001C6AF6" w:rsidRDefault="001C6AF6" w:rsidP="00764A48">
      <w:pPr>
        <w:spacing w:after="40"/>
        <w:rPr>
          <w:rFonts w:ascii="Arial" w:eastAsia="Arial Unicode MS" w:hAnsi="Arial" w:cs="Arial"/>
          <w:sz w:val="20"/>
          <w:szCs w:val="20"/>
        </w:rPr>
      </w:pPr>
    </w:p>
    <w:p w14:paraId="157A8288" w14:textId="7454B0CA" w:rsidR="001C6AF6" w:rsidRDefault="001C6AF6" w:rsidP="00764A48">
      <w:pPr>
        <w:spacing w:after="40"/>
        <w:rPr>
          <w:rFonts w:ascii="Arial" w:eastAsia="Arial Unicode MS" w:hAnsi="Arial" w:cs="Arial"/>
          <w:sz w:val="20"/>
          <w:szCs w:val="20"/>
        </w:rPr>
      </w:pPr>
    </w:p>
    <w:p w14:paraId="700F2B8B" w14:textId="59FF2011" w:rsidR="001C6AF6" w:rsidRDefault="001C6AF6" w:rsidP="00764A48">
      <w:pPr>
        <w:spacing w:after="40"/>
        <w:rPr>
          <w:rFonts w:ascii="Arial" w:eastAsia="Arial Unicode MS" w:hAnsi="Arial" w:cs="Arial"/>
          <w:sz w:val="20"/>
          <w:szCs w:val="20"/>
        </w:rPr>
      </w:pPr>
    </w:p>
    <w:p w14:paraId="2B7E19DF" w14:textId="77777777" w:rsidR="001C6AF6" w:rsidRDefault="001C6AF6" w:rsidP="00764A48">
      <w:pPr>
        <w:spacing w:after="40"/>
        <w:rPr>
          <w:rFonts w:ascii="Arial" w:eastAsia="Arial Unicode MS" w:hAnsi="Arial" w:cs="Arial"/>
          <w:sz w:val="20"/>
          <w:szCs w:val="20"/>
        </w:rPr>
        <w:sectPr w:rsidR="001C6AF6" w:rsidSect="00E40488">
          <w:type w:val="continuous"/>
          <w:pgSz w:w="16838" w:h="11906" w:orient="landscape"/>
          <w:pgMar w:top="1021" w:right="851" w:bottom="1021" w:left="851" w:header="709" w:footer="0" w:gutter="0"/>
          <w:cols w:num="2" w:space="708"/>
          <w:docGrid w:linePitch="360"/>
        </w:sectPr>
      </w:pPr>
    </w:p>
    <w:p w14:paraId="5AE474D1" w14:textId="77777777" w:rsidR="001C6AF6" w:rsidRDefault="001C6AF6" w:rsidP="001C6AF6">
      <w:pPr>
        <w:spacing w:after="40"/>
        <w:jc w:val="center"/>
        <w:rPr>
          <w:rFonts w:ascii="Arial" w:eastAsia="Arial Unicode MS" w:hAnsi="Arial" w:cs="Arial"/>
          <w:sz w:val="20"/>
          <w:szCs w:val="20"/>
        </w:rPr>
      </w:pPr>
    </w:p>
    <w:p w14:paraId="023B5853" w14:textId="77777777" w:rsidR="001C6AF6" w:rsidRDefault="001C6AF6" w:rsidP="001C6AF6">
      <w:pPr>
        <w:spacing w:after="40"/>
        <w:jc w:val="center"/>
        <w:rPr>
          <w:rFonts w:ascii="Arial" w:eastAsia="Arial Unicode MS" w:hAnsi="Arial" w:cs="Arial"/>
          <w:sz w:val="20"/>
          <w:szCs w:val="20"/>
        </w:rPr>
      </w:pPr>
    </w:p>
    <w:p w14:paraId="78E6C561" w14:textId="18013AD9" w:rsidR="00764A48" w:rsidRPr="0034064D" w:rsidRDefault="00F416F2" w:rsidP="001C6AF6">
      <w:pPr>
        <w:spacing w:after="40"/>
        <w:jc w:val="center"/>
        <w:rPr>
          <w:rFonts w:ascii="Arial" w:eastAsia="Arial Unicode MS" w:hAnsi="Arial" w:cs="Arial"/>
          <w:sz w:val="20"/>
          <w:szCs w:val="20"/>
        </w:rPr>
      </w:pPr>
      <w:r w:rsidRPr="00F416F2">
        <w:rPr>
          <w:noProof/>
          <w:lang w:eastAsia="pt-BR"/>
        </w:rPr>
        <w:drawing>
          <wp:inline distT="0" distB="0" distL="0" distR="0" wp14:anchorId="05BCEF50" wp14:editId="5D4D1379">
            <wp:extent cx="6934200" cy="3152775"/>
            <wp:effectExtent l="0" t="0" r="0" b="9525"/>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34200" cy="3152775"/>
                    </a:xfrm>
                    <a:prstGeom prst="rect">
                      <a:avLst/>
                    </a:prstGeom>
                    <a:noFill/>
                    <a:ln>
                      <a:noFill/>
                    </a:ln>
                  </pic:spPr>
                </pic:pic>
              </a:graphicData>
            </a:graphic>
          </wp:inline>
        </w:drawing>
      </w:r>
    </w:p>
    <w:p w14:paraId="59D07DAC" w14:textId="77777777" w:rsidR="001C6AF6" w:rsidRDefault="001C6AF6" w:rsidP="0034064D">
      <w:pPr>
        <w:spacing w:after="40"/>
        <w:rPr>
          <w:rFonts w:ascii="Arial" w:eastAsia="Arial Unicode MS" w:hAnsi="Arial" w:cs="Arial"/>
          <w:sz w:val="20"/>
          <w:szCs w:val="20"/>
        </w:rPr>
        <w:sectPr w:rsidR="001C6AF6" w:rsidSect="001C6AF6">
          <w:type w:val="continuous"/>
          <w:pgSz w:w="16838" w:h="11906" w:orient="landscape"/>
          <w:pgMar w:top="1021" w:right="851" w:bottom="1021" w:left="851" w:header="709" w:footer="0" w:gutter="0"/>
          <w:cols w:space="708"/>
          <w:docGrid w:linePitch="360"/>
        </w:sectPr>
      </w:pPr>
    </w:p>
    <w:p w14:paraId="267AD0BA" w14:textId="78BF313A" w:rsidR="0034064D" w:rsidRPr="0034064D" w:rsidRDefault="0034064D" w:rsidP="0034064D">
      <w:pPr>
        <w:spacing w:after="40"/>
        <w:rPr>
          <w:rFonts w:ascii="Arial" w:eastAsia="Arial Unicode MS" w:hAnsi="Arial" w:cs="Arial"/>
          <w:sz w:val="20"/>
          <w:szCs w:val="20"/>
        </w:rPr>
      </w:pPr>
    </w:p>
    <w:p w14:paraId="50A6351A" w14:textId="77777777" w:rsidR="00AA7EC7" w:rsidRPr="00533035" w:rsidRDefault="00AA7EC7" w:rsidP="007D09F3">
      <w:pPr>
        <w:spacing w:after="40"/>
        <w:rPr>
          <w:rFonts w:ascii="Arial" w:eastAsia="Arial Unicode MS" w:hAnsi="Arial" w:cs="Arial"/>
          <w:sz w:val="20"/>
          <w:szCs w:val="20"/>
        </w:rPr>
      </w:pPr>
    </w:p>
    <w:p w14:paraId="135015DE" w14:textId="77777777" w:rsidR="001A0664" w:rsidRPr="00533035" w:rsidRDefault="001A0664" w:rsidP="007D09F3">
      <w:pPr>
        <w:spacing w:after="40"/>
        <w:rPr>
          <w:rFonts w:ascii="Arial" w:eastAsia="Arial Unicode MS" w:hAnsi="Arial" w:cs="Arial"/>
          <w:sz w:val="20"/>
          <w:szCs w:val="20"/>
        </w:rPr>
      </w:pPr>
    </w:p>
    <w:p w14:paraId="02639CF3" w14:textId="77777777" w:rsidR="001A0664" w:rsidRPr="00533035" w:rsidRDefault="001A0664" w:rsidP="007D09F3">
      <w:pPr>
        <w:spacing w:after="40"/>
        <w:rPr>
          <w:rFonts w:ascii="Arial" w:eastAsia="Arial Unicode MS" w:hAnsi="Arial" w:cs="Arial"/>
          <w:sz w:val="20"/>
          <w:szCs w:val="20"/>
        </w:rPr>
      </w:pPr>
    </w:p>
    <w:p w14:paraId="4288CBB4" w14:textId="77777777" w:rsidR="00756B26" w:rsidRPr="00533035" w:rsidRDefault="00756B26" w:rsidP="004F53A5">
      <w:pPr>
        <w:spacing w:after="40"/>
        <w:rPr>
          <w:rFonts w:ascii="Arial" w:eastAsia="Arial Unicode MS" w:hAnsi="Arial" w:cs="Arial"/>
          <w:sz w:val="20"/>
          <w:szCs w:val="20"/>
        </w:rPr>
      </w:pPr>
    </w:p>
    <w:p w14:paraId="14FB7F6E" w14:textId="77777777" w:rsidR="00756B26" w:rsidRPr="00533035" w:rsidRDefault="00756B26" w:rsidP="004F53A5">
      <w:pPr>
        <w:spacing w:after="40"/>
        <w:rPr>
          <w:rFonts w:ascii="Arial" w:eastAsia="Arial Unicode MS" w:hAnsi="Arial" w:cs="Arial"/>
          <w:sz w:val="20"/>
          <w:szCs w:val="20"/>
        </w:rPr>
      </w:pPr>
    </w:p>
    <w:p w14:paraId="0F544A93" w14:textId="77777777" w:rsidR="005D3E33" w:rsidRPr="00533035" w:rsidRDefault="005D3E33" w:rsidP="004F53A5">
      <w:pPr>
        <w:spacing w:after="40"/>
        <w:rPr>
          <w:rFonts w:ascii="Arial" w:eastAsia="Arial Unicode MS" w:hAnsi="Arial" w:cs="Arial"/>
          <w:sz w:val="20"/>
          <w:szCs w:val="20"/>
        </w:rPr>
      </w:pPr>
    </w:p>
    <w:p w14:paraId="2FBD91F1" w14:textId="77777777" w:rsidR="00756B26" w:rsidRPr="00533035" w:rsidRDefault="00756B26" w:rsidP="004F53A5">
      <w:pPr>
        <w:spacing w:after="40"/>
        <w:rPr>
          <w:rFonts w:ascii="Arial" w:eastAsia="Arial Unicode MS" w:hAnsi="Arial" w:cs="Arial"/>
          <w:sz w:val="20"/>
          <w:szCs w:val="20"/>
        </w:rPr>
      </w:pPr>
    </w:p>
    <w:p w14:paraId="1694884B" w14:textId="77777777" w:rsidR="00756B26" w:rsidRPr="00533035" w:rsidRDefault="00756B26" w:rsidP="004F53A5">
      <w:pPr>
        <w:spacing w:after="40"/>
        <w:rPr>
          <w:rFonts w:ascii="Arial" w:eastAsia="Arial Unicode MS" w:hAnsi="Arial" w:cs="Arial"/>
          <w:sz w:val="20"/>
          <w:szCs w:val="20"/>
        </w:rPr>
      </w:pPr>
    </w:p>
    <w:p w14:paraId="5B3D727F" w14:textId="77777777" w:rsidR="00756B26" w:rsidRPr="00533035" w:rsidRDefault="00756B26" w:rsidP="004F53A5">
      <w:pPr>
        <w:spacing w:after="40"/>
        <w:rPr>
          <w:rFonts w:ascii="Arial" w:eastAsia="Arial Unicode MS" w:hAnsi="Arial" w:cs="Arial"/>
          <w:sz w:val="20"/>
          <w:szCs w:val="20"/>
        </w:rPr>
      </w:pPr>
    </w:p>
    <w:p w14:paraId="5F5E5664" w14:textId="77777777" w:rsidR="00756B26" w:rsidRPr="00533035" w:rsidRDefault="00756B26" w:rsidP="004F53A5">
      <w:pPr>
        <w:spacing w:after="40"/>
        <w:rPr>
          <w:rFonts w:ascii="Arial" w:eastAsia="Arial Unicode MS" w:hAnsi="Arial" w:cs="Arial"/>
          <w:sz w:val="20"/>
          <w:szCs w:val="20"/>
        </w:rPr>
      </w:pPr>
    </w:p>
    <w:p w14:paraId="41251584" w14:textId="77777777" w:rsidR="00756B26" w:rsidRPr="00533035" w:rsidRDefault="00756B26" w:rsidP="004F53A5">
      <w:pPr>
        <w:spacing w:after="40"/>
        <w:rPr>
          <w:rFonts w:ascii="Arial" w:eastAsia="Arial Unicode MS" w:hAnsi="Arial" w:cs="Arial"/>
          <w:sz w:val="20"/>
          <w:szCs w:val="20"/>
        </w:rPr>
      </w:pPr>
    </w:p>
    <w:p w14:paraId="46B744F7" w14:textId="77777777" w:rsidR="00756B26" w:rsidRPr="00533035" w:rsidRDefault="00756B26" w:rsidP="004F53A5">
      <w:pPr>
        <w:spacing w:after="40"/>
        <w:rPr>
          <w:rFonts w:ascii="Arial" w:eastAsia="Arial Unicode MS" w:hAnsi="Arial" w:cs="Arial"/>
          <w:sz w:val="20"/>
          <w:szCs w:val="20"/>
        </w:rPr>
      </w:pPr>
    </w:p>
    <w:p w14:paraId="7FDD93AA" w14:textId="77777777" w:rsidR="00756B26" w:rsidRPr="00533035" w:rsidRDefault="00756B26" w:rsidP="004F53A5">
      <w:pPr>
        <w:spacing w:after="40"/>
        <w:rPr>
          <w:rFonts w:ascii="Arial" w:eastAsia="Arial Unicode MS" w:hAnsi="Arial" w:cs="Arial"/>
          <w:sz w:val="20"/>
          <w:szCs w:val="20"/>
        </w:rPr>
      </w:pPr>
    </w:p>
    <w:p w14:paraId="7276DC16" w14:textId="77777777" w:rsidR="00756B26" w:rsidRPr="00533035" w:rsidRDefault="00756B26" w:rsidP="004F53A5">
      <w:pPr>
        <w:spacing w:after="40"/>
        <w:rPr>
          <w:rFonts w:ascii="Arial" w:eastAsia="Arial Unicode MS" w:hAnsi="Arial" w:cs="Arial"/>
          <w:sz w:val="20"/>
          <w:szCs w:val="20"/>
        </w:rPr>
      </w:pPr>
    </w:p>
    <w:p w14:paraId="1D0DE07B" w14:textId="78C6A0C8" w:rsidR="00756B26" w:rsidRPr="00533035" w:rsidRDefault="00756B26" w:rsidP="004F53A5">
      <w:pPr>
        <w:spacing w:after="40"/>
        <w:rPr>
          <w:rFonts w:ascii="Arial" w:eastAsia="Arial Unicode MS" w:hAnsi="Arial" w:cs="Arial"/>
          <w:sz w:val="20"/>
          <w:szCs w:val="20"/>
        </w:rPr>
        <w:sectPr w:rsidR="00756B26" w:rsidRPr="00533035" w:rsidSect="00E40488">
          <w:type w:val="continuous"/>
          <w:pgSz w:w="16838" w:h="11906" w:orient="landscape"/>
          <w:pgMar w:top="1021" w:right="851" w:bottom="1021" w:left="851" w:header="709" w:footer="0" w:gutter="0"/>
          <w:cols w:num="2" w:space="708"/>
          <w:docGrid w:linePitch="360"/>
        </w:sectPr>
      </w:pPr>
    </w:p>
    <w:p w14:paraId="2ADA0ECC" w14:textId="0A8B7320" w:rsidR="009462A5" w:rsidRPr="00533035" w:rsidRDefault="009462A5" w:rsidP="004F53A5">
      <w:pPr>
        <w:spacing w:after="40"/>
        <w:rPr>
          <w:rFonts w:ascii="Arial" w:eastAsia="Arial Unicode MS" w:hAnsi="Arial" w:cs="Arial"/>
          <w:sz w:val="20"/>
          <w:szCs w:val="20"/>
        </w:rPr>
      </w:pPr>
    </w:p>
    <w:p w14:paraId="0A7678E3" w14:textId="77777777" w:rsidR="009462A5" w:rsidRPr="00533035" w:rsidRDefault="009462A5" w:rsidP="004F53A5">
      <w:pPr>
        <w:spacing w:after="40"/>
        <w:rPr>
          <w:rFonts w:ascii="Arial" w:eastAsia="Arial Unicode MS" w:hAnsi="Arial" w:cs="Arial"/>
          <w:sz w:val="20"/>
          <w:szCs w:val="20"/>
        </w:rPr>
      </w:pPr>
    </w:p>
    <w:p w14:paraId="7E084898" w14:textId="77777777" w:rsidR="009462A5" w:rsidRPr="00533035" w:rsidRDefault="009462A5" w:rsidP="004F53A5">
      <w:pPr>
        <w:spacing w:after="40"/>
        <w:rPr>
          <w:rFonts w:ascii="Arial" w:eastAsia="Arial Unicode MS" w:hAnsi="Arial" w:cs="Arial"/>
          <w:sz w:val="20"/>
          <w:szCs w:val="20"/>
        </w:rPr>
      </w:pPr>
    </w:p>
    <w:p w14:paraId="1ED5EEE6" w14:textId="77777777" w:rsidR="009462A5" w:rsidRPr="00533035" w:rsidRDefault="009462A5" w:rsidP="004F53A5">
      <w:pPr>
        <w:spacing w:after="40"/>
        <w:rPr>
          <w:rFonts w:ascii="Arial" w:eastAsia="Arial Unicode MS" w:hAnsi="Arial" w:cs="Arial"/>
          <w:sz w:val="20"/>
          <w:szCs w:val="20"/>
        </w:rPr>
      </w:pPr>
    </w:p>
    <w:p w14:paraId="103AB4D1" w14:textId="77777777" w:rsidR="009462A5" w:rsidRPr="00533035" w:rsidRDefault="009462A5" w:rsidP="004F53A5">
      <w:pPr>
        <w:spacing w:after="40"/>
        <w:rPr>
          <w:rFonts w:ascii="Arial" w:eastAsia="Arial Unicode MS" w:hAnsi="Arial" w:cs="Arial"/>
          <w:sz w:val="20"/>
          <w:szCs w:val="20"/>
        </w:rPr>
      </w:pPr>
    </w:p>
    <w:p w14:paraId="37375F70" w14:textId="77777777" w:rsidR="009462A5" w:rsidRPr="00533035" w:rsidRDefault="009462A5" w:rsidP="004F53A5">
      <w:pPr>
        <w:spacing w:after="40"/>
        <w:rPr>
          <w:rFonts w:ascii="Arial" w:eastAsia="Arial Unicode MS" w:hAnsi="Arial" w:cs="Arial"/>
          <w:sz w:val="20"/>
          <w:szCs w:val="20"/>
        </w:rPr>
      </w:pPr>
    </w:p>
    <w:p w14:paraId="6255174A" w14:textId="77777777" w:rsidR="009462A5" w:rsidRPr="00533035" w:rsidRDefault="009462A5" w:rsidP="004F53A5">
      <w:pPr>
        <w:spacing w:after="40"/>
        <w:rPr>
          <w:rFonts w:ascii="Arial" w:eastAsia="Arial Unicode MS" w:hAnsi="Arial" w:cs="Arial"/>
          <w:sz w:val="20"/>
          <w:szCs w:val="20"/>
        </w:rPr>
      </w:pPr>
    </w:p>
    <w:p w14:paraId="756B5649" w14:textId="77777777" w:rsidR="009462A5" w:rsidRPr="00533035" w:rsidRDefault="009462A5" w:rsidP="004F53A5">
      <w:pPr>
        <w:spacing w:after="40"/>
        <w:rPr>
          <w:rFonts w:ascii="Arial" w:eastAsia="Arial Unicode MS" w:hAnsi="Arial" w:cs="Arial"/>
          <w:sz w:val="20"/>
          <w:szCs w:val="20"/>
        </w:rPr>
      </w:pPr>
    </w:p>
    <w:p w14:paraId="31DA17A5" w14:textId="77777777" w:rsidR="009462A5" w:rsidRPr="00533035" w:rsidRDefault="009462A5" w:rsidP="004F53A5">
      <w:pPr>
        <w:spacing w:after="40"/>
        <w:rPr>
          <w:rFonts w:ascii="Arial" w:eastAsia="Arial Unicode MS" w:hAnsi="Arial" w:cs="Arial"/>
          <w:sz w:val="20"/>
          <w:szCs w:val="20"/>
        </w:rPr>
      </w:pPr>
    </w:p>
    <w:p w14:paraId="16C9E8CA" w14:textId="77777777" w:rsidR="009462A5" w:rsidRPr="00533035" w:rsidRDefault="009462A5" w:rsidP="004F53A5">
      <w:pPr>
        <w:spacing w:after="40"/>
        <w:rPr>
          <w:rFonts w:ascii="Arial" w:eastAsia="Arial Unicode MS" w:hAnsi="Arial" w:cs="Arial"/>
          <w:sz w:val="20"/>
          <w:szCs w:val="20"/>
        </w:rPr>
      </w:pPr>
    </w:p>
    <w:p w14:paraId="5AF44AAC" w14:textId="77777777" w:rsidR="009462A5" w:rsidRPr="00533035" w:rsidRDefault="009462A5" w:rsidP="004F53A5">
      <w:pPr>
        <w:spacing w:after="40"/>
        <w:rPr>
          <w:rFonts w:ascii="Arial" w:eastAsia="Arial Unicode MS" w:hAnsi="Arial" w:cs="Arial"/>
          <w:sz w:val="20"/>
          <w:szCs w:val="20"/>
        </w:rPr>
      </w:pPr>
    </w:p>
    <w:p w14:paraId="68E198A6" w14:textId="77777777" w:rsidR="009462A5" w:rsidRPr="00533035" w:rsidRDefault="009462A5" w:rsidP="004F53A5">
      <w:pPr>
        <w:spacing w:after="40"/>
        <w:rPr>
          <w:rFonts w:ascii="Arial" w:eastAsia="Arial Unicode MS" w:hAnsi="Arial" w:cs="Arial"/>
          <w:sz w:val="20"/>
          <w:szCs w:val="20"/>
        </w:rPr>
      </w:pPr>
    </w:p>
    <w:p w14:paraId="31AA1549" w14:textId="77777777" w:rsidR="009462A5" w:rsidRPr="00533035" w:rsidRDefault="009462A5" w:rsidP="004F53A5">
      <w:pPr>
        <w:spacing w:after="40"/>
        <w:rPr>
          <w:rFonts w:ascii="Arial" w:eastAsia="Arial Unicode MS" w:hAnsi="Arial" w:cs="Arial"/>
          <w:sz w:val="20"/>
          <w:szCs w:val="20"/>
        </w:rPr>
      </w:pPr>
    </w:p>
    <w:p w14:paraId="64FF6A75" w14:textId="77777777" w:rsidR="009462A5" w:rsidRPr="00533035" w:rsidRDefault="009462A5" w:rsidP="004F53A5">
      <w:pPr>
        <w:spacing w:after="40"/>
        <w:rPr>
          <w:rFonts w:ascii="Arial" w:eastAsia="Arial Unicode MS" w:hAnsi="Arial" w:cs="Arial"/>
          <w:sz w:val="20"/>
          <w:szCs w:val="20"/>
        </w:rPr>
      </w:pPr>
    </w:p>
    <w:p w14:paraId="35A3FBA6" w14:textId="77777777" w:rsidR="009462A5" w:rsidRPr="00533035" w:rsidRDefault="009462A5" w:rsidP="004F53A5">
      <w:pPr>
        <w:spacing w:after="40"/>
        <w:rPr>
          <w:rFonts w:ascii="Arial" w:eastAsia="Arial Unicode MS" w:hAnsi="Arial" w:cs="Arial"/>
          <w:sz w:val="20"/>
          <w:szCs w:val="20"/>
        </w:rPr>
      </w:pPr>
    </w:p>
    <w:p w14:paraId="6EF9CD6B" w14:textId="77777777" w:rsidR="009462A5" w:rsidRPr="00533035" w:rsidRDefault="009462A5" w:rsidP="004F53A5">
      <w:pPr>
        <w:spacing w:after="40"/>
        <w:rPr>
          <w:rFonts w:ascii="Arial" w:eastAsia="Arial Unicode MS" w:hAnsi="Arial" w:cs="Arial"/>
          <w:sz w:val="20"/>
          <w:szCs w:val="20"/>
        </w:rPr>
      </w:pPr>
    </w:p>
    <w:p w14:paraId="004A71F8" w14:textId="77777777" w:rsidR="009462A5" w:rsidRPr="00533035" w:rsidRDefault="009462A5" w:rsidP="004F53A5">
      <w:pPr>
        <w:spacing w:after="40"/>
        <w:rPr>
          <w:rFonts w:ascii="Arial" w:eastAsia="Arial Unicode MS" w:hAnsi="Arial" w:cs="Arial"/>
          <w:sz w:val="20"/>
          <w:szCs w:val="20"/>
        </w:rPr>
      </w:pPr>
    </w:p>
    <w:p w14:paraId="4302E061" w14:textId="77777777" w:rsidR="009462A5" w:rsidRPr="00533035" w:rsidRDefault="009462A5" w:rsidP="004F53A5">
      <w:pPr>
        <w:spacing w:after="40"/>
        <w:rPr>
          <w:rFonts w:ascii="Arial" w:eastAsia="Arial Unicode MS" w:hAnsi="Arial" w:cs="Arial"/>
          <w:sz w:val="20"/>
          <w:szCs w:val="20"/>
        </w:rPr>
      </w:pPr>
    </w:p>
    <w:p w14:paraId="6066C64D" w14:textId="77777777" w:rsidR="009462A5" w:rsidRPr="00533035" w:rsidRDefault="009462A5" w:rsidP="004F53A5">
      <w:pPr>
        <w:spacing w:after="40"/>
        <w:rPr>
          <w:rFonts w:ascii="Arial" w:eastAsia="Arial Unicode MS" w:hAnsi="Arial" w:cs="Arial"/>
          <w:sz w:val="20"/>
          <w:szCs w:val="20"/>
        </w:rPr>
      </w:pPr>
    </w:p>
    <w:p w14:paraId="61D250C3" w14:textId="77777777" w:rsidR="009462A5" w:rsidRPr="00533035" w:rsidRDefault="009462A5" w:rsidP="004F53A5">
      <w:pPr>
        <w:spacing w:after="40"/>
        <w:rPr>
          <w:rFonts w:ascii="Arial" w:eastAsia="Arial Unicode MS" w:hAnsi="Arial" w:cs="Arial"/>
          <w:sz w:val="20"/>
          <w:szCs w:val="20"/>
        </w:rPr>
      </w:pPr>
    </w:p>
    <w:p w14:paraId="5C712C0B" w14:textId="77777777" w:rsidR="009462A5" w:rsidRPr="00533035" w:rsidRDefault="009462A5" w:rsidP="004F53A5">
      <w:pPr>
        <w:spacing w:after="40"/>
        <w:rPr>
          <w:rFonts w:ascii="Arial" w:eastAsia="Arial Unicode MS" w:hAnsi="Arial" w:cs="Arial"/>
          <w:sz w:val="20"/>
          <w:szCs w:val="20"/>
        </w:rPr>
      </w:pPr>
    </w:p>
    <w:p w14:paraId="7CB38EB7" w14:textId="77777777" w:rsidR="009462A5" w:rsidRPr="00533035" w:rsidRDefault="009462A5" w:rsidP="004F53A5">
      <w:pPr>
        <w:spacing w:after="40"/>
        <w:rPr>
          <w:rFonts w:ascii="Arial" w:eastAsia="Arial Unicode MS" w:hAnsi="Arial" w:cs="Arial"/>
          <w:sz w:val="20"/>
          <w:szCs w:val="20"/>
        </w:rPr>
      </w:pPr>
    </w:p>
    <w:p w14:paraId="0F76F1D4" w14:textId="77777777" w:rsidR="009462A5" w:rsidRPr="00533035" w:rsidRDefault="009462A5" w:rsidP="004F53A5">
      <w:pPr>
        <w:spacing w:after="40"/>
        <w:rPr>
          <w:rFonts w:ascii="Arial" w:eastAsia="Arial Unicode MS" w:hAnsi="Arial" w:cs="Arial"/>
          <w:sz w:val="20"/>
          <w:szCs w:val="20"/>
        </w:rPr>
      </w:pPr>
    </w:p>
    <w:p w14:paraId="6128027E" w14:textId="77777777" w:rsidR="009462A5" w:rsidRPr="00533035" w:rsidRDefault="009462A5" w:rsidP="004F53A5">
      <w:pPr>
        <w:spacing w:after="40"/>
        <w:rPr>
          <w:rFonts w:ascii="Arial" w:eastAsia="Arial Unicode MS" w:hAnsi="Arial" w:cs="Arial"/>
          <w:sz w:val="20"/>
          <w:szCs w:val="20"/>
        </w:rPr>
      </w:pPr>
    </w:p>
    <w:p w14:paraId="56F4899E" w14:textId="77777777" w:rsidR="009462A5" w:rsidRPr="00533035" w:rsidRDefault="009462A5" w:rsidP="004F53A5">
      <w:pPr>
        <w:spacing w:after="40"/>
        <w:rPr>
          <w:rFonts w:ascii="Arial" w:eastAsia="Arial Unicode MS" w:hAnsi="Arial" w:cs="Arial"/>
          <w:sz w:val="20"/>
          <w:szCs w:val="20"/>
        </w:rPr>
      </w:pPr>
    </w:p>
    <w:p w14:paraId="7E50572C" w14:textId="77777777" w:rsidR="009462A5" w:rsidRPr="00533035" w:rsidRDefault="009462A5" w:rsidP="004F53A5">
      <w:pPr>
        <w:spacing w:after="40"/>
        <w:rPr>
          <w:rFonts w:ascii="Arial" w:eastAsia="Arial Unicode MS" w:hAnsi="Arial" w:cs="Arial"/>
          <w:sz w:val="20"/>
          <w:szCs w:val="20"/>
        </w:rPr>
      </w:pPr>
    </w:p>
    <w:p w14:paraId="6B2D3EF3" w14:textId="77777777" w:rsidR="009462A5" w:rsidRPr="00533035" w:rsidRDefault="009462A5" w:rsidP="004F53A5">
      <w:pPr>
        <w:spacing w:after="40"/>
        <w:rPr>
          <w:rFonts w:ascii="Arial" w:eastAsia="Arial Unicode MS" w:hAnsi="Arial" w:cs="Arial"/>
          <w:sz w:val="20"/>
          <w:szCs w:val="20"/>
        </w:rPr>
      </w:pPr>
    </w:p>
    <w:p w14:paraId="41D4D5CE" w14:textId="77777777" w:rsidR="009462A5" w:rsidRPr="00533035" w:rsidRDefault="009462A5" w:rsidP="004F53A5">
      <w:pPr>
        <w:spacing w:after="40"/>
        <w:rPr>
          <w:rFonts w:ascii="Arial" w:eastAsia="Arial Unicode MS" w:hAnsi="Arial" w:cs="Arial"/>
          <w:sz w:val="20"/>
          <w:szCs w:val="20"/>
        </w:rPr>
      </w:pPr>
    </w:p>
    <w:p w14:paraId="1D1B1E79" w14:textId="77777777" w:rsidR="009462A5" w:rsidRPr="00533035" w:rsidRDefault="009462A5" w:rsidP="004F53A5">
      <w:pPr>
        <w:spacing w:after="40"/>
        <w:rPr>
          <w:rFonts w:ascii="Arial" w:eastAsia="Arial Unicode MS" w:hAnsi="Arial" w:cs="Arial"/>
          <w:sz w:val="20"/>
          <w:szCs w:val="20"/>
        </w:rPr>
      </w:pPr>
    </w:p>
    <w:p w14:paraId="346CCB3E" w14:textId="77777777" w:rsidR="009462A5" w:rsidRPr="00533035" w:rsidRDefault="009462A5" w:rsidP="004F53A5">
      <w:pPr>
        <w:spacing w:after="40"/>
        <w:rPr>
          <w:rFonts w:ascii="Arial" w:eastAsia="Arial Unicode MS" w:hAnsi="Arial" w:cs="Arial"/>
          <w:sz w:val="20"/>
          <w:szCs w:val="20"/>
        </w:rPr>
      </w:pPr>
    </w:p>
    <w:sectPr w:rsidR="009462A5" w:rsidRPr="00533035" w:rsidSect="00E40488">
      <w:type w:val="continuous"/>
      <w:pgSz w:w="16838" w:h="11906" w:orient="landscape"/>
      <w:pgMar w:top="1021" w:right="851" w:bottom="1021" w:left="851" w:header="709"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4ED30" w14:textId="77777777" w:rsidR="00AC63FF" w:rsidRDefault="00AC63FF" w:rsidP="00AC63FF">
      <w:pPr>
        <w:spacing w:after="0" w:line="240" w:lineRule="auto"/>
      </w:pPr>
      <w:r>
        <w:separator/>
      </w:r>
    </w:p>
  </w:endnote>
  <w:endnote w:type="continuationSeparator" w:id="0">
    <w:p w14:paraId="6E5242F1" w14:textId="77777777" w:rsidR="00AC63FF" w:rsidRDefault="00AC63FF" w:rsidP="00AC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0333"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992"/>
      <w:gridCol w:w="3339"/>
      <w:gridCol w:w="442"/>
    </w:tblGrid>
    <w:tr w:rsidR="009C5B7B" w14:paraId="74448C52" w14:textId="77777777" w:rsidTr="009C5B7B">
      <w:trPr>
        <w:trHeight w:val="421"/>
      </w:trPr>
      <w:tc>
        <w:tcPr>
          <w:tcW w:w="992" w:type="dxa"/>
          <w:shd w:val="clear" w:color="auto" w:fill="009999"/>
          <w:vAlign w:val="center"/>
        </w:tcPr>
        <w:p w14:paraId="58BF90FC" w14:textId="77777777" w:rsidR="009C5B7B" w:rsidRPr="009C5B7B" w:rsidRDefault="009C5B7B" w:rsidP="009C5B7B">
          <w:pPr>
            <w:pStyle w:val="Rodap"/>
            <w:tabs>
              <w:tab w:val="clear" w:pos="4252"/>
              <w:tab w:val="clear" w:pos="8504"/>
            </w:tabs>
            <w:jc w:val="center"/>
            <w:rPr>
              <w:color w:val="FFFFFF" w:themeColor="background1"/>
              <w:sz w:val="18"/>
              <w:szCs w:val="18"/>
            </w:rPr>
          </w:pPr>
          <w:r w:rsidRPr="009C5B7B">
            <w:rPr>
              <w:color w:val="FFFFFF" w:themeColor="background1"/>
              <w:sz w:val="18"/>
              <w:szCs w:val="18"/>
            </w:rPr>
            <w:t>Capítulo 01</w:t>
          </w:r>
        </w:p>
      </w:tc>
      <w:tc>
        <w:tcPr>
          <w:tcW w:w="3339" w:type="dxa"/>
          <w:vAlign w:val="center"/>
        </w:tcPr>
        <w:p w14:paraId="482A0BBB" w14:textId="77777777" w:rsidR="009C5B7B" w:rsidRDefault="009C5B7B" w:rsidP="009462A5">
          <w:pPr>
            <w:pStyle w:val="Rodap"/>
            <w:tabs>
              <w:tab w:val="clear" w:pos="4252"/>
              <w:tab w:val="clear" w:pos="8504"/>
            </w:tabs>
            <w:rPr>
              <w:sz w:val="18"/>
              <w:szCs w:val="18"/>
            </w:rPr>
          </w:pPr>
          <w:r>
            <w:rPr>
              <w:sz w:val="18"/>
              <w:szCs w:val="18"/>
            </w:rPr>
            <w:t>Demonstrações Contábeis</w:t>
          </w:r>
        </w:p>
      </w:tc>
      <w:tc>
        <w:tcPr>
          <w:tcW w:w="442" w:type="dxa"/>
          <w:vAlign w:val="center"/>
        </w:tcPr>
        <w:p w14:paraId="1010EC43" w14:textId="3574D00A" w:rsidR="009C5B7B" w:rsidRDefault="009C5B7B" w:rsidP="009462A5">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8F6E23">
            <w:rPr>
              <w:noProof/>
              <w:sz w:val="18"/>
              <w:szCs w:val="18"/>
            </w:rPr>
            <w:t>18</w:t>
          </w:r>
          <w:r w:rsidRPr="002B53FF">
            <w:rPr>
              <w:sz w:val="18"/>
              <w:szCs w:val="18"/>
            </w:rPr>
            <w:fldChar w:fldCharType="end"/>
          </w:r>
        </w:p>
      </w:tc>
    </w:tr>
  </w:tbl>
  <w:p w14:paraId="04C818A8" w14:textId="77777777" w:rsidR="009462A5" w:rsidRDefault="009462A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Ind w:w="1033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992"/>
      <w:gridCol w:w="3339"/>
      <w:gridCol w:w="442"/>
    </w:tblGrid>
    <w:tr w:rsidR="009C5B7B" w14:paraId="46BADB0C" w14:textId="77777777" w:rsidTr="009C5B7B">
      <w:trPr>
        <w:trHeight w:val="421"/>
      </w:trPr>
      <w:tc>
        <w:tcPr>
          <w:tcW w:w="992" w:type="dxa"/>
          <w:shd w:val="clear" w:color="auto" w:fill="auto"/>
          <w:vAlign w:val="center"/>
        </w:tcPr>
        <w:p w14:paraId="7C9626A2" w14:textId="77777777" w:rsidR="009C5B7B" w:rsidRPr="009C5B7B" w:rsidRDefault="009C5B7B" w:rsidP="009C5B7B">
          <w:pPr>
            <w:pStyle w:val="Rodap"/>
            <w:tabs>
              <w:tab w:val="clear" w:pos="4252"/>
              <w:tab w:val="clear" w:pos="8504"/>
            </w:tabs>
            <w:jc w:val="center"/>
            <w:rPr>
              <w:color w:val="FFFFFF" w:themeColor="background1"/>
              <w:sz w:val="18"/>
              <w:szCs w:val="18"/>
            </w:rPr>
          </w:pPr>
        </w:p>
      </w:tc>
      <w:tc>
        <w:tcPr>
          <w:tcW w:w="3339" w:type="dxa"/>
          <w:vAlign w:val="center"/>
        </w:tcPr>
        <w:p w14:paraId="27550F5C" w14:textId="77777777" w:rsidR="009C5B7B" w:rsidRDefault="009C5B7B" w:rsidP="002B53FF">
          <w:pPr>
            <w:pStyle w:val="Rodap"/>
            <w:tabs>
              <w:tab w:val="clear" w:pos="4252"/>
              <w:tab w:val="clear" w:pos="8504"/>
            </w:tabs>
            <w:rPr>
              <w:sz w:val="18"/>
              <w:szCs w:val="18"/>
            </w:rPr>
          </w:pPr>
        </w:p>
      </w:tc>
      <w:tc>
        <w:tcPr>
          <w:tcW w:w="442" w:type="dxa"/>
          <w:vAlign w:val="center"/>
        </w:tcPr>
        <w:p w14:paraId="053B15AA" w14:textId="78090AA9" w:rsidR="009C5B7B" w:rsidRDefault="009C5B7B" w:rsidP="002B53FF">
          <w:pPr>
            <w:pStyle w:val="Rodap"/>
            <w:tabs>
              <w:tab w:val="clear" w:pos="4252"/>
              <w:tab w:val="clear" w:pos="8504"/>
            </w:tabs>
            <w:jc w:val="center"/>
            <w:rPr>
              <w:sz w:val="18"/>
              <w:szCs w:val="18"/>
            </w:rPr>
          </w:pPr>
          <w:r w:rsidRPr="002B53FF">
            <w:rPr>
              <w:sz w:val="18"/>
              <w:szCs w:val="18"/>
            </w:rPr>
            <w:fldChar w:fldCharType="begin"/>
          </w:r>
          <w:r w:rsidRPr="002B53FF">
            <w:rPr>
              <w:sz w:val="18"/>
              <w:szCs w:val="18"/>
            </w:rPr>
            <w:instrText>PAGE   \* MERGEFORMAT</w:instrText>
          </w:r>
          <w:r w:rsidRPr="002B53FF">
            <w:rPr>
              <w:sz w:val="18"/>
              <w:szCs w:val="18"/>
            </w:rPr>
            <w:fldChar w:fldCharType="separate"/>
          </w:r>
          <w:r w:rsidR="008F6E23">
            <w:rPr>
              <w:noProof/>
              <w:sz w:val="18"/>
              <w:szCs w:val="18"/>
            </w:rPr>
            <w:t>19</w:t>
          </w:r>
          <w:r w:rsidRPr="002B53FF">
            <w:rPr>
              <w:sz w:val="18"/>
              <w:szCs w:val="18"/>
            </w:rPr>
            <w:fldChar w:fldCharType="end"/>
          </w:r>
        </w:p>
      </w:tc>
    </w:tr>
  </w:tbl>
  <w:p w14:paraId="09722F5C" w14:textId="77777777" w:rsidR="00A73874" w:rsidRPr="00A73874" w:rsidRDefault="00A73874" w:rsidP="002B53FF">
    <w:pPr>
      <w:pStyle w:val="Rodap"/>
      <w:tabs>
        <w:tab w:val="clear" w:pos="4252"/>
        <w:tab w:val="clear" w:pos="8504"/>
      </w:tabs>
      <w:jc w:val="right"/>
      <w:rPr>
        <w:sz w:val="18"/>
        <w:szCs w:val="18"/>
      </w:rPr>
    </w:pPr>
  </w:p>
  <w:p w14:paraId="7C8F8149" w14:textId="77777777" w:rsidR="00AC63FF" w:rsidRDefault="00AC63F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ADE16" w14:textId="77777777" w:rsidR="00AC63FF" w:rsidRDefault="00AC63FF" w:rsidP="00AC63FF">
      <w:pPr>
        <w:spacing w:after="0" w:line="240" w:lineRule="auto"/>
      </w:pPr>
      <w:r>
        <w:separator/>
      </w:r>
    </w:p>
  </w:footnote>
  <w:footnote w:type="continuationSeparator" w:id="0">
    <w:p w14:paraId="6E221069" w14:textId="77777777" w:rsidR="00AC63FF" w:rsidRDefault="00AC63FF" w:rsidP="00AC63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5D72"/>
    <w:multiLevelType w:val="hybridMultilevel"/>
    <w:tmpl w:val="42145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DD3F60"/>
    <w:multiLevelType w:val="hybridMultilevel"/>
    <w:tmpl w:val="9BEE688C"/>
    <w:lvl w:ilvl="0" w:tplc="314C7E8A">
      <w:start w:val="1"/>
      <w:numFmt w:val="upperRoman"/>
      <w:lvlText w:val="%1."/>
      <w:lvlJc w:val="center"/>
      <w:pPr>
        <w:ind w:left="1004" w:hanging="720"/>
      </w:pPr>
      <w:rPr>
        <w:rFonts w:hint="default"/>
        <w:b/>
        <w:color w:val="C45911" w:themeColor="accent2" w:themeShade="BF"/>
        <w:sz w:val="28"/>
        <w14:textOutline w14:w="0" w14:cap="rnd" w14:cmpd="sng" w14:algn="ctr">
          <w14:noFill/>
          <w14:prstDash w14:val="solid"/>
          <w14:bevel/>
        </w14:textOutline>
        <w14:props3d w14:extrusionH="57150" w14:contourW="0" w14:prstMaterial="warmMatte">
          <w14:bevelT w14:w="69850" w14:h="38100" w14:prst="cross"/>
        </w14:props3d>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 w15:restartNumberingAfterBreak="0">
    <w:nsid w:val="201A44A5"/>
    <w:multiLevelType w:val="hybridMultilevel"/>
    <w:tmpl w:val="F592958E"/>
    <w:lvl w:ilvl="0" w:tplc="9FDAF2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1E4DED"/>
    <w:multiLevelType w:val="hybridMultilevel"/>
    <w:tmpl w:val="85AEE62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9939F3"/>
    <w:multiLevelType w:val="hybridMultilevel"/>
    <w:tmpl w:val="8196CF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AA90B74"/>
    <w:multiLevelType w:val="hybridMultilevel"/>
    <w:tmpl w:val="309C17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5854205"/>
    <w:multiLevelType w:val="hybridMultilevel"/>
    <w:tmpl w:val="E8D82CC8"/>
    <w:lvl w:ilvl="0" w:tplc="19A89A2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FD3B1F"/>
    <w:multiLevelType w:val="hybridMultilevel"/>
    <w:tmpl w:val="3C667B40"/>
    <w:lvl w:ilvl="0" w:tplc="0E78602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evenAndOddHeader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CD"/>
    <w:rsid w:val="00002926"/>
    <w:rsid w:val="00006B51"/>
    <w:rsid w:val="00047FFE"/>
    <w:rsid w:val="0005486A"/>
    <w:rsid w:val="000C35BD"/>
    <w:rsid w:val="000E7D97"/>
    <w:rsid w:val="001126B8"/>
    <w:rsid w:val="00127894"/>
    <w:rsid w:val="00137CCD"/>
    <w:rsid w:val="00160E7A"/>
    <w:rsid w:val="001744D2"/>
    <w:rsid w:val="001A0664"/>
    <w:rsid w:val="001B3E00"/>
    <w:rsid w:val="001C6AF6"/>
    <w:rsid w:val="001F7B7F"/>
    <w:rsid w:val="00233AFC"/>
    <w:rsid w:val="00266915"/>
    <w:rsid w:val="002B53FF"/>
    <w:rsid w:val="003114B7"/>
    <w:rsid w:val="003216D5"/>
    <w:rsid w:val="00326B0E"/>
    <w:rsid w:val="00336E24"/>
    <w:rsid w:val="0034064D"/>
    <w:rsid w:val="003750CE"/>
    <w:rsid w:val="00423FC0"/>
    <w:rsid w:val="00436BA4"/>
    <w:rsid w:val="00446D58"/>
    <w:rsid w:val="0047106B"/>
    <w:rsid w:val="004868CD"/>
    <w:rsid w:val="00493D8A"/>
    <w:rsid w:val="004B6577"/>
    <w:rsid w:val="004E66F7"/>
    <w:rsid w:val="004F53A5"/>
    <w:rsid w:val="00533035"/>
    <w:rsid w:val="00582C54"/>
    <w:rsid w:val="005C2D04"/>
    <w:rsid w:val="005D3E33"/>
    <w:rsid w:val="00611B4B"/>
    <w:rsid w:val="006310EB"/>
    <w:rsid w:val="0064731A"/>
    <w:rsid w:val="006C0BB4"/>
    <w:rsid w:val="006D06CA"/>
    <w:rsid w:val="006D7255"/>
    <w:rsid w:val="00713248"/>
    <w:rsid w:val="00733F74"/>
    <w:rsid w:val="00744DAC"/>
    <w:rsid w:val="00756B26"/>
    <w:rsid w:val="00764A48"/>
    <w:rsid w:val="0079552E"/>
    <w:rsid w:val="007C1093"/>
    <w:rsid w:val="007C45C4"/>
    <w:rsid w:val="007D09F3"/>
    <w:rsid w:val="007D0BBE"/>
    <w:rsid w:val="007D6891"/>
    <w:rsid w:val="00832B59"/>
    <w:rsid w:val="00837429"/>
    <w:rsid w:val="00837C80"/>
    <w:rsid w:val="00842592"/>
    <w:rsid w:val="00856772"/>
    <w:rsid w:val="00865B74"/>
    <w:rsid w:val="00867F88"/>
    <w:rsid w:val="008803DA"/>
    <w:rsid w:val="008B03EB"/>
    <w:rsid w:val="008D4672"/>
    <w:rsid w:val="008E66EE"/>
    <w:rsid w:val="008F6E23"/>
    <w:rsid w:val="009152D8"/>
    <w:rsid w:val="0092098E"/>
    <w:rsid w:val="009462A5"/>
    <w:rsid w:val="009B156D"/>
    <w:rsid w:val="009C0F56"/>
    <w:rsid w:val="009C1E3A"/>
    <w:rsid w:val="009C5B7B"/>
    <w:rsid w:val="009C71AA"/>
    <w:rsid w:val="009D3D0B"/>
    <w:rsid w:val="009F38DB"/>
    <w:rsid w:val="009F6D56"/>
    <w:rsid w:val="00A06D31"/>
    <w:rsid w:val="00A62755"/>
    <w:rsid w:val="00A73874"/>
    <w:rsid w:val="00A75B25"/>
    <w:rsid w:val="00A81817"/>
    <w:rsid w:val="00AA7EC7"/>
    <w:rsid w:val="00AB6E1C"/>
    <w:rsid w:val="00AC63FF"/>
    <w:rsid w:val="00B17734"/>
    <w:rsid w:val="00B2479A"/>
    <w:rsid w:val="00B2735E"/>
    <w:rsid w:val="00B47487"/>
    <w:rsid w:val="00C30501"/>
    <w:rsid w:val="00C40707"/>
    <w:rsid w:val="00C4346D"/>
    <w:rsid w:val="00C46E2A"/>
    <w:rsid w:val="00C544CF"/>
    <w:rsid w:val="00C63324"/>
    <w:rsid w:val="00C90D2B"/>
    <w:rsid w:val="00C93403"/>
    <w:rsid w:val="00C948DC"/>
    <w:rsid w:val="00CD2A10"/>
    <w:rsid w:val="00CD7C19"/>
    <w:rsid w:val="00D21A38"/>
    <w:rsid w:val="00D44694"/>
    <w:rsid w:val="00D47FC1"/>
    <w:rsid w:val="00D559BD"/>
    <w:rsid w:val="00D84268"/>
    <w:rsid w:val="00D87082"/>
    <w:rsid w:val="00D96ECC"/>
    <w:rsid w:val="00E12944"/>
    <w:rsid w:val="00E40488"/>
    <w:rsid w:val="00E66A55"/>
    <w:rsid w:val="00E71A1F"/>
    <w:rsid w:val="00E730C6"/>
    <w:rsid w:val="00EA715D"/>
    <w:rsid w:val="00ED5DF0"/>
    <w:rsid w:val="00EE6AEB"/>
    <w:rsid w:val="00F416F2"/>
    <w:rsid w:val="00F47706"/>
    <w:rsid w:val="00F86480"/>
    <w:rsid w:val="00FF0689"/>
    <w:rsid w:val="00FF2A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AB73B9"/>
  <w15:chartTrackingRefBased/>
  <w15:docId w15:val="{4830D249-5D02-4BBB-BF2F-44F8F36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3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3FF"/>
  </w:style>
  <w:style w:type="paragraph" w:styleId="Rodap">
    <w:name w:val="footer"/>
    <w:basedOn w:val="Normal"/>
    <w:link w:val="RodapChar"/>
    <w:uiPriority w:val="99"/>
    <w:unhideWhenUsed/>
    <w:rsid w:val="00AC63FF"/>
    <w:pPr>
      <w:tabs>
        <w:tab w:val="center" w:pos="4252"/>
        <w:tab w:val="right" w:pos="8504"/>
      </w:tabs>
      <w:spacing w:after="0" w:line="240" w:lineRule="auto"/>
    </w:pPr>
  </w:style>
  <w:style w:type="character" w:customStyle="1" w:styleId="RodapChar">
    <w:name w:val="Rodapé Char"/>
    <w:basedOn w:val="Fontepargpadro"/>
    <w:link w:val="Rodap"/>
    <w:uiPriority w:val="99"/>
    <w:rsid w:val="00AC63FF"/>
  </w:style>
  <w:style w:type="table" w:styleId="Tabelacomgrade">
    <w:name w:val="Table Grid"/>
    <w:basedOn w:val="Tabelanormal"/>
    <w:uiPriority w:val="39"/>
    <w:rsid w:val="002B5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67F88"/>
    <w:pPr>
      <w:ind w:left="720"/>
      <w:contextualSpacing/>
    </w:pPr>
  </w:style>
  <w:style w:type="character" w:styleId="Refdecomentrio">
    <w:name w:val="annotation reference"/>
    <w:basedOn w:val="Fontepargpadro"/>
    <w:uiPriority w:val="99"/>
    <w:semiHidden/>
    <w:unhideWhenUsed/>
    <w:rsid w:val="007D0BBE"/>
    <w:rPr>
      <w:sz w:val="16"/>
      <w:szCs w:val="16"/>
    </w:rPr>
  </w:style>
  <w:style w:type="paragraph" w:styleId="Textodecomentrio">
    <w:name w:val="annotation text"/>
    <w:basedOn w:val="Normal"/>
    <w:link w:val="TextodecomentrioChar"/>
    <w:uiPriority w:val="99"/>
    <w:semiHidden/>
    <w:unhideWhenUsed/>
    <w:rsid w:val="007D0B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D0BBE"/>
    <w:rPr>
      <w:sz w:val="20"/>
      <w:szCs w:val="20"/>
    </w:rPr>
  </w:style>
  <w:style w:type="paragraph" w:styleId="Assuntodocomentrio">
    <w:name w:val="annotation subject"/>
    <w:basedOn w:val="Textodecomentrio"/>
    <w:next w:val="Textodecomentrio"/>
    <w:link w:val="AssuntodocomentrioChar"/>
    <w:uiPriority w:val="99"/>
    <w:semiHidden/>
    <w:unhideWhenUsed/>
    <w:rsid w:val="007D0BBE"/>
    <w:rPr>
      <w:b/>
      <w:bCs/>
    </w:rPr>
  </w:style>
  <w:style w:type="character" w:customStyle="1" w:styleId="AssuntodocomentrioChar">
    <w:name w:val="Assunto do comentário Char"/>
    <w:basedOn w:val="TextodecomentrioChar"/>
    <w:link w:val="Assuntodocomentrio"/>
    <w:uiPriority w:val="99"/>
    <w:semiHidden/>
    <w:rsid w:val="007D0BBE"/>
    <w:rPr>
      <w:b/>
      <w:bCs/>
      <w:sz w:val="20"/>
      <w:szCs w:val="20"/>
    </w:rPr>
  </w:style>
  <w:style w:type="paragraph" w:styleId="Textodebalo">
    <w:name w:val="Balloon Text"/>
    <w:basedOn w:val="Normal"/>
    <w:link w:val="TextodebaloChar"/>
    <w:uiPriority w:val="99"/>
    <w:semiHidden/>
    <w:unhideWhenUsed/>
    <w:rsid w:val="007D0B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0BBE"/>
    <w:rPr>
      <w:rFonts w:ascii="Segoe UI" w:hAnsi="Segoe UI" w:cs="Segoe UI"/>
      <w:sz w:val="18"/>
      <w:szCs w:val="18"/>
    </w:rPr>
  </w:style>
  <w:style w:type="character" w:customStyle="1" w:styleId="tl8wme">
    <w:name w:val="tl8wme"/>
    <w:basedOn w:val="Fontepargpadro"/>
    <w:rsid w:val="0076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diagramQuickStyle" Target="diagrams/quickStyle1.xml"/><Relationship Id="rId39" Type="http://schemas.openxmlformats.org/officeDocument/2006/relationships/image" Target="media/image25.emf"/><Relationship Id="rId21" Type="http://schemas.openxmlformats.org/officeDocument/2006/relationships/image" Target="media/image12.emf"/><Relationship Id="rId34" Type="http://schemas.openxmlformats.org/officeDocument/2006/relationships/image" Target="media/image20.png"/><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png"/><Relationship Id="rId55" Type="http://schemas.openxmlformats.org/officeDocument/2006/relationships/image" Target="media/image41.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5.emf"/><Relationship Id="rId11" Type="http://schemas.openxmlformats.org/officeDocument/2006/relationships/footer" Target="footer2.xml"/><Relationship Id="rId24" Type="http://schemas.openxmlformats.org/officeDocument/2006/relationships/diagramData" Target="diagrams/data1.xml"/><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png"/><Relationship Id="rId53" Type="http://schemas.openxmlformats.org/officeDocument/2006/relationships/image" Target="media/image39.emf"/><Relationship Id="rId58" Type="http://schemas.openxmlformats.org/officeDocument/2006/relationships/image" Target="media/image44.emf"/><Relationship Id="rId5" Type="http://schemas.openxmlformats.org/officeDocument/2006/relationships/webSettings" Target="webSettings.xml"/><Relationship Id="rId61" Type="http://schemas.openxmlformats.org/officeDocument/2006/relationships/image" Target="media/image47.emf"/><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diagramColors" Target="diagrams/colors1.xml"/><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56" Type="http://schemas.openxmlformats.org/officeDocument/2006/relationships/image" Target="media/image42.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7.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diagramLayout" Target="diagrams/layout1.xml"/><Relationship Id="rId33" Type="http://schemas.openxmlformats.org/officeDocument/2006/relationships/image" Target="media/image19.png"/><Relationship Id="rId38" Type="http://schemas.openxmlformats.org/officeDocument/2006/relationships/image" Target="media/image24.emf"/><Relationship Id="rId46" Type="http://schemas.openxmlformats.org/officeDocument/2006/relationships/image" Target="media/image32.emf"/><Relationship Id="rId59" Type="http://schemas.openxmlformats.org/officeDocument/2006/relationships/image" Target="media/image45.emf"/><Relationship Id="rId20" Type="http://schemas.openxmlformats.org/officeDocument/2006/relationships/image" Target="media/image11.emf"/><Relationship Id="rId41" Type="http://schemas.openxmlformats.org/officeDocument/2006/relationships/image" Target="media/image27.emf"/><Relationship Id="rId54" Type="http://schemas.openxmlformats.org/officeDocument/2006/relationships/image" Target="media/image40.emf"/><Relationship Id="rId62" Type="http://schemas.openxmlformats.org/officeDocument/2006/relationships/image" Target="media/image48.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emf"/><Relationship Id="rId28" Type="http://schemas.microsoft.com/office/2007/relationships/diagramDrawing" Target="diagrams/drawing1.xml"/><Relationship Id="rId36" Type="http://schemas.openxmlformats.org/officeDocument/2006/relationships/image" Target="media/image22.emf"/><Relationship Id="rId49" Type="http://schemas.openxmlformats.org/officeDocument/2006/relationships/image" Target="media/image35.emf"/><Relationship Id="rId57" Type="http://schemas.openxmlformats.org/officeDocument/2006/relationships/image" Target="media/image43.emf"/><Relationship Id="rId10" Type="http://schemas.openxmlformats.org/officeDocument/2006/relationships/footer" Target="footer1.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8.emf"/><Relationship Id="rId60" Type="http://schemas.openxmlformats.org/officeDocument/2006/relationships/image" Target="media/image46.png"/><Relationship Id="rId4" Type="http://schemas.openxmlformats.org/officeDocument/2006/relationships/settings" Target="settings.xml"/><Relationship Id="rId9"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4DEE9B-8FFF-42AB-9DEA-87F05E8D78FC}"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pt-BR"/>
        </a:p>
      </dgm:t>
    </dgm:pt>
    <dgm:pt modelId="{A3CE2C72-B2D8-4D08-AC7B-7C0BF559EB96}">
      <dgm:prSet phldrT="[Texto]"/>
      <dgm:spPr>
        <a:solidFill>
          <a:schemeClr val="accent6">
            <a:lumMod val="60000"/>
            <a:lumOff val="40000"/>
          </a:schemeClr>
        </a:solidFill>
      </dgm:spPr>
      <dgm:t>
        <a:bodyPr/>
        <a:lstStyle/>
        <a:p>
          <a:r>
            <a:rPr lang="pt-BR" b="1">
              <a:solidFill>
                <a:schemeClr val="accent6">
                  <a:lumMod val="75000"/>
                </a:schemeClr>
              </a:solidFill>
            </a:rPr>
            <a:t>III. Financeiro</a:t>
          </a:r>
        </a:p>
      </dgm:t>
    </dgm:pt>
    <dgm:pt modelId="{0F472CAD-339C-42BC-AF67-7622C904D52D}" type="parTrans" cxnId="{ECEE0165-5F42-489A-8572-365CAC8E69A3}">
      <dgm:prSet/>
      <dgm:spPr/>
      <dgm:t>
        <a:bodyPr/>
        <a:lstStyle/>
        <a:p>
          <a:endParaRPr lang="pt-BR" b="1"/>
        </a:p>
      </dgm:t>
    </dgm:pt>
    <dgm:pt modelId="{565E2B7F-D52C-4F87-AC6C-0F560F17E426}" type="sibTrans" cxnId="{ECEE0165-5F42-489A-8572-365CAC8E69A3}">
      <dgm:prSet/>
      <dgm:spPr/>
      <dgm:t>
        <a:bodyPr/>
        <a:lstStyle/>
        <a:p>
          <a:endParaRPr lang="pt-BR" b="1"/>
        </a:p>
      </dgm:t>
    </dgm:pt>
    <dgm:pt modelId="{FA94DC61-C9A9-4F7F-94AF-979BFE529586}">
      <dgm:prSet/>
      <dgm:spPr>
        <a:solidFill>
          <a:schemeClr val="accent6">
            <a:lumMod val="60000"/>
            <a:lumOff val="40000"/>
          </a:schemeClr>
        </a:solidFill>
      </dgm:spPr>
      <dgm:t>
        <a:bodyPr/>
        <a:lstStyle/>
        <a:p>
          <a:r>
            <a:rPr lang="pt-BR" b="1">
              <a:solidFill>
                <a:schemeClr val="accent6">
                  <a:lumMod val="75000"/>
                </a:schemeClr>
              </a:solidFill>
            </a:rPr>
            <a:t>II. Orçamentário</a:t>
          </a:r>
        </a:p>
      </dgm:t>
    </dgm:pt>
    <dgm:pt modelId="{A2A07032-8968-4165-954C-8A4320B9B4B7}" type="parTrans" cxnId="{74542C83-63D8-4212-B867-F1C435703A1D}">
      <dgm:prSet/>
      <dgm:spPr/>
      <dgm:t>
        <a:bodyPr/>
        <a:lstStyle/>
        <a:p>
          <a:endParaRPr lang="pt-BR" b="1"/>
        </a:p>
      </dgm:t>
    </dgm:pt>
    <dgm:pt modelId="{1380727C-EAC1-49B9-BE79-DDE363C9639F}" type="sibTrans" cxnId="{74542C83-63D8-4212-B867-F1C435703A1D}">
      <dgm:prSet/>
      <dgm:spPr/>
      <dgm:t>
        <a:bodyPr/>
        <a:lstStyle/>
        <a:p>
          <a:endParaRPr lang="pt-BR" b="1"/>
        </a:p>
      </dgm:t>
    </dgm:pt>
    <dgm:pt modelId="{735F8F9F-A9FE-4D9E-89F5-BCF707456D71}">
      <dgm:prSet/>
      <dgm:spPr>
        <a:solidFill>
          <a:schemeClr val="accent6">
            <a:lumMod val="60000"/>
            <a:lumOff val="40000"/>
          </a:schemeClr>
        </a:solidFill>
      </dgm:spPr>
      <dgm:t>
        <a:bodyPr/>
        <a:lstStyle/>
        <a:p>
          <a:r>
            <a:rPr lang="pt-BR" b="1">
              <a:solidFill>
                <a:schemeClr val="accent6">
                  <a:lumMod val="75000"/>
                </a:schemeClr>
              </a:solidFill>
            </a:rPr>
            <a:t>I. Patrimonial</a:t>
          </a:r>
        </a:p>
      </dgm:t>
    </dgm:pt>
    <dgm:pt modelId="{5BDC37A4-FE21-4C07-880B-354A59A9A3B4}" type="parTrans" cxnId="{988132E7-63C4-4BFC-8ED3-BF69656BABDB}">
      <dgm:prSet/>
      <dgm:spPr/>
      <dgm:t>
        <a:bodyPr/>
        <a:lstStyle/>
        <a:p>
          <a:endParaRPr lang="pt-BR" b="1"/>
        </a:p>
      </dgm:t>
    </dgm:pt>
    <dgm:pt modelId="{46B1B78D-9DBB-40E1-87AC-610D61BEE015}" type="sibTrans" cxnId="{988132E7-63C4-4BFC-8ED3-BF69656BABDB}">
      <dgm:prSet/>
      <dgm:spPr/>
      <dgm:t>
        <a:bodyPr/>
        <a:lstStyle/>
        <a:p>
          <a:endParaRPr lang="pt-BR" b="1"/>
        </a:p>
      </dgm:t>
    </dgm:pt>
    <dgm:pt modelId="{2A26CA57-DD3F-4786-88F9-3CAF87630586}" type="pres">
      <dgm:prSet presAssocID="{E94DEE9B-8FFF-42AB-9DEA-87F05E8D78FC}" presName="hierChild1" presStyleCnt="0">
        <dgm:presLayoutVars>
          <dgm:orgChart val="1"/>
          <dgm:chPref val="1"/>
          <dgm:dir val="rev"/>
          <dgm:animOne val="branch"/>
          <dgm:animLvl val="lvl"/>
          <dgm:resizeHandles/>
        </dgm:presLayoutVars>
      </dgm:prSet>
      <dgm:spPr/>
      <dgm:t>
        <a:bodyPr/>
        <a:lstStyle/>
        <a:p>
          <a:endParaRPr lang="pt-BR"/>
        </a:p>
      </dgm:t>
    </dgm:pt>
    <dgm:pt modelId="{67736234-5679-40DF-9FFA-D7A4FBB60DF1}" type="pres">
      <dgm:prSet presAssocID="{A3CE2C72-B2D8-4D08-AC7B-7C0BF559EB96}" presName="hierRoot1" presStyleCnt="0">
        <dgm:presLayoutVars>
          <dgm:hierBranch val="init"/>
        </dgm:presLayoutVars>
      </dgm:prSet>
      <dgm:spPr/>
    </dgm:pt>
    <dgm:pt modelId="{486E5479-7414-4797-B1BE-612793CAE0AD}" type="pres">
      <dgm:prSet presAssocID="{A3CE2C72-B2D8-4D08-AC7B-7C0BF559EB96}" presName="rootComposite1" presStyleCnt="0"/>
      <dgm:spPr/>
    </dgm:pt>
    <dgm:pt modelId="{44C17BF4-55D8-46F9-A99D-6F46A1732CE4}" type="pres">
      <dgm:prSet presAssocID="{A3CE2C72-B2D8-4D08-AC7B-7C0BF559EB96}" presName="rootText1" presStyleLbl="node0" presStyleIdx="0" presStyleCnt="1">
        <dgm:presLayoutVars>
          <dgm:chPref val="3"/>
        </dgm:presLayoutVars>
      </dgm:prSet>
      <dgm:spPr/>
      <dgm:t>
        <a:bodyPr/>
        <a:lstStyle/>
        <a:p>
          <a:endParaRPr lang="pt-BR"/>
        </a:p>
      </dgm:t>
    </dgm:pt>
    <dgm:pt modelId="{A4EED092-1EEA-40BE-92ED-1B46A76053BC}" type="pres">
      <dgm:prSet presAssocID="{A3CE2C72-B2D8-4D08-AC7B-7C0BF559EB96}" presName="rootConnector1" presStyleLbl="node1" presStyleIdx="0" presStyleCnt="0"/>
      <dgm:spPr/>
      <dgm:t>
        <a:bodyPr/>
        <a:lstStyle/>
        <a:p>
          <a:endParaRPr lang="pt-BR"/>
        </a:p>
      </dgm:t>
    </dgm:pt>
    <dgm:pt modelId="{50983584-C770-47F0-BDF3-AD7719180504}" type="pres">
      <dgm:prSet presAssocID="{A3CE2C72-B2D8-4D08-AC7B-7C0BF559EB96}" presName="hierChild2" presStyleCnt="0"/>
      <dgm:spPr/>
    </dgm:pt>
    <dgm:pt modelId="{D7CD2BED-6CA8-4CEC-9F4A-7C40681AAE45}" type="pres">
      <dgm:prSet presAssocID="{A2A07032-8968-4165-954C-8A4320B9B4B7}" presName="Name66" presStyleLbl="parChTrans1D2" presStyleIdx="0" presStyleCnt="1"/>
      <dgm:spPr/>
      <dgm:t>
        <a:bodyPr/>
        <a:lstStyle/>
        <a:p>
          <a:endParaRPr lang="pt-BR"/>
        </a:p>
      </dgm:t>
    </dgm:pt>
    <dgm:pt modelId="{0B1BCAE5-3C7B-4168-B0FD-F771FD5F32DE}" type="pres">
      <dgm:prSet presAssocID="{FA94DC61-C9A9-4F7F-94AF-979BFE529586}" presName="hierRoot2" presStyleCnt="0">
        <dgm:presLayoutVars>
          <dgm:hierBranch val="init"/>
        </dgm:presLayoutVars>
      </dgm:prSet>
      <dgm:spPr/>
    </dgm:pt>
    <dgm:pt modelId="{D9D545EF-BE80-4B67-BEBC-310386321A11}" type="pres">
      <dgm:prSet presAssocID="{FA94DC61-C9A9-4F7F-94AF-979BFE529586}" presName="rootComposite" presStyleCnt="0"/>
      <dgm:spPr/>
    </dgm:pt>
    <dgm:pt modelId="{F658355D-4D57-41B2-9128-C874E0708ABA}" type="pres">
      <dgm:prSet presAssocID="{FA94DC61-C9A9-4F7F-94AF-979BFE529586}" presName="rootText" presStyleLbl="node2" presStyleIdx="0" presStyleCnt="1">
        <dgm:presLayoutVars>
          <dgm:chPref val="3"/>
        </dgm:presLayoutVars>
      </dgm:prSet>
      <dgm:spPr/>
      <dgm:t>
        <a:bodyPr/>
        <a:lstStyle/>
        <a:p>
          <a:endParaRPr lang="pt-BR"/>
        </a:p>
      </dgm:t>
    </dgm:pt>
    <dgm:pt modelId="{A6FB6F8D-B18E-4CF8-8809-706FFA13A816}" type="pres">
      <dgm:prSet presAssocID="{FA94DC61-C9A9-4F7F-94AF-979BFE529586}" presName="rootConnector" presStyleLbl="node2" presStyleIdx="0" presStyleCnt="1"/>
      <dgm:spPr/>
      <dgm:t>
        <a:bodyPr/>
        <a:lstStyle/>
        <a:p>
          <a:endParaRPr lang="pt-BR"/>
        </a:p>
      </dgm:t>
    </dgm:pt>
    <dgm:pt modelId="{3D294F72-262C-4D47-A7AD-B81B018B35E1}" type="pres">
      <dgm:prSet presAssocID="{FA94DC61-C9A9-4F7F-94AF-979BFE529586}" presName="hierChild4" presStyleCnt="0"/>
      <dgm:spPr/>
    </dgm:pt>
    <dgm:pt modelId="{B1B96C90-4AA1-40D0-A564-47C5FDCD0D46}" type="pres">
      <dgm:prSet presAssocID="{5BDC37A4-FE21-4C07-880B-354A59A9A3B4}" presName="Name66" presStyleLbl="parChTrans1D3" presStyleIdx="0" presStyleCnt="1"/>
      <dgm:spPr/>
      <dgm:t>
        <a:bodyPr/>
        <a:lstStyle/>
        <a:p>
          <a:endParaRPr lang="pt-BR"/>
        </a:p>
      </dgm:t>
    </dgm:pt>
    <dgm:pt modelId="{7F1CCF3A-36C7-4F13-BDA1-384EFF472901}" type="pres">
      <dgm:prSet presAssocID="{735F8F9F-A9FE-4D9E-89F5-BCF707456D71}" presName="hierRoot2" presStyleCnt="0">
        <dgm:presLayoutVars>
          <dgm:hierBranch val="init"/>
        </dgm:presLayoutVars>
      </dgm:prSet>
      <dgm:spPr/>
    </dgm:pt>
    <dgm:pt modelId="{F9735CA3-48BE-4A3B-9B06-0270AD9A7A6B}" type="pres">
      <dgm:prSet presAssocID="{735F8F9F-A9FE-4D9E-89F5-BCF707456D71}" presName="rootComposite" presStyleCnt="0"/>
      <dgm:spPr/>
    </dgm:pt>
    <dgm:pt modelId="{1533B9A4-99D2-4808-AA1C-98EF8EA75C4A}" type="pres">
      <dgm:prSet presAssocID="{735F8F9F-A9FE-4D9E-89F5-BCF707456D71}" presName="rootText" presStyleLbl="node3" presStyleIdx="0" presStyleCnt="1">
        <dgm:presLayoutVars>
          <dgm:chPref val="3"/>
        </dgm:presLayoutVars>
      </dgm:prSet>
      <dgm:spPr/>
      <dgm:t>
        <a:bodyPr/>
        <a:lstStyle/>
        <a:p>
          <a:endParaRPr lang="pt-BR"/>
        </a:p>
      </dgm:t>
    </dgm:pt>
    <dgm:pt modelId="{E27E0511-8A6F-47BD-AF3F-7EAA4A572FD9}" type="pres">
      <dgm:prSet presAssocID="{735F8F9F-A9FE-4D9E-89F5-BCF707456D71}" presName="rootConnector" presStyleLbl="node3" presStyleIdx="0" presStyleCnt="1"/>
      <dgm:spPr/>
      <dgm:t>
        <a:bodyPr/>
        <a:lstStyle/>
        <a:p>
          <a:endParaRPr lang="pt-BR"/>
        </a:p>
      </dgm:t>
    </dgm:pt>
    <dgm:pt modelId="{721F0D67-7C3B-4647-8DAA-573E6F068A7A}" type="pres">
      <dgm:prSet presAssocID="{735F8F9F-A9FE-4D9E-89F5-BCF707456D71}" presName="hierChild4" presStyleCnt="0"/>
      <dgm:spPr/>
    </dgm:pt>
    <dgm:pt modelId="{E2566E86-48C4-44C5-8613-FD4CDE5C37F7}" type="pres">
      <dgm:prSet presAssocID="{735F8F9F-A9FE-4D9E-89F5-BCF707456D71}" presName="hierChild5" presStyleCnt="0"/>
      <dgm:spPr/>
    </dgm:pt>
    <dgm:pt modelId="{E32F9DA4-F0CE-4D7F-A893-1C8263B378F8}" type="pres">
      <dgm:prSet presAssocID="{FA94DC61-C9A9-4F7F-94AF-979BFE529586}" presName="hierChild5" presStyleCnt="0"/>
      <dgm:spPr/>
    </dgm:pt>
    <dgm:pt modelId="{0CF63C3F-57E6-4EA4-BA1A-6BB2F60F8FDA}" type="pres">
      <dgm:prSet presAssocID="{A3CE2C72-B2D8-4D08-AC7B-7C0BF559EB96}" presName="hierChild3" presStyleCnt="0"/>
      <dgm:spPr/>
    </dgm:pt>
  </dgm:ptLst>
  <dgm:cxnLst>
    <dgm:cxn modelId="{D0E8FA79-8784-42B7-B388-CA266AC32EB2}" type="presOf" srcId="{A3CE2C72-B2D8-4D08-AC7B-7C0BF559EB96}" destId="{44C17BF4-55D8-46F9-A99D-6F46A1732CE4}" srcOrd="0" destOrd="0" presId="urn:microsoft.com/office/officeart/2009/3/layout/HorizontalOrganizationChart"/>
    <dgm:cxn modelId="{F71ED68A-F3E5-439D-86E4-1343BDF1887C}" type="presOf" srcId="{FA94DC61-C9A9-4F7F-94AF-979BFE529586}" destId="{A6FB6F8D-B18E-4CF8-8809-706FFA13A816}" srcOrd="1" destOrd="0" presId="urn:microsoft.com/office/officeart/2009/3/layout/HorizontalOrganizationChart"/>
    <dgm:cxn modelId="{A848B964-ADC6-4588-9BC0-8A1C38F99457}" type="presOf" srcId="{A3CE2C72-B2D8-4D08-AC7B-7C0BF559EB96}" destId="{A4EED092-1EEA-40BE-92ED-1B46A76053BC}" srcOrd="1" destOrd="0" presId="urn:microsoft.com/office/officeart/2009/3/layout/HorizontalOrganizationChart"/>
    <dgm:cxn modelId="{74542C83-63D8-4212-B867-F1C435703A1D}" srcId="{A3CE2C72-B2D8-4D08-AC7B-7C0BF559EB96}" destId="{FA94DC61-C9A9-4F7F-94AF-979BFE529586}" srcOrd="0" destOrd="0" parTransId="{A2A07032-8968-4165-954C-8A4320B9B4B7}" sibTransId="{1380727C-EAC1-49B9-BE79-DDE363C9639F}"/>
    <dgm:cxn modelId="{EF7AB2C9-F660-4770-A71F-32964B65035B}" type="presOf" srcId="{E94DEE9B-8FFF-42AB-9DEA-87F05E8D78FC}" destId="{2A26CA57-DD3F-4786-88F9-3CAF87630586}" srcOrd="0" destOrd="0" presId="urn:microsoft.com/office/officeart/2009/3/layout/HorizontalOrganizationChart"/>
    <dgm:cxn modelId="{0D7E7035-4734-48B7-B6DA-58901218FE9D}" type="presOf" srcId="{FA94DC61-C9A9-4F7F-94AF-979BFE529586}" destId="{F658355D-4D57-41B2-9128-C874E0708ABA}" srcOrd="0" destOrd="0" presId="urn:microsoft.com/office/officeart/2009/3/layout/HorizontalOrganizationChart"/>
    <dgm:cxn modelId="{399A2ED3-82A1-4FF4-8B5C-CE3E3CBE4350}" type="presOf" srcId="{735F8F9F-A9FE-4D9E-89F5-BCF707456D71}" destId="{E27E0511-8A6F-47BD-AF3F-7EAA4A572FD9}" srcOrd="1" destOrd="0" presId="urn:microsoft.com/office/officeart/2009/3/layout/HorizontalOrganizationChart"/>
    <dgm:cxn modelId="{ECEE0165-5F42-489A-8572-365CAC8E69A3}" srcId="{E94DEE9B-8FFF-42AB-9DEA-87F05E8D78FC}" destId="{A3CE2C72-B2D8-4D08-AC7B-7C0BF559EB96}" srcOrd="0" destOrd="0" parTransId="{0F472CAD-339C-42BC-AF67-7622C904D52D}" sibTransId="{565E2B7F-D52C-4F87-AC6C-0F560F17E426}"/>
    <dgm:cxn modelId="{33EBFFDA-4B13-465F-98C2-9B75AEF39DED}" type="presOf" srcId="{735F8F9F-A9FE-4D9E-89F5-BCF707456D71}" destId="{1533B9A4-99D2-4808-AA1C-98EF8EA75C4A}" srcOrd="0" destOrd="0" presId="urn:microsoft.com/office/officeart/2009/3/layout/HorizontalOrganizationChart"/>
    <dgm:cxn modelId="{C1BD4103-9C00-43BE-A5C4-93CB755CFA9E}" type="presOf" srcId="{5BDC37A4-FE21-4C07-880B-354A59A9A3B4}" destId="{B1B96C90-4AA1-40D0-A564-47C5FDCD0D46}" srcOrd="0" destOrd="0" presId="urn:microsoft.com/office/officeart/2009/3/layout/HorizontalOrganizationChart"/>
    <dgm:cxn modelId="{988132E7-63C4-4BFC-8ED3-BF69656BABDB}" srcId="{FA94DC61-C9A9-4F7F-94AF-979BFE529586}" destId="{735F8F9F-A9FE-4D9E-89F5-BCF707456D71}" srcOrd="0" destOrd="0" parTransId="{5BDC37A4-FE21-4C07-880B-354A59A9A3B4}" sibTransId="{46B1B78D-9DBB-40E1-87AC-610D61BEE015}"/>
    <dgm:cxn modelId="{980C9B3A-F479-4F0D-B3FD-2019696E4878}" type="presOf" srcId="{A2A07032-8968-4165-954C-8A4320B9B4B7}" destId="{D7CD2BED-6CA8-4CEC-9F4A-7C40681AAE45}" srcOrd="0" destOrd="0" presId="urn:microsoft.com/office/officeart/2009/3/layout/HorizontalOrganizationChart"/>
    <dgm:cxn modelId="{7AA65566-77DB-4CBE-BF8E-2C716E808B3A}" type="presParOf" srcId="{2A26CA57-DD3F-4786-88F9-3CAF87630586}" destId="{67736234-5679-40DF-9FFA-D7A4FBB60DF1}" srcOrd="0" destOrd="0" presId="urn:microsoft.com/office/officeart/2009/3/layout/HorizontalOrganizationChart"/>
    <dgm:cxn modelId="{9752D06E-3333-4ADF-9F25-989A0009CB5F}" type="presParOf" srcId="{67736234-5679-40DF-9FFA-D7A4FBB60DF1}" destId="{486E5479-7414-4797-B1BE-612793CAE0AD}" srcOrd="0" destOrd="0" presId="urn:microsoft.com/office/officeart/2009/3/layout/HorizontalOrganizationChart"/>
    <dgm:cxn modelId="{C490B17E-7206-4099-A007-26B0A0E193BC}" type="presParOf" srcId="{486E5479-7414-4797-B1BE-612793CAE0AD}" destId="{44C17BF4-55D8-46F9-A99D-6F46A1732CE4}" srcOrd="0" destOrd="0" presId="urn:microsoft.com/office/officeart/2009/3/layout/HorizontalOrganizationChart"/>
    <dgm:cxn modelId="{7756E0DC-C0B4-478A-B928-E8A4DC658777}" type="presParOf" srcId="{486E5479-7414-4797-B1BE-612793CAE0AD}" destId="{A4EED092-1EEA-40BE-92ED-1B46A76053BC}" srcOrd="1" destOrd="0" presId="urn:microsoft.com/office/officeart/2009/3/layout/HorizontalOrganizationChart"/>
    <dgm:cxn modelId="{87ADD1CE-23EC-4321-86E2-B1291178EE22}" type="presParOf" srcId="{67736234-5679-40DF-9FFA-D7A4FBB60DF1}" destId="{50983584-C770-47F0-BDF3-AD7719180504}" srcOrd="1" destOrd="0" presId="urn:microsoft.com/office/officeart/2009/3/layout/HorizontalOrganizationChart"/>
    <dgm:cxn modelId="{E417BDF8-ED0A-4496-8B20-0634519278CE}" type="presParOf" srcId="{50983584-C770-47F0-BDF3-AD7719180504}" destId="{D7CD2BED-6CA8-4CEC-9F4A-7C40681AAE45}" srcOrd="0" destOrd="0" presId="urn:microsoft.com/office/officeart/2009/3/layout/HorizontalOrganizationChart"/>
    <dgm:cxn modelId="{51D6183D-1702-4448-8743-BAD4E28E18D2}" type="presParOf" srcId="{50983584-C770-47F0-BDF3-AD7719180504}" destId="{0B1BCAE5-3C7B-4168-B0FD-F771FD5F32DE}" srcOrd="1" destOrd="0" presId="urn:microsoft.com/office/officeart/2009/3/layout/HorizontalOrganizationChart"/>
    <dgm:cxn modelId="{114363AB-029D-4A90-ADBD-EB8C0A1F0860}" type="presParOf" srcId="{0B1BCAE5-3C7B-4168-B0FD-F771FD5F32DE}" destId="{D9D545EF-BE80-4B67-BEBC-310386321A11}" srcOrd="0" destOrd="0" presId="urn:microsoft.com/office/officeart/2009/3/layout/HorizontalOrganizationChart"/>
    <dgm:cxn modelId="{6A137AF5-B151-43BE-9051-9D776F44D438}" type="presParOf" srcId="{D9D545EF-BE80-4B67-BEBC-310386321A11}" destId="{F658355D-4D57-41B2-9128-C874E0708ABA}" srcOrd="0" destOrd="0" presId="urn:microsoft.com/office/officeart/2009/3/layout/HorizontalOrganizationChart"/>
    <dgm:cxn modelId="{8C057767-6CA8-40CF-96C2-BFB11AA3E50E}" type="presParOf" srcId="{D9D545EF-BE80-4B67-BEBC-310386321A11}" destId="{A6FB6F8D-B18E-4CF8-8809-706FFA13A816}" srcOrd="1" destOrd="0" presId="urn:microsoft.com/office/officeart/2009/3/layout/HorizontalOrganizationChart"/>
    <dgm:cxn modelId="{F48CB325-35C8-4203-8B98-D9D7515EB569}" type="presParOf" srcId="{0B1BCAE5-3C7B-4168-B0FD-F771FD5F32DE}" destId="{3D294F72-262C-4D47-A7AD-B81B018B35E1}" srcOrd="1" destOrd="0" presId="urn:microsoft.com/office/officeart/2009/3/layout/HorizontalOrganizationChart"/>
    <dgm:cxn modelId="{154E49E0-DEBC-45AE-8BD1-A6BC21593764}" type="presParOf" srcId="{3D294F72-262C-4D47-A7AD-B81B018B35E1}" destId="{B1B96C90-4AA1-40D0-A564-47C5FDCD0D46}" srcOrd="0" destOrd="0" presId="urn:microsoft.com/office/officeart/2009/3/layout/HorizontalOrganizationChart"/>
    <dgm:cxn modelId="{B7468E32-635D-4A87-B986-D83B97F14B35}" type="presParOf" srcId="{3D294F72-262C-4D47-A7AD-B81B018B35E1}" destId="{7F1CCF3A-36C7-4F13-BDA1-384EFF472901}" srcOrd="1" destOrd="0" presId="urn:microsoft.com/office/officeart/2009/3/layout/HorizontalOrganizationChart"/>
    <dgm:cxn modelId="{3301FE65-5A5C-423C-BF83-CBD4B2E22A29}" type="presParOf" srcId="{7F1CCF3A-36C7-4F13-BDA1-384EFF472901}" destId="{F9735CA3-48BE-4A3B-9B06-0270AD9A7A6B}" srcOrd="0" destOrd="0" presId="urn:microsoft.com/office/officeart/2009/3/layout/HorizontalOrganizationChart"/>
    <dgm:cxn modelId="{142F21D5-4DDE-4C1D-89E3-D2FD6B6D8233}" type="presParOf" srcId="{F9735CA3-48BE-4A3B-9B06-0270AD9A7A6B}" destId="{1533B9A4-99D2-4808-AA1C-98EF8EA75C4A}" srcOrd="0" destOrd="0" presId="urn:microsoft.com/office/officeart/2009/3/layout/HorizontalOrganizationChart"/>
    <dgm:cxn modelId="{8220888F-001C-4541-87EC-C86B45361E00}" type="presParOf" srcId="{F9735CA3-48BE-4A3B-9B06-0270AD9A7A6B}" destId="{E27E0511-8A6F-47BD-AF3F-7EAA4A572FD9}" srcOrd="1" destOrd="0" presId="urn:microsoft.com/office/officeart/2009/3/layout/HorizontalOrganizationChart"/>
    <dgm:cxn modelId="{6CD89433-4DEE-4A3C-829F-93C5BF8D2F3D}" type="presParOf" srcId="{7F1CCF3A-36C7-4F13-BDA1-384EFF472901}" destId="{721F0D67-7C3B-4647-8DAA-573E6F068A7A}" srcOrd="1" destOrd="0" presId="urn:microsoft.com/office/officeart/2009/3/layout/HorizontalOrganizationChart"/>
    <dgm:cxn modelId="{C26C1ADD-94E5-42F9-8AC9-E25305F908FA}" type="presParOf" srcId="{7F1CCF3A-36C7-4F13-BDA1-384EFF472901}" destId="{E2566E86-48C4-44C5-8613-FD4CDE5C37F7}" srcOrd="2" destOrd="0" presId="urn:microsoft.com/office/officeart/2009/3/layout/HorizontalOrganizationChart"/>
    <dgm:cxn modelId="{D8E30D24-442A-43F6-BF8E-96A489287C6C}" type="presParOf" srcId="{0B1BCAE5-3C7B-4168-B0FD-F771FD5F32DE}" destId="{E32F9DA4-F0CE-4D7F-A893-1C8263B378F8}" srcOrd="2" destOrd="0" presId="urn:microsoft.com/office/officeart/2009/3/layout/HorizontalOrganizationChart"/>
    <dgm:cxn modelId="{0DE76B34-4CAE-4618-9A5D-D12FCCC25D21}" type="presParOf" srcId="{67736234-5679-40DF-9FFA-D7A4FBB60DF1}" destId="{0CF63C3F-57E6-4EA4-BA1A-6BB2F60F8FDA}" srcOrd="2" destOrd="0" presId="urn:microsoft.com/office/officeart/2009/3/layout/HorizontalOrganizationChar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B96C90-4AA1-40D0-A564-47C5FDCD0D46}">
      <dsp:nvSpPr>
        <dsp:cNvPr id="0" name=""/>
        <dsp:cNvSpPr/>
      </dsp:nvSpPr>
      <dsp:spPr>
        <a:xfrm>
          <a:off x="909499"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D2BED-6CA8-4CEC-9F4A-7C40681AAE45}">
      <dsp:nvSpPr>
        <dsp:cNvPr id="0" name=""/>
        <dsp:cNvSpPr/>
      </dsp:nvSpPr>
      <dsp:spPr>
        <a:xfrm>
          <a:off x="1995586" y="92392"/>
          <a:ext cx="181014" cy="91440"/>
        </a:xfrm>
        <a:custGeom>
          <a:avLst/>
          <a:gdLst/>
          <a:ahLst/>
          <a:cxnLst/>
          <a:rect l="0" t="0" r="0" b="0"/>
          <a:pathLst>
            <a:path>
              <a:moveTo>
                <a:pt x="181014" y="45720"/>
              </a:moveTo>
              <a:lnTo>
                <a:pt x="0"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4C17BF4-55D8-46F9-A99D-6F46A1732CE4}">
      <dsp:nvSpPr>
        <dsp:cNvPr id="0" name=""/>
        <dsp:cNvSpPr/>
      </dsp:nvSpPr>
      <dsp:spPr>
        <a:xfrm>
          <a:off x="2176600"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III. Financeiro</a:t>
          </a:r>
        </a:p>
      </dsp:txBody>
      <dsp:txXfrm>
        <a:off x="2176600" y="88"/>
        <a:ext cx="905072" cy="276047"/>
      </dsp:txXfrm>
    </dsp:sp>
    <dsp:sp modelId="{F658355D-4D57-41B2-9128-C874E0708ABA}">
      <dsp:nvSpPr>
        <dsp:cNvPr id="0" name=""/>
        <dsp:cNvSpPr/>
      </dsp:nvSpPr>
      <dsp:spPr>
        <a:xfrm>
          <a:off x="1090513"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II. Orçamentário</a:t>
          </a:r>
        </a:p>
      </dsp:txBody>
      <dsp:txXfrm>
        <a:off x="1090513" y="88"/>
        <a:ext cx="905072" cy="276047"/>
      </dsp:txXfrm>
    </dsp:sp>
    <dsp:sp modelId="{1533B9A4-99D2-4808-AA1C-98EF8EA75C4A}">
      <dsp:nvSpPr>
        <dsp:cNvPr id="0" name=""/>
        <dsp:cNvSpPr/>
      </dsp:nvSpPr>
      <dsp:spPr>
        <a:xfrm>
          <a:off x="4426" y="88"/>
          <a:ext cx="905072" cy="276047"/>
        </a:xfrm>
        <a:prstGeom prst="rect">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pt-BR" sz="1000" b="1" kern="1200">
              <a:solidFill>
                <a:schemeClr val="accent6">
                  <a:lumMod val="75000"/>
                </a:schemeClr>
              </a:solidFill>
            </a:rPr>
            <a:t>I. Patrimonial</a:t>
          </a:r>
        </a:p>
      </dsp:txBody>
      <dsp:txXfrm>
        <a:off x="4426" y="88"/>
        <a:ext cx="905072" cy="27604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B5B8-8FCC-4162-A535-E8816361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28</Pages>
  <Words>6257</Words>
  <Characters>33790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Maicon Goulart Morales</dc:creator>
  <cp:keywords/>
  <dc:description/>
  <cp:lastModifiedBy>..</cp:lastModifiedBy>
  <cp:revision>12</cp:revision>
  <dcterms:created xsi:type="dcterms:W3CDTF">2019-04-30T11:37:00Z</dcterms:created>
  <dcterms:modified xsi:type="dcterms:W3CDTF">2019-04-30T19:26:00Z</dcterms:modified>
</cp:coreProperties>
</file>