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09" w:rsidRPr="007529F5" w:rsidRDefault="00C95F09" w:rsidP="00C95F09">
      <w:pPr>
        <w:rPr>
          <w:sz w:val="22"/>
        </w:rPr>
      </w:pPr>
    </w:p>
    <w:p w:rsidR="00C95F09" w:rsidRPr="007529F5" w:rsidRDefault="00C95F09" w:rsidP="00C95F09">
      <w:pPr>
        <w:rPr>
          <w:sz w:val="22"/>
        </w:rPr>
      </w:pPr>
    </w:p>
    <w:p w:rsidR="00C95F09" w:rsidRPr="007529F5" w:rsidRDefault="00C95F09" w:rsidP="00C95F09">
      <w:pPr>
        <w:rPr>
          <w:sz w:val="22"/>
        </w:rPr>
      </w:pPr>
    </w:p>
    <w:p w:rsidR="00C95F09" w:rsidRPr="007529F5" w:rsidRDefault="00C95F09" w:rsidP="00C95F09">
      <w:pPr>
        <w:rPr>
          <w:sz w:val="22"/>
        </w:rPr>
      </w:pPr>
    </w:p>
    <w:p w:rsidR="00C95F09" w:rsidRPr="007529F5" w:rsidRDefault="00C95F09" w:rsidP="00C95F09">
      <w:pPr>
        <w:rPr>
          <w:sz w:val="22"/>
        </w:rPr>
      </w:pPr>
    </w:p>
    <w:p w:rsidR="00C95F09" w:rsidRPr="007529F5" w:rsidRDefault="00C95F09" w:rsidP="00C95F09">
      <w:pPr>
        <w:rPr>
          <w:sz w:val="22"/>
        </w:rPr>
      </w:pPr>
    </w:p>
    <w:p w:rsidR="00C95F09" w:rsidRPr="007529F5" w:rsidRDefault="00C95F09" w:rsidP="00C95F09">
      <w:pPr>
        <w:rPr>
          <w:sz w:val="22"/>
        </w:rPr>
      </w:pPr>
    </w:p>
    <w:p w:rsidR="00C95F09" w:rsidRPr="007529F5" w:rsidRDefault="00C95F09" w:rsidP="00C95F09">
      <w:pPr>
        <w:rPr>
          <w:sz w:val="22"/>
        </w:rPr>
      </w:pPr>
    </w:p>
    <w:p w:rsidR="00C95F09" w:rsidRPr="007529F5" w:rsidRDefault="00C95F09" w:rsidP="00C95F09">
      <w:pPr>
        <w:rPr>
          <w:sz w:val="22"/>
        </w:rPr>
      </w:pPr>
    </w:p>
    <w:p w:rsidR="00C95F09" w:rsidRPr="007529F5" w:rsidRDefault="00C95F09" w:rsidP="00C95F09">
      <w:pPr>
        <w:rPr>
          <w:sz w:val="22"/>
        </w:rPr>
      </w:pPr>
    </w:p>
    <w:p w:rsidR="00C95F09" w:rsidRPr="007529F5" w:rsidRDefault="00C95F09" w:rsidP="00C0069E">
      <w:pPr>
        <w:tabs>
          <w:tab w:val="left" w:pos="5160"/>
        </w:tabs>
        <w:rPr>
          <w:sz w:val="22"/>
        </w:rPr>
      </w:pPr>
    </w:p>
    <w:p w:rsidR="00C95F09" w:rsidRDefault="00C95F09" w:rsidP="00C95F09">
      <w:pPr>
        <w:rPr>
          <w:sz w:val="28"/>
          <w:szCs w:val="28"/>
        </w:rPr>
      </w:pPr>
    </w:p>
    <w:p w:rsidR="00792DEC" w:rsidRDefault="00792DEC" w:rsidP="00C95F09">
      <w:pPr>
        <w:rPr>
          <w:sz w:val="28"/>
          <w:szCs w:val="28"/>
        </w:rPr>
      </w:pPr>
    </w:p>
    <w:p w:rsidR="00792DEC" w:rsidRPr="007529F5" w:rsidRDefault="00792DEC" w:rsidP="00C95F09">
      <w:pPr>
        <w:rPr>
          <w:sz w:val="28"/>
          <w:szCs w:val="28"/>
        </w:rPr>
      </w:pPr>
    </w:p>
    <w:p w:rsidR="00A94625" w:rsidRPr="007529F5" w:rsidRDefault="00A94625" w:rsidP="00A94625">
      <w:pPr>
        <w:jc w:val="center"/>
        <w:rPr>
          <w:b/>
          <w:sz w:val="28"/>
          <w:szCs w:val="28"/>
        </w:rPr>
      </w:pPr>
      <w:r w:rsidRPr="007529F5">
        <w:rPr>
          <w:b/>
          <w:sz w:val="28"/>
          <w:szCs w:val="28"/>
        </w:rPr>
        <w:t>MEMORIAL DESCRITIVO – ENTRADA DE ENERGIA CAMPUS VERANÓPOLIS</w:t>
      </w:r>
    </w:p>
    <w:p w:rsidR="00A94625" w:rsidRPr="007529F5" w:rsidRDefault="00A94625" w:rsidP="00A94625">
      <w:pPr>
        <w:jc w:val="center"/>
        <w:rPr>
          <w:b/>
          <w:sz w:val="28"/>
          <w:szCs w:val="28"/>
        </w:rPr>
      </w:pPr>
    </w:p>
    <w:p w:rsidR="00A94625" w:rsidRPr="007529F5" w:rsidRDefault="00A94625" w:rsidP="00A94625">
      <w:pPr>
        <w:jc w:val="center"/>
        <w:rPr>
          <w:b/>
          <w:sz w:val="22"/>
        </w:rPr>
      </w:pPr>
    </w:p>
    <w:p w:rsidR="00610472" w:rsidRPr="007529F5" w:rsidRDefault="00610472" w:rsidP="00610472">
      <w:pPr>
        <w:rPr>
          <w:sz w:val="22"/>
        </w:rPr>
      </w:pPr>
    </w:p>
    <w:p w:rsidR="00C95F09" w:rsidRPr="007529F5" w:rsidRDefault="00C95F09" w:rsidP="00610472">
      <w:pPr>
        <w:rPr>
          <w:sz w:val="22"/>
        </w:rPr>
      </w:pPr>
    </w:p>
    <w:p w:rsidR="00C95F09" w:rsidRPr="007529F5" w:rsidRDefault="00C95F09" w:rsidP="00610472">
      <w:pPr>
        <w:rPr>
          <w:sz w:val="22"/>
        </w:rPr>
      </w:pPr>
    </w:p>
    <w:p w:rsidR="00C95F09" w:rsidRPr="007529F5" w:rsidRDefault="00C95F09" w:rsidP="00610472">
      <w:pPr>
        <w:rPr>
          <w:sz w:val="22"/>
        </w:rPr>
      </w:pPr>
    </w:p>
    <w:p w:rsidR="00C95F09" w:rsidRPr="007529F5" w:rsidRDefault="00C95F09" w:rsidP="00610472">
      <w:pPr>
        <w:rPr>
          <w:sz w:val="22"/>
        </w:rPr>
      </w:pPr>
    </w:p>
    <w:p w:rsidR="00C95F09" w:rsidRPr="007529F5" w:rsidRDefault="00C95F09" w:rsidP="00610472">
      <w:pPr>
        <w:rPr>
          <w:sz w:val="22"/>
        </w:rPr>
      </w:pPr>
    </w:p>
    <w:p w:rsidR="00C95F09" w:rsidRPr="007529F5" w:rsidRDefault="00C95F09" w:rsidP="00610472">
      <w:pPr>
        <w:rPr>
          <w:sz w:val="22"/>
        </w:rPr>
      </w:pPr>
    </w:p>
    <w:p w:rsidR="001400F2" w:rsidRPr="007529F5" w:rsidRDefault="001400F2" w:rsidP="00610472">
      <w:pPr>
        <w:rPr>
          <w:sz w:val="22"/>
        </w:rPr>
        <w:sectPr w:rsidR="001400F2" w:rsidRPr="007529F5" w:rsidSect="00D34C6A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sdt>
      <w:sdtPr>
        <w:rPr>
          <w:rFonts w:ascii="Arial" w:eastAsiaTheme="minorHAnsi" w:hAnsi="Arial" w:cstheme="minorBidi"/>
          <w:b/>
          <w:color w:val="auto"/>
          <w:sz w:val="21"/>
          <w:szCs w:val="21"/>
          <w:lang w:eastAsia="en-US"/>
        </w:rPr>
        <w:id w:val="-1298139979"/>
        <w:docPartObj>
          <w:docPartGallery w:val="Table of Contents"/>
          <w:docPartUnique/>
        </w:docPartObj>
      </w:sdtPr>
      <w:sdtEndPr>
        <w:rPr>
          <w:bCs/>
          <w:sz w:val="22"/>
          <w:szCs w:val="22"/>
        </w:rPr>
      </w:sdtEndPr>
      <w:sdtContent>
        <w:p w:rsidR="00C95F09" w:rsidRPr="002E03E7" w:rsidRDefault="00C95F09" w:rsidP="00403450">
          <w:pPr>
            <w:pStyle w:val="CabealhodoSumrio"/>
            <w:tabs>
              <w:tab w:val="left" w:pos="993"/>
            </w:tabs>
            <w:jc w:val="center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2E03E7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Sumário</w:t>
          </w:r>
        </w:p>
        <w:p w:rsidR="00C95F09" w:rsidRPr="002E03E7" w:rsidRDefault="00C95F09" w:rsidP="00656449">
          <w:pPr>
            <w:tabs>
              <w:tab w:val="left" w:pos="993"/>
            </w:tabs>
            <w:rPr>
              <w:b/>
              <w:sz w:val="22"/>
              <w:lang w:eastAsia="pt-BR"/>
            </w:rPr>
          </w:pPr>
        </w:p>
        <w:p w:rsidR="002E03E7" w:rsidRPr="002E03E7" w:rsidRDefault="00C95F09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r w:rsidRPr="002E03E7">
            <w:rPr>
              <w:b/>
              <w:bCs/>
              <w:sz w:val="22"/>
            </w:rPr>
            <w:fldChar w:fldCharType="begin"/>
          </w:r>
          <w:r w:rsidRPr="002E03E7">
            <w:rPr>
              <w:b/>
              <w:bCs/>
              <w:sz w:val="22"/>
            </w:rPr>
            <w:instrText xml:space="preserve"> TOC \o "1-3" \h \z \u </w:instrText>
          </w:r>
          <w:r w:rsidRPr="002E03E7">
            <w:rPr>
              <w:b/>
              <w:bCs/>
              <w:sz w:val="22"/>
            </w:rPr>
            <w:fldChar w:fldCharType="separate"/>
          </w:r>
          <w:hyperlink w:anchor="_Toc6907443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1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OBJETIVO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_Toc6907443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3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44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2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NORMAS APLICÁVEIS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_Toc6907444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4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45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3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PROJETO DA ENTRADA DE ENERGIA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_Toc6907445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6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46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3.1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Ramal de Ligação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_Toc6907446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6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47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3.2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Suprimento de Energia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_Toc6907447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6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48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3.3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Ramal de Entrada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_Toc6907448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6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49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3.4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Ramal de Baixa Tensão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_Toc6907449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8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50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3.5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Medição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_Toc6907450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9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51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3.6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Quadros de Medição e Proteção Geral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_Toc6907451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9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52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3.7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Mureta em Alvenaria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_Toc6907452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10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53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3.8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Transformador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_Toc6907453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11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54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3.9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Determinação da Corrente de Curto-Circuito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_Toc6907454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12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55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3.10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Proteção Geral em Baixa Tensão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_Toc6907455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13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56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3.11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Sistema de Aterramento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_Toc6907456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14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57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3.12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Cálculo da Demanda Total da Instalação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_Toc6907457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15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58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3.12.1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Cálculo da Demanda a Instalar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_Toc6907458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15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59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3.12.2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Compatibilização da carga instalada com previsões mínimas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_Toc6907459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16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60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3.12.3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Cálculo da Demanda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_Toc6907460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16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2E03E7" w:rsidRPr="002E03E7" w:rsidRDefault="000B6E95">
          <w:pPr>
            <w:pStyle w:val="Sumrio1"/>
            <w:rPr>
              <w:rFonts w:asciiTheme="minorHAnsi" w:eastAsiaTheme="minorEastAsia" w:hAnsiTheme="minorHAnsi"/>
              <w:b/>
              <w:noProof/>
              <w:sz w:val="22"/>
              <w:lang w:eastAsia="pt-BR"/>
            </w:rPr>
          </w:pPr>
          <w:hyperlink w:anchor="_Toc6907461" w:history="1">
            <w:r w:rsidR="002E03E7" w:rsidRPr="002E03E7">
              <w:rPr>
                <w:rStyle w:val="Hyperlink"/>
                <w:b/>
                <w:noProof/>
                <w:sz w:val="22"/>
              </w:rPr>
              <w:t xml:space="preserve">4 </w:t>
            </w:r>
            <w:r w:rsidR="002E03E7">
              <w:rPr>
                <w:rStyle w:val="Hyperlink"/>
                <w:b/>
                <w:noProof/>
                <w:sz w:val="22"/>
              </w:rPr>
              <w:tab/>
            </w:r>
            <w:r w:rsidR="002E03E7" w:rsidRPr="002E03E7">
              <w:rPr>
                <w:rStyle w:val="Hyperlink"/>
                <w:b/>
                <w:noProof/>
                <w:sz w:val="22"/>
              </w:rPr>
              <w:t>CONSIDERAÇÕES FINAIS</w:t>
            </w:r>
            <w:r w:rsidR="002E03E7" w:rsidRPr="002E03E7">
              <w:rPr>
                <w:b/>
                <w:noProof/>
                <w:webHidden/>
                <w:sz w:val="22"/>
              </w:rPr>
              <w:tab/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begin"/>
            </w:r>
            <w:r w:rsidR="002E03E7" w:rsidRPr="002E03E7">
              <w:rPr>
                <w:b/>
                <w:noProof/>
                <w:webHidden/>
                <w:sz w:val="22"/>
              </w:rPr>
              <w:instrText xml:space="preserve"> PAGEREF _Toc6907461 \h </w:instrText>
            </w:r>
            <w:r w:rsidR="002E03E7" w:rsidRPr="002E03E7">
              <w:rPr>
                <w:b/>
                <w:noProof/>
                <w:webHidden/>
                <w:sz w:val="22"/>
              </w:rPr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separate"/>
            </w:r>
            <w:r w:rsidR="005142B9">
              <w:rPr>
                <w:b/>
                <w:noProof/>
                <w:webHidden/>
                <w:sz w:val="22"/>
              </w:rPr>
              <w:t>18</w:t>
            </w:r>
            <w:r w:rsidR="002E03E7" w:rsidRPr="002E03E7">
              <w:rPr>
                <w:b/>
                <w:noProof/>
                <w:webHidden/>
                <w:sz w:val="22"/>
              </w:rPr>
              <w:fldChar w:fldCharType="end"/>
            </w:r>
          </w:hyperlink>
        </w:p>
        <w:p w:rsidR="007529F5" w:rsidRPr="00013547" w:rsidRDefault="00C95F09" w:rsidP="007529F5">
          <w:pPr>
            <w:rPr>
              <w:b/>
              <w:bCs/>
              <w:sz w:val="22"/>
            </w:rPr>
          </w:pPr>
          <w:r w:rsidRPr="002E03E7">
            <w:rPr>
              <w:b/>
              <w:bCs/>
              <w:sz w:val="22"/>
            </w:rPr>
            <w:fldChar w:fldCharType="end"/>
          </w:r>
        </w:p>
      </w:sdtContent>
    </w:sdt>
    <w:p w:rsidR="00013547" w:rsidRDefault="00013547" w:rsidP="00A94625">
      <w:pPr>
        <w:pStyle w:val="Ttulo1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13547" w:rsidRDefault="00013547" w:rsidP="00A94625">
      <w:pPr>
        <w:pStyle w:val="Ttulo1"/>
        <w:rPr>
          <w:sz w:val="22"/>
          <w:szCs w:val="22"/>
        </w:rPr>
      </w:pPr>
    </w:p>
    <w:p w:rsidR="00A94625" w:rsidRPr="007529F5" w:rsidRDefault="008F70A6" w:rsidP="00A94625">
      <w:pPr>
        <w:pStyle w:val="Ttulo1"/>
        <w:rPr>
          <w:sz w:val="22"/>
          <w:szCs w:val="22"/>
        </w:rPr>
      </w:pPr>
      <w:bookmarkStart w:id="0" w:name="_Toc6907443"/>
      <w:r>
        <w:rPr>
          <w:sz w:val="22"/>
          <w:szCs w:val="22"/>
        </w:rPr>
        <w:t>1</w:t>
      </w:r>
      <w:r w:rsidR="00A94625" w:rsidRPr="007529F5">
        <w:rPr>
          <w:sz w:val="22"/>
          <w:szCs w:val="22"/>
        </w:rPr>
        <w:t xml:space="preserve"> OBJETIVO</w:t>
      </w:r>
      <w:bookmarkEnd w:id="0"/>
    </w:p>
    <w:p w:rsidR="007C01DD" w:rsidRPr="007529F5" w:rsidRDefault="00193C5F" w:rsidP="00193C5F">
      <w:pPr>
        <w:rPr>
          <w:sz w:val="22"/>
        </w:rPr>
      </w:pPr>
      <w:r w:rsidRPr="007529F5">
        <w:rPr>
          <w:sz w:val="22"/>
        </w:rPr>
        <w:tab/>
        <w:t xml:space="preserve">O presente memorial descritivo </w:t>
      </w:r>
      <w:r w:rsidR="007C01DD" w:rsidRPr="007529F5">
        <w:rPr>
          <w:sz w:val="22"/>
        </w:rPr>
        <w:t xml:space="preserve">tem por objetivo orientar a execução das instalações elétricas e civis, prestar esclarecimentos, fornecer dados complementares e especificações técnicas ao projeto, necessárias a consecução da entrada de energia em </w:t>
      </w:r>
      <w:r w:rsidR="003313D4">
        <w:rPr>
          <w:sz w:val="22"/>
        </w:rPr>
        <w:t>baixa tensão (B</w:t>
      </w:r>
      <w:r w:rsidR="007C01DD" w:rsidRPr="007529F5">
        <w:rPr>
          <w:sz w:val="22"/>
        </w:rPr>
        <w:t>T) da edificaçã</w:t>
      </w:r>
      <w:r w:rsidR="00B913BA">
        <w:rPr>
          <w:sz w:val="22"/>
        </w:rPr>
        <w:t>o do Campus Veranópolis do IFRS, identificada pela UC:</w:t>
      </w:r>
      <w:r w:rsidR="00B913BA" w:rsidRPr="00B913BA">
        <w:rPr>
          <w:rFonts w:cs="Arial"/>
          <w:color w:val="000000" w:themeColor="text1"/>
          <w:sz w:val="20"/>
          <w:szCs w:val="20"/>
        </w:rPr>
        <w:t xml:space="preserve"> </w:t>
      </w:r>
      <w:r w:rsidR="00B913BA" w:rsidRPr="00B913BA">
        <w:rPr>
          <w:rFonts w:cs="Arial"/>
          <w:color w:val="000000" w:themeColor="text1"/>
          <w:sz w:val="22"/>
        </w:rPr>
        <w:t>3081748167</w:t>
      </w:r>
      <w:r w:rsidR="00674F3F">
        <w:rPr>
          <w:rFonts w:cs="Arial"/>
          <w:color w:val="000000" w:themeColor="text1"/>
          <w:sz w:val="22"/>
        </w:rPr>
        <w:t xml:space="preserve">, localizada no seguinte endereço: </w:t>
      </w:r>
      <w:r w:rsidR="00674F3F" w:rsidRPr="007529F5">
        <w:rPr>
          <w:sz w:val="22"/>
        </w:rPr>
        <w:t>BR-470, Km 172, nº 6500, bairro Sapopema, Veranópolis – RS, CEP: 95330-000.</w:t>
      </w:r>
    </w:p>
    <w:p w:rsidR="00193C5F" w:rsidRPr="007529F5" w:rsidRDefault="007C01DD" w:rsidP="00193C5F">
      <w:pPr>
        <w:rPr>
          <w:sz w:val="22"/>
        </w:rPr>
      </w:pPr>
      <w:r w:rsidRPr="007529F5">
        <w:rPr>
          <w:sz w:val="22"/>
        </w:rPr>
        <w:tab/>
        <w:t xml:space="preserve">O memorial descritivo </w:t>
      </w:r>
      <w:r w:rsidR="00193C5F" w:rsidRPr="007529F5">
        <w:rPr>
          <w:sz w:val="22"/>
        </w:rPr>
        <w:t>refere-se ao projeto de aumento de carga e modificação da entrada de energia das i</w:t>
      </w:r>
      <w:r w:rsidR="004B197C">
        <w:rPr>
          <w:sz w:val="22"/>
        </w:rPr>
        <w:t>nstalações elétricas,</w:t>
      </w:r>
      <w:r w:rsidR="00193C5F" w:rsidRPr="007529F5">
        <w:rPr>
          <w:sz w:val="22"/>
        </w:rPr>
        <w:t xml:space="preserve"> alimentadas por rede de distribuição em tensão secundária (380/220V) – portanto NÃO HÁ SUBE</w:t>
      </w:r>
      <w:r w:rsidR="003313D4">
        <w:rPr>
          <w:sz w:val="22"/>
        </w:rPr>
        <w:t>STAÇÃO TRANSFORMADA INSTALADA.</w:t>
      </w:r>
    </w:p>
    <w:p w:rsidR="00193C5F" w:rsidRPr="007529F5" w:rsidRDefault="00A251C5" w:rsidP="007529F5">
      <w:pPr>
        <w:rPr>
          <w:sz w:val="22"/>
        </w:rPr>
      </w:pPr>
      <w:r w:rsidRPr="007529F5">
        <w:rPr>
          <w:sz w:val="22"/>
        </w:rPr>
        <w:tab/>
        <w:t>Será instalada uma subestação particular com pot</w:t>
      </w:r>
      <w:r w:rsidR="00C4764B" w:rsidRPr="007529F5">
        <w:rPr>
          <w:sz w:val="22"/>
        </w:rPr>
        <w:t>ência</w:t>
      </w:r>
      <w:r w:rsidR="00F15B62" w:rsidRPr="007529F5">
        <w:rPr>
          <w:sz w:val="22"/>
        </w:rPr>
        <w:t xml:space="preserve"> de</w:t>
      </w:r>
      <w:r w:rsidR="00C4764B" w:rsidRPr="007529F5">
        <w:rPr>
          <w:sz w:val="22"/>
        </w:rPr>
        <w:t xml:space="preserve"> 112,5 kVA</w:t>
      </w:r>
      <w:r w:rsidRPr="007529F5">
        <w:rPr>
          <w:sz w:val="22"/>
        </w:rPr>
        <w:t xml:space="preserve">, montagem </w:t>
      </w:r>
      <w:r w:rsidR="00C4764B" w:rsidRPr="007529F5">
        <w:rPr>
          <w:sz w:val="22"/>
        </w:rPr>
        <w:t xml:space="preserve">de </w:t>
      </w:r>
      <w:r w:rsidRPr="007529F5">
        <w:rPr>
          <w:sz w:val="22"/>
        </w:rPr>
        <w:t>transformador em pos</w:t>
      </w:r>
      <w:r w:rsidR="004B197C">
        <w:rPr>
          <w:sz w:val="22"/>
        </w:rPr>
        <w:t xml:space="preserve">te, com </w:t>
      </w:r>
      <w:r w:rsidRPr="007529F5">
        <w:rPr>
          <w:sz w:val="22"/>
        </w:rPr>
        <w:t>medição</w:t>
      </w:r>
      <w:r w:rsidR="001A6563" w:rsidRPr="007529F5">
        <w:rPr>
          <w:sz w:val="22"/>
        </w:rPr>
        <w:t xml:space="preserve"> e proteção geral na baixa tensão (BT)</w:t>
      </w:r>
      <w:r w:rsidR="002C68AC">
        <w:rPr>
          <w:sz w:val="22"/>
        </w:rPr>
        <w:t xml:space="preserve"> montada em mureta de </w:t>
      </w:r>
      <w:r w:rsidRPr="007529F5">
        <w:rPr>
          <w:sz w:val="22"/>
        </w:rPr>
        <w:t>alvenaria</w:t>
      </w:r>
      <w:r w:rsidR="001A6563" w:rsidRPr="007529F5">
        <w:rPr>
          <w:sz w:val="22"/>
        </w:rPr>
        <w:t>,</w:t>
      </w:r>
      <w:r w:rsidRPr="007529F5">
        <w:rPr>
          <w:sz w:val="22"/>
        </w:rPr>
        <w:t xml:space="preserve"> com medição </w:t>
      </w:r>
      <w:r w:rsidR="00C4764B" w:rsidRPr="007529F5">
        <w:rPr>
          <w:sz w:val="22"/>
        </w:rPr>
        <w:t>convencional</w:t>
      </w:r>
      <w:r w:rsidRPr="007529F5">
        <w:rPr>
          <w:sz w:val="22"/>
        </w:rPr>
        <w:t xml:space="preserve"> indireta em Baixa tensão</w:t>
      </w:r>
      <w:r w:rsidR="00481BAE" w:rsidRPr="007529F5">
        <w:rPr>
          <w:sz w:val="22"/>
        </w:rPr>
        <w:t xml:space="preserve"> (BT)</w:t>
      </w:r>
      <w:r w:rsidRPr="007529F5">
        <w:rPr>
          <w:sz w:val="22"/>
        </w:rPr>
        <w:t>.</w:t>
      </w:r>
    </w:p>
    <w:p w:rsidR="00120A8C" w:rsidRPr="007529F5" w:rsidRDefault="00120A8C" w:rsidP="00120A8C">
      <w:pPr>
        <w:ind w:left="708"/>
        <w:rPr>
          <w:sz w:val="22"/>
        </w:rPr>
      </w:pPr>
      <w:r w:rsidRPr="007529F5">
        <w:rPr>
          <w:sz w:val="22"/>
        </w:rPr>
        <w:t>Fazem parte deste projeto, ainda, os seguintes itens:</w:t>
      </w:r>
    </w:p>
    <w:p w:rsidR="00120A8C" w:rsidRPr="007529F5" w:rsidRDefault="00BC624B" w:rsidP="00120A8C">
      <w:pPr>
        <w:pStyle w:val="PargrafodaLista"/>
        <w:numPr>
          <w:ilvl w:val="0"/>
          <w:numId w:val="12"/>
        </w:numPr>
        <w:rPr>
          <w:sz w:val="22"/>
        </w:rPr>
      </w:pPr>
      <w:r w:rsidRPr="007529F5">
        <w:rPr>
          <w:sz w:val="22"/>
        </w:rPr>
        <w:t>Prancha 01 – a qual</w:t>
      </w:r>
      <w:r w:rsidR="00150374" w:rsidRPr="007529F5">
        <w:rPr>
          <w:sz w:val="22"/>
        </w:rPr>
        <w:t xml:space="preserve"> possui: </w:t>
      </w:r>
      <w:r w:rsidR="00120A8C" w:rsidRPr="007529F5">
        <w:rPr>
          <w:sz w:val="22"/>
        </w:rPr>
        <w:t>Planta de Situação e Localização da instalação, Detalhes da Entrada de energia, Diagrama Unifilar da Rede de Média Tensão;</w:t>
      </w:r>
    </w:p>
    <w:p w:rsidR="00120A8C" w:rsidRPr="007529F5" w:rsidRDefault="00BC624B" w:rsidP="00120A8C">
      <w:pPr>
        <w:pStyle w:val="PargrafodaLista"/>
        <w:numPr>
          <w:ilvl w:val="0"/>
          <w:numId w:val="12"/>
        </w:numPr>
        <w:rPr>
          <w:sz w:val="22"/>
        </w:rPr>
      </w:pPr>
      <w:r w:rsidRPr="007529F5">
        <w:rPr>
          <w:sz w:val="22"/>
        </w:rPr>
        <w:t>Prancha 02 – a qual</w:t>
      </w:r>
      <w:r w:rsidR="00150374" w:rsidRPr="007529F5">
        <w:rPr>
          <w:sz w:val="22"/>
        </w:rPr>
        <w:t xml:space="preserve"> possui: </w:t>
      </w:r>
      <w:r w:rsidR="00120A8C" w:rsidRPr="007529F5">
        <w:rPr>
          <w:sz w:val="22"/>
        </w:rPr>
        <w:t xml:space="preserve">Detalhes da Entrada de Energia (vista frontal), Resumo de cargas ligadas na instalação – esquema unifilar, Malha de aterramento, </w:t>
      </w:r>
      <w:r w:rsidR="004B197C">
        <w:rPr>
          <w:sz w:val="22"/>
        </w:rPr>
        <w:t>Mureta</w:t>
      </w:r>
      <w:r w:rsidR="00120A8C" w:rsidRPr="007529F5">
        <w:rPr>
          <w:sz w:val="22"/>
        </w:rPr>
        <w:t xml:space="preserve"> de Alvenaria, Detalhes do painel de Medição e Proteção Geral em BT;</w:t>
      </w:r>
    </w:p>
    <w:p w:rsidR="007529F5" w:rsidRDefault="007529F5" w:rsidP="00193C5F">
      <w:pPr>
        <w:rPr>
          <w:sz w:val="22"/>
        </w:rPr>
      </w:pPr>
      <w:r>
        <w:rPr>
          <w:sz w:val="22"/>
        </w:rPr>
        <w:br w:type="page"/>
      </w:r>
    </w:p>
    <w:p w:rsidR="007C01DD" w:rsidRPr="007529F5" w:rsidRDefault="008F70A6" w:rsidP="007C01DD">
      <w:pPr>
        <w:pStyle w:val="Ttulo1"/>
        <w:rPr>
          <w:sz w:val="22"/>
          <w:szCs w:val="22"/>
        </w:rPr>
      </w:pPr>
      <w:bookmarkStart w:id="1" w:name="_Toc6907444"/>
      <w:r>
        <w:rPr>
          <w:sz w:val="22"/>
          <w:szCs w:val="22"/>
        </w:rPr>
        <w:lastRenderedPageBreak/>
        <w:t>2</w:t>
      </w:r>
      <w:r w:rsidR="007C01DD" w:rsidRPr="007529F5">
        <w:rPr>
          <w:sz w:val="22"/>
          <w:szCs w:val="22"/>
        </w:rPr>
        <w:t xml:space="preserve"> NORMAS APLICÁVEIS</w:t>
      </w:r>
      <w:bookmarkEnd w:id="1"/>
    </w:p>
    <w:p w:rsidR="00C4764B" w:rsidRPr="007529F5" w:rsidRDefault="00C4764B" w:rsidP="00193C5F">
      <w:pPr>
        <w:rPr>
          <w:sz w:val="22"/>
        </w:rPr>
      </w:pPr>
      <w:r w:rsidRPr="007529F5">
        <w:rPr>
          <w:sz w:val="22"/>
        </w:rPr>
        <w:tab/>
        <w:t>O projeto apresentado,</w:t>
      </w:r>
      <w:r w:rsidR="0046637F" w:rsidRPr="007529F5">
        <w:rPr>
          <w:sz w:val="22"/>
        </w:rPr>
        <w:t xml:space="preserve"> os</w:t>
      </w:r>
      <w:r w:rsidRPr="007529F5">
        <w:rPr>
          <w:sz w:val="22"/>
        </w:rPr>
        <w:t xml:space="preserve"> equipamentos</w:t>
      </w:r>
      <w:r w:rsidR="0046637F" w:rsidRPr="007529F5">
        <w:rPr>
          <w:sz w:val="22"/>
        </w:rPr>
        <w:t xml:space="preserve"> nele contidos</w:t>
      </w:r>
      <w:r w:rsidRPr="007529F5">
        <w:rPr>
          <w:sz w:val="22"/>
        </w:rPr>
        <w:t xml:space="preserve"> e </w:t>
      </w:r>
      <w:r w:rsidR="00354C44" w:rsidRPr="007529F5">
        <w:rPr>
          <w:sz w:val="22"/>
        </w:rPr>
        <w:t xml:space="preserve">suas </w:t>
      </w:r>
      <w:r w:rsidRPr="007529F5">
        <w:rPr>
          <w:sz w:val="22"/>
        </w:rPr>
        <w:t xml:space="preserve">respectivas especificações foram </w:t>
      </w:r>
      <w:r w:rsidR="00354C44" w:rsidRPr="007529F5">
        <w:rPr>
          <w:sz w:val="22"/>
        </w:rPr>
        <w:t>projetado</w:t>
      </w:r>
      <w:r w:rsidR="0046637F" w:rsidRPr="007529F5">
        <w:rPr>
          <w:sz w:val="22"/>
        </w:rPr>
        <w:t xml:space="preserve">s levando em consideração as normas brasileiras regulamentadoras (NBR’s), </w:t>
      </w:r>
      <w:r w:rsidR="001A6563" w:rsidRPr="007529F5">
        <w:rPr>
          <w:sz w:val="22"/>
        </w:rPr>
        <w:t xml:space="preserve">as </w:t>
      </w:r>
      <w:r w:rsidR="0046637F" w:rsidRPr="007529F5">
        <w:rPr>
          <w:sz w:val="22"/>
        </w:rPr>
        <w:t xml:space="preserve">normas regulamentadoras de segurança do trabalho (NR’s) e normas técnicas da concessionária RGE (GED’s), quais sejam: </w:t>
      </w:r>
    </w:p>
    <w:p w:rsidR="0046637F" w:rsidRPr="007529F5" w:rsidRDefault="0046637F" w:rsidP="0046637F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>NBR 5410/2008</w:t>
      </w:r>
      <w:r w:rsidR="00EF1489" w:rsidRPr="007529F5">
        <w:rPr>
          <w:sz w:val="22"/>
        </w:rPr>
        <w:t xml:space="preserve"> – Instalações elétricas de baixa tens</w:t>
      </w:r>
      <w:r w:rsidR="003A19B8" w:rsidRPr="007529F5">
        <w:rPr>
          <w:sz w:val="22"/>
        </w:rPr>
        <w:t>ão;</w:t>
      </w:r>
    </w:p>
    <w:p w:rsidR="0046637F" w:rsidRPr="007529F5" w:rsidRDefault="0046637F" w:rsidP="0046637F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>NBR 14039/2005</w:t>
      </w:r>
      <w:r w:rsidR="003A19B8" w:rsidRPr="007529F5">
        <w:rPr>
          <w:sz w:val="22"/>
        </w:rPr>
        <w:t xml:space="preserve"> – Instalações elétricas de média tensão de 1,0 kV a 36,2 kV;</w:t>
      </w:r>
    </w:p>
    <w:p w:rsidR="00EB4D48" w:rsidRPr="007529F5" w:rsidRDefault="00EB4D48" w:rsidP="0046637F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>NBR 11873</w:t>
      </w:r>
      <w:r w:rsidR="003C7E35" w:rsidRPr="007529F5">
        <w:rPr>
          <w:sz w:val="22"/>
        </w:rPr>
        <w:t>/2011</w:t>
      </w:r>
      <w:r w:rsidRPr="007529F5">
        <w:rPr>
          <w:sz w:val="22"/>
        </w:rPr>
        <w:t xml:space="preserve"> – Cabos aéreos cobertos em XLPE para uso em regiõ</w:t>
      </w:r>
      <w:r w:rsidR="00D91224" w:rsidRPr="007529F5">
        <w:rPr>
          <w:sz w:val="22"/>
        </w:rPr>
        <w:t>es arborizadas com tensões 15 kV, 25 kV e 35 kV</w:t>
      </w:r>
      <w:r w:rsidR="003C7E35" w:rsidRPr="007529F5">
        <w:rPr>
          <w:sz w:val="22"/>
        </w:rPr>
        <w:t>;</w:t>
      </w:r>
    </w:p>
    <w:p w:rsidR="000802AF" w:rsidRPr="007529F5" w:rsidRDefault="000802AF" w:rsidP="000802AF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>NBR 6524</w:t>
      </w:r>
      <w:r w:rsidR="003A19B8" w:rsidRPr="007529F5">
        <w:rPr>
          <w:sz w:val="22"/>
        </w:rPr>
        <w:t>/1998</w:t>
      </w:r>
      <w:r w:rsidRPr="007529F5">
        <w:rPr>
          <w:sz w:val="22"/>
        </w:rPr>
        <w:t xml:space="preserve"> – Fios e cabos de cobre duro e meio duro com ou sem cobertura p</w:t>
      </w:r>
      <w:r w:rsidR="003C7E35" w:rsidRPr="007529F5">
        <w:rPr>
          <w:sz w:val="22"/>
        </w:rPr>
        <w:t>rotetora para instalações aéreas;</w:t>
      </w:r>
    </w:p>
    <w:p w:rsidR="00D745DC" w:rsidRPr="007529F5" w:rsidRDefault="004B779F" w:rsidP="000802AF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 xml:space="preserve">NBR </w:t>
      </w:r>
      <w:r w:rsidR="00D745DC" w:rsidRPr="007529F5">
        <w:rPr>
          <w:sz w:val="22"/>
        </w:rPr>
        <w:t>7287</w:t>
      </w:r>
      <w:r w:rsidR="003A19B8" w:rsidRPr="007529F5">
        <w:rPr>
          <w:sz w:val="22"/>
        </w:rPr>
        <w:t>/2009</w:t>
      </w:r>
      <w:r w:rsidR="00D745DC" w:rsidRPr="007529F5">
        <w:rPr>
          <w:sz w:val="22"/>
        </w:rPr>
        <w:t xml:space="preserve"> – Cabos de potência com isolação sólida extrudada de polietileno reticulado (XLPE) para tensões de isolamento de 1 kV a 35 kV - Requisitos de desempenho</w:t>
      </w:r>
      <w:r w:rsidR="003C7E35" w:rsidRPr="007529F5">
        <w:rPr>
          <w:sz w:val="22"/>
        </w:rPr>
        <w:t>;</w:t>
      </w:r>
    </w:p>
    <w:p w:rsidR="00D6592D" w:rsidRPr="007529F5" w:rsidRDefault="001112A1" w:rsidP="000802AF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 xml:space="preserve">NBR 7285 – Cabos de potência com isolação de XPLE, para tensão de </w:t>
      </w:r>
      <w:r w:rsidR="009B5403" w:rsidRPr="007529F5">
        <w:rPr>
          <w:sz w:val="22"/>
        </w:rPr>
        <w:t>0,6/1 kV– sem cobertura – Especificação;</w:t>
      </w:r>
    </w:p>
    <w:p w:rsidR="008E06A5" w:rsidRPr="007529F5" w:rsidRDefault="004B779F" w:rsidP="000802AF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 xml:space="preserve">NBR </w:t>
      </w:r>
      <w:r w:rsidR="008E06A5" w:rsidRPr="007529F5">
        <w:rPr>
          <w:sz w:val="22"/>
        </w:rPr>
        <w:t>5597</w:t>
      </w:r>
      <w:r w:rsidR="003A19B8" w:rsidRPr="007529F5">
        <w:rPr>
          <w:sz w:val="22"/>
        </w:rPr>
        <w:t>/2013 – Eletroduto de aço-carbono e acessórios, com revestimento protetor e rosca NPT – Requisitos;</w:t>
      </w:r>
    </w:p>
    <w:p w:rsidR="000B2A90" w:rsidRPr="007529F5" w:rsidRDefault="000B2A90" w:rsidP="000B2A90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>NBR 15465 – Sistemas de eletrodutos plásticos para instalações elétricas de baixa tensão;</w:t>
      </w:r>
    </w:p>
    <w:p w:rsidR="000B2A90" w:rsidRPr="007529F5" w:rsidRDefault="000B2A90" w:rsidP="000B2A90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>NBR 14136</w:t>
      </w:r>
      <w:r w:rsidR="0053494E">
        <w:rPr>
          <w:sz w:val="22"/>
        </w:rPr>
        <w:t>/2012 – Plugues e tomadas para uso doméstico e análogo até 20A/250V em corrente alternada – Padronização;</w:t>
      </w:r>
    </w:p>
    <w:p w:rsidR="0054517C" w:rsidRPr="007529F5" w:rsidRDefault="0054517C" w:rsidP="000802AF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>NBR 5440 – Transformadores para redes aéreas de distribuição — Requisitos;</w:t>
      </w:r>
    </w:p>
    <w:p w:rsidR="0054517C" w:rsidRPr="007529F5" w:rsidRDefault="0054517C" w:rsidP="000802AF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>NBR 5356 – Transformadores de Potência;</w:t>
      </w:r>
    </w:p>
    <w:p w:rsidR="00EF1489" w:rsidRPr="007529F5" w:rsidRDefault="00EF1489" w:rsidP="00134015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>NBR IEC 61643</w:t>
      </w:r>
      <w:r w:rsidR="003A19B8" w:rsidRPr="007529F5">
        <w:rPr>
          <w:sz w:val="22"/>
        </w:rPr>
        <w:t>-1/2007 – Dispositivos de proteção contra surtos em baixa tensão;</w:t>
      </w:r>
    </w:p>
    <w:p w:rsidR="00EF1489" w:rsidRPr="007529F5" w:rsidRDefault="00EF1489" w:rsidP="00EF1489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>NBR IEC 60947-2</w:t>
      </w:r>
      <w:r w:rsidR="003A19B8" w:rsidRPr="007529F5">
        <w:rPr>
          <w:sz w:val="22"/>
        </w:rPr>
        <w:t>/2013 – Dispositivo de manobra e comando de baixa tensão. Parte 2: Disjuntores;</w:t>
      </w:r>
    </w:p>
    <w:p w:rsidR="00427291" w:rsidRPr="007529F5" w:rsidRDefault="00427291" w:rsidP="00EF1489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>NBR 60898-1 – Disjuntores para proteção de sobrecorrentes para instalações domésticas e similares;</w:t>
      </w:r>
    </w:p>
    <w:p w:rsidR="0046637F" w:rsidRPr="007529F5" w:rsidRDefault="001A6563" w:rsidP="0046637F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 xml:space="preserve">NR </w:t>
      </w:r>
      <w:r w:rsidR="0046637F" w:rsidRPr="007529F5">
        <w:rPr>
          <w:sz w:val="22"/>
        </w:rPr>
        <w:t>10</w:t>
      </w:r>
      <w:r w:rsidR="003A19B8" w:rsidRPr="007529F5">
        <w:rPr>
          <w:sz w:val="22"/>
        </w:rPr>
        <w:t xml:space="preserve"> – Segurança em instalações e serviços em eletricidade;</w:t>
      </w:r>
    </w:p>
    <w:p w:rsidR="003A19B8" w:rsidRPr="007529F5" w:rsidRDefault="000E7FBD" w:rsidP="0046637F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>GED 13 – Fornecimento em tensão secundária de distribuição;</w:t>
      </w:r>
    </w:p>
    <w:p w:rsidR="0053494E" w:rsidRDefault="0053494E" w:rsidP="0053494E">
      <w:pPr>
        <w:pStyle w:val="PargrafodaLista"/>
        <w:rPr>
          <w:sz w:val="22"/>
        </w:rPr>
      </w:pPr>
    </w:p>
    <w:p w:rsidR="0046637F" w:rsidRPr="007529F5" w:rsidRDefault="003A19B8" w:rsidP="0046637F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lastRenderedPageBreak/>
        <w:t xml:space="preserve">GED </w:t>
      </w:r>
      <w:r w:rsidR="00F93A33" w:rsidRPr="007529F5">
        <w:rPr>
          <w:sz w:val="22"/>
        </w:rPr>
        <w:t>2855</w:t>
      </w:r>
      <w:r w:rsidR="000E7FBD" w:rsidRPr="007529F5">
        <w:rPr>
          <w:sz w:val="22"/>
        </w:rPr>
        <w:t xml:space="preserve"> – Fornecimento em tensão primária 15 kV, 25 kV e 34,5 kV – Vol.1;</w:t>
      </w:r>
    </w:p>
    <w:p w:rsidR="000E7FBD" w:rsidRPr="007529F5" w:rsidRDefault="000E7FBD" w:rsidP="000E7FBD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>GED 2856 – Fornecimento em tensão primária 15 kV, 25 kV e 34,5 kV – Vol.2 – Tabelas;</w:t>
      </w:r>
    </w:p>
    <w:p w:rsidR="000E7FBD" w:rsidRPr="007529F5" w:rsidRDefault="000E7FBD" w:rsidP="000E7FBD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>GED 2859 – Fornecimento em tensão primária 15 kV, 25 kV e 34,5 kV – Vol.4.1 – Desenhos;</w:t>
      </w:r>
    </w:p>
    <w:p w:rsidR="000E7FBD" w:rsidRPr="007529F5" w:rsidRDefault="000E7FBD" w:rsidP="000E7FBD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>GED 2861 – Fornecimento em tensão primária 15 kV, 25 kV e 34,5 kV – Vol.4.2;</w:t>
      </w:r>
    </w:p>
    <w:p w:rsidR="00DF230C" w:rsidRPr="007529F5" w:rsidRDefault="00DF230C" w:rsidP="00DF230C">
      <w:pPr>
        <w:pStyle w:val="PargrafodaLista"/>
        <w:numPr>
          <w:ilvl w:val="0"/>
          <w:numId w:val="11"/>
        </w:numPr>
        <w:rPr>
          <w:sz w:val="22"/>
          <w:lang w:eastAsia="pt-BR"/>
        </w:rPr>
      </w:pPr>
      <w:r w:rsidRPr="007529F5">
        <w:rPr>
          <w:sz w:val="22"/>
        </w:rPr>
        <w:t xml:space="preserve">GED 10640 – </w:t>
      </w:r>
      <w:r w:rsidRPr="007529F5">
        <w:rPr>
          <w:sz w:val="22"/>
          <w:lang w:eastAsia="pt-BR"/>
        </w:rPr>
        <w:t>Rede Primária Condutores Nus 15kV e 25kV - Estruturas</w:t>
      </w:r>
    </w:p>
    <w:p w:rsidR="00DF230C" w:rsidRPr="007529F5" w:rsidRDefault="00DF230C" w:rsidP="00DF230C">
      <w:pPr>
        <w:pStyle w:val="PargrafodaLista"/>
        <w:numPr>
          <w:ilvl w:val="0"/>
          <w:numId w:val="11"/>
        </w:numPr>
        <w:rPr>
          <w:sz w:val="22"/>
          <w:lang w:eastAsia="pt-BR"/>
        </w:rPr>
      </w:pPr>
      <w:r w:rsidRPr="007529F5">
        <w:rPr>
          <w:sz w:val="22"/>
          <w:lang w:eastAsia="pt-BR"/>
        </w:rPr>
        <w:t>Básicas – Montagem;</w:t>
      </w:r>
    </w:p>
    <w:p w:rsidR="00F93A33" w:rsidRPr="007529F5" w:rsidRDefault="003A19B8" w:rsidP="00903D11">
      <w:pPr>
        <w:pStyle w:val="PargrafodaLista"/>
        <w:numPr>
          <w:ilvl w:val="0"/>
          <w:numId w:val="11"/>
        </w:numPr>
        <w:rPr>
          <w:sz w:val="22"/>
        </w:rPr>
      </w:pPr>
      <w:r w:rsidRPr="007529F5">
        <w:rPr>
          <w:sz w:val="22"/>
        </w:rPr>
        <w:t>G</w:t>
      </w:r>
      <w:r w:rsidR="00903D11" w:rsidRPr="007529F5">
        <w:rPr>
          <w:sz w:val="22"/>
        </w:rPr>
        <w:t xml:space="preserve">ED </w:t>
      </w:r>
      <w:r w:rsidR="00F93A33" w:rsidRPr="007529F5">
        <w:rPr>
          <w:sz w:val="22"/>
        </w:rPr>
        <w:t>4732</w:t>
      </w:r>
      <w:r w:rsidR="000E7FBD" w:rsidRPr="007529F5">
        <w:rPr>
          <w:sz w:val="22"/>
        </w:rPr>
        <w:t xml:space="preserve"> – Sistema CPFL de projetos particulares via internet – Fornecimento em tensão primária;</w:t>
      </w:r>
    </w:p>
    <w:p w:rsidR="007C01DD" w:rsidRPr="007529F5" w:rsidRDefault="007C01DD" w:rsidP="007C01DD">
      <w:pPr>
        <w:pStyle w:val="Ttulo1"/>
        <w:rPr>
          <w:sz w:val="22"/>
          <w:szCs w:val="22"/>
        </w:rPr>
      </w:pPr>
    </w:p>
    <w:p w:rsidR="003313D4" w:rsidRPr="003313D4" w:rsidRDefault="003313D4" w:rsidP="003313D4">
      <w:pPr>
        <w:ind w:firstLine="708"/>
        <w:rPr>
          <w:sz w:val="22"/>
        </w:rPr>
      </w:pPr>
      <w:r w:rsidRPr="003313D4">
        <w:rPr>
          <w:sz w:val="22"/>
        </w:rPr>
        <w:t xml:space="preserve">Outrossim, os materiais especificados e citados no presente memorial deverão estar de acordo, </w:t>
      </w:r>
      <w:r w:rsidRPr="003313D4">
        <w:rPr>
          <w:i/>
          <w:sz w:val="22"/>
        </w:rPr>
        <w:t xml:space="preserve">in </w:t>
      </w:r>
      <w:proofErr w:type="spellStart"/>
      <w:r w:rsidRPr="003313D4">
        <w:rPr>
          <w:i/>
          <w:sz w:val="22"/>
        </w:rPr>
        <w:t>totum</w:t>
      </w:r>
      <w:proofErr w:type="spellEnd"/>
      <w:r w:rsidRPr="003313D4">
        <w:rPr>
          <w:sz w:val="22"/>
        </w:rPr>
        <w:t>, com suas respectivas normas técnicas.</w:t>
      </w:r>
    </w:p>
    <w:p w:rsidR="003C7E35" w:rsidRPr="007529F5" w:rsidRDefault="003C7E35" w:rsidP="00193C5F">
      <w:pPr>
        <w:rPr>
          <w:sz w:val="22"/>
        </w:rPr>
      </w:pPr>
      <w:r w:rsidRPr="007529F5">
        <w:rPr>
          <w:sz w:val="22"/>
        </w:rPr>
        <w:br w:type="page"/>
      </w:r>
    </w:p>
    <w:p w:rsidR="00120A8C" w:rsidRPr="007529F5" w:rsidRDefault="008F70A6" w:rsidP="00120A8C">
      <w:pPr>
        <w:pStyle w:val="Ttulo1"/>
        <w:rPr>
          <w:sz w:val="22"/>
          <w:szCs w:val="22"/>
        </w:rPr>
      </w:pPr>
      <w:bookmarkStart w:id="2" w:name="_Toc6907445"/>
      <w:r>
        <w:rPr>
          <w:sz w:val="22"/>
          <w:szCs w:val="22"/>
        </w:rPr>
        <w:lastRenderedPageBreak/>
        <w:t>3</w:t>
      </w:r>
      <w:r w:rsidR="00120A8C" w:rsidRPr="007529F5">
        <w:rPr>
          <w:sz w:val="22"/>
          <w:szCs w:val="22"/>
        </w:rPr>
        <w:t xml:space="preserve"> PROJETO DA ENTRADA DE ENERGIA</w:t>
      </w:r>
      <w:bookmarkEnd w:id="2"/>
    </w:p>
    <w:p w:rsidR="00280630" w:rsidRPr="007529F5" w:rsidRDefault="008F70A6" w:rsidP="00280630">
      <w:pPr>
        <w:pStyle w:val="Ttulo1"/>
        <w:rPr>
          <w:sz w:val="22"/>
          <w:szCs w:val="22"/>
        </w:rPr>
      </w:pPr>
      <w:bookmarkStart w:id="3" w:name="_Toc6907446"/>
      <w:r>
        <w:rPr>
          <w:sz w:val="22"/>
          <w:szCs w:val="22"/>
        </w:rPr>
        <w:t>3</w:t>
      </w:r>
      <w:r w:rsidR="00280630" w:rsidRPr="007529F5">
        <w:rPr>
          <w:sz w:val="22"/>
          <w:szCs w:val="22"/>
        </w:rPr>
        <w:t>.1 Ramal de Ligação</w:t>
      </w:r>
      <w:bookmarkEnd w:id="3"/>
    </w:p>
    <w:p w:rsidR="00280630" w:rsidRPr="007529F5" w:rsidRDefault="00280630" w:rsidP="00280630">
      <w:pPr>
        <w:rPr>
          <w:sz w:val="22"/>
        </w:rPr>
      </w:pPr>
      <w:r w:rsidRPr="007529F5">
        <w:rPr>
          <w:sz w:val="22"/>
        </w:rPr>
        <w:tab/>
        <w:t xml:space="preserve">O ramal de ligação será aéreo, sendo constituído pelos condutores e demais equipamentos que compõe a </w:t>
      </w:r>
      <w:r w:rsidR="00D97BC9">
        <w:rPr>
          <w:sz w:val="22"/>
        </w:rPr>
        <w:t>interligação entre o Poste nº 06 e o Poste nº 07</w:t>
      </w:r>
      <w:r w:rsidRPr="007529F5">
        <w:rPr>
          <w:sz w:val="22"/>
        </w:rPr>
        <w:t>. O ramal de ligação será instalado e mantido pela concessionária.</w:t>
      </w:r>
    </w:p>
    <w:p w:rsidR="00A8058E" w:rsidRDefault="004B197C" w:rsidP="00D97BC9">
      <w:pPr>
        <w:rPr>
          <w:sz w:val="22"/>
        </w:rPr>
      </w:pPr>
      <w:r>
        <w:rPr>
          <w:sz w:val="22"/>
        </w:rPr>
        <w:tab/>
      </w:r>
      <w:r w:rsidR="009D3632">
        <w:rPr>
          <w:sz w:val="22"/>
        </w:rPr>
        <w:t>O poste sugerido para tomada do cliente é o poste nº 6, o qual deverá possuir chaves fusíveis e elos fusíveis conforme o padrão da concessionária</w:t>
      </w:r>
      <w:r w:rsidR="004F2369">
        <w:rPr>
          <w:sz w:val="22"/>
        </w:rPr>
        <w:t xml:space="preserve"> (tabela 7 do GED-2856).</w:t>
      </w:r>
    </w:p>
    <w:p w:rsidR="009D3632" w:rsidRPr="007529F5" w:rsidRDefault="009D3632" w:rsidP="00D97BC9">
      <w:pPr>
        <w:rPr>
          <w:sz w:val="22"/>
        </w:rPr>
      </w:pPr>
    </w:p>
    <w:p w:rsidR="00193C5F" w:rsidRPr="007529F5" w:rsidRDefault="008F70A6" w:rsidP="00193C5F">
      <w:pPr>
        <w:pStyle w:val="Ttulo1"/>
        <w:rPr>
          <w:sz w:val="22"/>
          <w:szCs w:val="22"/>
        </w:rPr>
      </w:pPr>
      <w:bookmarkStart w:id="4" w:name="_Toc6907447"/>
      <w:r>
        <w:rPr>
          <w:sz w:val="22"/>
          <w:szCs w:val="22"/>
        </w:rPr>
        <w:t>3</w:t>
      </w:r>
      <w:r w:rsidR="00280630" w:rsidRPr="007529F5">
        <w:rPr>
          <w:sz w:val="22"/>
          <w:szCs w:val="22"/>
        </w:rPr>
        <w:t>.2</w:t>
      </w:r>
      <w:r w:rsidR="00A9538A" w:rsidRPr="007529F5">
        <w:rPr>
          <w:sz w:val="22"/>
          <w:szCs w:val="22"/>
        </w:rPr>
        <w:t xml:space="preserve"> Suprimento de Energia</w:t>
      </w:r>
      <w:bookmarkEnd w:id="4"/>
    </w:p>
    <w:p w:rsidR="006F5204" w:rsidRPr="007529F5" w:rsidRDefault="00481BAE" w:rsidP="006F5204">
      <w:pPr>
        <w:rPr>
          <w:sz w:val="22"/>
        </w:rPr>
      </w:pPr>
      <w:r w:rsidRPr="007529F5">
        <w:rPr>
          <w:sz w:val="22"/>
        </w:rPr>
        <w:tab/>
      </w:r>
      <w:r w:rsidR="006F5204" w:rsidRPr="007529F5">
        <w:rPr>
          <w:sz w:val="22"/>
        </w:rPr>
        <w:t>O suprimento de energia será em baixa tensão, proveniente das buchas de BT do transformado</w:t>
      </w:r>
      <w:r w:rsidR="00D97BC9">
        <w:rPr>
          <w:sz w:val="22"/>
        </w:rPr>
        <w:t>r a ser instalado no Poste nº 07</w:t>
      </w:r>
      <w:r w:rsidR="006F5204" w:rsidRPr="007529F5">
        <w:rPr>
          <w:sz w:val="22"/>
        </w:rPr>
        <w:t>.</w:t>
      </w:r>
    </w:p>
    <w:p w:rsidR="000A1526" w:rsidRPr="007529F5" w:rsidRDefault="002C68AC" w:rsidP="00212EFA">
      <w:pPr>
        <w:rPr>
          <w:sz w:val="22"/>
        </w:rPr>
      </w:pPr>
      <w:r>
        <w:rPr>
          <w:sz w:val="22"/>
        </w:rPr>
        <w:tab/>
      </w:r>
    </w:p>
    <w:p w:rsidR="003D4C7C" w:rsidRPr="007529F5" w:rsidRDefault="008F70A6" w:rsidP="003D4C7C">
      <w:pPr>
        <w:pStyle w:val="Ttulo1"/>
        <w:rPr>
          <w:sz w:val="22"/>
          <w:szCs w:val="22"/>
        </w:rPr>
      </w:pPr>
      <w:bookmarkStart w:id="5" w:name="_Toc6907448"/>
      <w:r>
        <w:rPr>
          <w:sz w:val="22"/>
          <w:szCs w:val="22"/>
        </w:rPr>
        <w:t>3</w:t>
      </w:r>
      <w:r w:rsidR="00A9538A" w:rsidRPr="007529F5">
        <w:rPr>
          <w:sz w:val="22"/>
          <w:szCs w:val="22"/>
        </w:rPr>
        <w:t>.3</w:t>
      </w:r>
      <w:r w:rsidR="003D4C7C" w:rsidRPr="007529F5">
        <w:rPr>
          <w:sz w:val="22"/>
          <w:szCs w:val="22"/>
        </w:rPr>
        <w:t xml:space="preserve"> </w:t>
      </w:r>
      <w:r w:rsidR="00A9538A" w:rsidRPr="007529F5">
        <w:rPr>
          <w:sz w:val="22"/>
          <w:szCs w:val="22"/>
        </w:rPr>
        <w:t>Ramal de Entrada</w:t>
      </w:r>
      <w:bookmarkEnd w:id="5"/>
      <w:r w:rsidR="00A9538A" w:rsidRPr="007529F5">
        <w:rPr>
          <w:sz w:val="22"/>
          <w:szCs w:val="22"/>
        </w:rPr>
        <w:t xml:space="preserve"> </w:t>
      </w:r>
    </w:p>
    <w:p w:rsidR="006F5204" w:rsidRPr="007529F5" w:rsidRDefault="00D63AF7" w:rsidP="006F5204">
      <w:pPr>
        <w:rPr>
          <w:sz w:val="22"/>
        </w:rPr>
      </w:pPr>
      <w:r w:rsidRPr="007529F5">
        <w:rPr>
          <w:sz w:val="22"/>
        </w:rPr>
        <w:tab/>
      </w:r>
      <w:r w:rsidR="006F5204" w:rsidRPr="007529F5">
        <w:rPr>
          <w:sz w:val="22"/>
        </w:rPr>
        <w:t>A entrada de energia da instalação será proveniente das buchas de BT do transfor</w:t>
      </w:r>
      <w:r w:rsidR="00D97BC9">
        <w:rPr>
          <w:sz w:val="22"/>
        </w:rPr>
        <w:t>mador, localizada no Poste nº 07</w:t>
      </w:r>
      <w:r w:rsidR="006F5204" w:rsidRPr="007529F5">
        <w:rPr>
          <w:sz w:val="22"/>
        </w:rPr>
        <w:t xml:space="preserve">. </w:t>
      </w:r>
    </w:p>
    <w:p w:rsidR="006F5204" w:rsidRPr="007529F5" w:rsidRDefault="006F5204" w:rsidP="006F5204">
      <w:pPr>
        <w:ind w:firstLine="708"/>
        <w:rPr>
          <w:sz w:val="22"/>
        </w:rPr>
      </w:pPr>
      <w:r w:rsidRPr="007529F5">
        <w:rPr>
          <w:sz w:val="22"/>
        </w:rPr>
        <w:t xml:space="preserve">Partindo do ponto de entrega (indicado na Prancha 01), seguirão condutores de cobre nu, classe de encordoamento 2, seção </w:t>
      </w:r>
      <w:r w:rsidR="007365E0">
        <w:rPr>
          <w:sz w:val="22"/>
        </w:rPr>
        <w:t>16 mm², tensão de isolamento 15/2</w:t>
      </w:r>
      <w:r w:rsidRPr="007529F5">
        <w:rPr>
          <w:sz w:val="22"/>
        </w:rPr>
        <w:t xml:space="preserve">5 kV, </w:t>
      </w:r>
      <w:r w:rsidR="0053494E">
        <w:rPr>
          <w:sz w:val="22"/>
        </w:rPr>
        <w:t xml:space="preserve">dimensionados conforme tabela 3 do GED 2856, </w:t>
      </w:r>
      <w:r w:rsidRPr="007529F5">
        <w:rPr>
          <w:sz w:val="22"/>
        </w:rPr>
        <w:t>atendendo a NBR 6524, até as buchas de MT do transformador.</w:t>
      </w:r>
    </w:p>
    <w:p w:rsidR="006F5204" w:rsidRDefault="006F5204" w:rsidP="00BC624B">
      <w:pPr>
        <w:rPr>
          <w:sz w:val="22"/>
        </w:rPr>
      </w:pPr>
      <w:r w:rsidRPr="007529F5">
        <w:rPr>
          <w:sz w:val="22"/>
        </w:rPr>
        <w:tab/>
        <w:t>Além dos condutores especificados acima, será ramificado da rede de distribuição secundária da concessionária o condutor neutro, o qual deverá ser estendido para interligação dos sistemas de aterramento da concessionária e da unidade consumidora</w:t>
      </w:r>
      <w:r w:rsidR="00B913BA">
        <w:rPr>
          <w:sz w:val="22"/>
        </w:rPr>
        <w:t xml:space="preserve"> (UC)</w:t>
      </w:r>
      <w:r w:rsidRPr="007529F5">
        <w:rPr>
          <w:sz w:val="22"/>
        </w:rPr>
        <w:t>, via cabo de aço de suste</w:t>
      </w:r>
      <w:r w:rsidR="00EA0CB1">
        <w:rPr>
          <w:sz w:val="22"/>
        </w:rPr>
        <w:t>ntação</w:t>
      </w:r>
      <w:r w:rsidR="00181C0E">
        <w:rPr>
          <w:sz w:val="22"/>
        </w:rPr>
        <w:t xml:space="preserve"> </w:t>
      </w:r>
      <w:r w:rsidR="00EA0CB1">
        <w:rPr>
          <w:sz w:val="22"/>
        </w:rPr>
        <w:t>– condutor mensageiro.</w:t>
      </w:r>
    </w:p>
    <w:p w:rsidR="006F5204" w:rsidRPr="007529F5" w:rsidRDefault="00114EA6" w:rsidP="006F5204">
      <w:pPr>
        <w:rPr>
          <w:sz w:val="22"/>
        </w:rPr>
      </w:pPr>
      <w:r>
        <w:rPr>
          <w:sz w:val="22"/>
        </w:rPr>
        <w:tab/>
      </w:r>
      <w:r w:rsidR="006F5204" w:rsidRPr="007529F5">
        <w:rPr>
          <w:sz w:val="22"/>
        </w:rPr>
        <w:t>A alimentação</w:t>
      </w:r>
      <w:r w:rsidR="00B913BA">
        <w:rPr>
          <w:sz w:val="22"/>
        </w:rPr>
        <w:t xml:space="preserve"> da UC</w:t>
      </w:r>
      <w:r w:rsidR="006F5204" w:rsidRPr="007529F5">
        <w:rPr>
          <w:sz w:val="22"/>
        </w:rPr>
        <w:t xml:space="preserve"> provirá de poste de concreto ti</w:t>
      </w:r>
      <w:r>
        <w:rPr>
          <w:sz w:val="22"/>
        </w:rPr>
        <w:t>po circular (Poste nº 07</w:t>
      </w:r>
      <w:r w:rsidR="00EA0CB1">
        <w:rPr>
          <w:sz w:val="22"/>
        </w:rPr>
        <w:t>) com 11</w:t>
      </w:r>
      <w:r w:rsidR="00B95C43">
        <w:rPr>
          <w:sz w:val="22"/>
        </w:rPr>
        <w:t xml:space="preserve"> metros de altura, resistência 6</w:t>
      </w:r>
      <w:r w:rsidR="00EA0CB1">
        <w:rPr>
          <w:sz w:val="22"/>
        </w:rPr>
        <w:t xml:space="preserve">00 daN, estrutura </w:t>
      </w:r>
      <w:r w:rsidR="00A07973">
        <w:rPr>
          <w:sz w:val="22"/>
        </w:rPr>
        <w:t xml:space="preserve">ETRM </w:t>
      </w:r>
      <w:r w:rsidR="00EA0CB1">
        <w:rPr>
          <w:sz w:val="22"/>
        </w:rPr>
        <w:t>CE3 – fim de linha,</w:t>
      </w:r>
      <w:r w:rsidR="006F5204" w:rsidRPr="007529F5">
        <w:rPr>
          <w:sz w:val="22"/>
        </w:rPr>
        <w:t xml:space="preserve"> com base concretada. Nele deverá ser instalado três chaves fusíveis unipolares, com engate para dispositivo de abertura com carga, corpo em porcelana, </w:t>
      </w:r>
      <w:r w:rsidR="00B913BA">
        <w:rPr>
          <w:sz w:val="22"/>
        </w:rPr>
        <w:t xml:space="preserve">base </w:t>
      </w:r>
      <w:r w:rsidR="006F5204" w:rsidRPr="007529F5">
        <w:rPr>
          <w:sz w:val="22"/>
        </w:rPr>
        <w:t xml:space="preserve">tipo C, corrente nominal 300 A, </w:t>
      </w:r>
      <w:r w:rsidR="00280630" w:rsidRPr="007529F5">
        <w:rPr>
          <w:sz w:val="22"/>
        </w:rPr>
        <w:t xml:space="preserve">tensão nominal </w:t>
      </w:r>
      <w:r w:rsidR="00ED1E47">
        <w:rPr>
          <w:sz w:val="22"/>
        </w:rPr>
        <w:t>2</w:t>
      </w:r>
      <w:r w:rsidR="009277DA">
        <w:rPr>
          <w:sz w:val="22"/>
        </w:rPr>
        <w:t>5 kV, NBI 125</w:t>
      </w:r>
      <w:r w:rsidR="006F5204" w:rsidRPr="007529F5">
        <w:rPr>
          <w:sz w:val="22"/>
        </w:rPr>
        <w:t xml:space="preserve"> kV, corrent</w:t>
      </w:r>
      <w:r w:rsidR="009277DA">
        <w:rPr>
          <w:sz w:val="22"/>
        </w:rPr>
        <w:t>e de interrupção simétrica 8</w:t>
      </w:r>
      <w:r w:rsidR="007365E0">
        <w:rPr>
          <w:sz w:val="22"/>
        </w:rPr>
        <w:t xml:space="preserve"> </w:t>
      </w:r>
      <w:r w:rsidR="009277DA">
        <w:rPr>
          <w:sz w:val="22"/>
        </w:rPr>
        <w:t>kA</w:t>
      </w:r>
      <w:r w:rsidR="006F5204" w:rsidRPr="007529F5">
        <w:rPr>
          <w:sz w:val="22"/>
        </w:rPr>
        <w:t>. Estas chaves serão equipadas com elos fusíveis</w:t>
      </w:r>
      <w:r w:rsidR="00667380">
        <w:rPr>
          <w:sz w:val="22"/>
        </w:rPr>
        <w:t xml:space="preserve"> tipo 5H, tensão de isolamento 2</w:t>
      </w:r>
      <w:r w:rsidR="006F5204" w:rsidRPr="007529F5">
        <w:rPr>
          <w:sz w:val="22"/>
        </w:rPr>
        <w:t>5 kV, dimensionados consoante tabela 8 do GED-2856.</w:t>
      </w:r>
    </w:p>
    <w:p w:rsidR="00BC624B" w:rsidRPr="00183A22" w:rsidRDefault="00BC441D" w:rsidP="00BC624B">
      <w:pPr>
        <w:keepNext/>
        <w:jc w:val="center"/>
        <w:rPr>
          <w:sz w:val="20"/>
          <w:szCs w:val="20"/>
        </w:rPr>
      </w:pPr>
      <w:r w:rsidRPr="00183A22">
        <w:rPr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553720</wp:posOffset>
                </wp:positionV>
                <wp:extent cx="123825" cy="188595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ABD3D" id="Retângulo 5" o:spid="_x0000_s1026" style="position:absolute;margin-left:262.95pt;margin-top:43.6pt;width:9.75pt;height:14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" fillcolor="#4f81bd [3204]" strokecolor="#243f60 [1604]" strokeweight="2pt"/>
            </w:pict>
          </mc:Fallback>
        </mc:AlternateContent>
      </w:r>
      <w:r w:rsidR="00CC4373" w:rsidRPr="00183A22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629920</wp:posOffset>
                </wp:positionV>
                <wp:extent cx="1266825" cy="428625"/>
                <wp:effectExtent l="0" t="76200" r="28575" b="47625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6825" cy="4286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09FB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269.7pt;margin-top:49.6pt;width:99.75pt;height:33.7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" strokecolor="#4579b8 [3044]" strokeweight="6pt">
                <v:stroke endarrow="block"/>
              </v:shape>
            </w:pict>
          </mc:Fallback>
        </mc:AlternateContent>
      </w:r>
      <w:r w:rsidR="00280630" w:rsidRPr="00183A22">
        <w:rPr>
          <w:noProof/>
          <w:sz w:val="20"/>
          <w:szCs w:val="20"/>
          <w:lang w:eastAsia="pt-BR"/>
        </w:rPr>
        <w:drawing>
          <wp:inline distT="0" distB="0" distL="0" distR="0">
            <wp:extent cx="2000250" cy="2809875"/>
            <wp:effectExtent l="0" t="0" r="0" b="9525"/>
            <wp:docPr id="4" name="Imagem 4" descr="\\SMB\ambtrab\lnk_engenharia\01. ARQUIVOS DOS SERVIDORES\Wellington\Campus Veranopolis\Projeto Subestacao - Entrada de Energia\Arquivos Usados no Projeto\Imagens Visita dia 27-11-2018\WhatsApp Image 2018-11-27 at 11.00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MB\ambtrab\lnk_engenharia\01. ARQUIVOS DOS SERVIDORES\Wellington\Campus Veranopolis\Projeto Subestacao - Entrada de Energia\Arquivos Usados no Projeto\Imagens Visita dia 27-11-2018\WhatsApp Image 2018-11-27 at 11.00.1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116" cy="281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66" w:rsidRPr="00183A22" w:rsidRDefault="00BC624B" w:rsidP="00BC624B">
      <w:pPr>
        <w:pStyle w:val="Legenda"/>
        <w:jc w:val="center"/>
        <w:rPr>
          <w:i w:val="0"/>
          <w:color w:val="000000" w:themeColor="text1"/>
          <w:sz w:val="20"/>
          <w:szCs w:val="20"/>
        </w:rPr>
      </w:pPr>
      <w:r w:rsidRPr="00183A22">
        <w:rPr>
          <w:i w:val="0"/>
          <w:color w:val="000000" w:themeColor="text1"/>
          <w:sz w:val="20"/>
          <w:szCs w:val="20"/>
        </w:rPr>
        <w:t xml:space="preserve">Figura </w:t>
      </w:r>
      <w:r w:rsidRPr="00183A22">
        <w:rPr>
          <w:i w:val="0"/>
          <w:color w:val="000000" w:themeColor="text1"/>
          <w:sz w:val="20"/>
          <w:szCs w:val="20"/>
        </w:rPr>
        <w:fldChar w:fldCharType="begin"/>
      </w:r>
      <w:r w:rsidRPr="00183A22">
        <w:rPr>
          <w:i w:val="0"/>
          <w:color w:val="000000" w:themeColor="text1"/>
          <w:sz w:val="20"/>
          <w:szCs w:val="20"/>
        </w:rPr>
        <w:instrText xml:space="preserve"> SEQ Figura \* ARABIC </w:instrText>
      </w:r>
      <w:r w:rsidRPr="00183A22">
        <w:rPr>
          <w:i w:val="0"/>
          <w:color w:val="000000" w:themeColor="text1"/>
          <w:sz w:val="20"/>
          <w:szCs w:val="20"/>
        </w:rPr>
        <w:fldChar w:fldCharType="separate"/>
      </w:r>
      <w:r w:rsidR="005142B9">
        <w:rPr>
          <w:i w:val="0"/>
          <w:noProof/>
          <w:color w:val="000000" w:themeColor="text1"/>
          <w:sz w:val="20"/>
          <w:szCs w:val="20"/>
        </w:rPr>
        <w:t>1</w:t>
      </w:r>
      <w:r w:rsidRPr="00183A22">
        <w:rPr>
          <w:i w:val="0"/>
          <w:color w:val="000000" w:themeColor="text1"/>
          <w:sz w:val="20"/>
          <w:szCs w:val="20"/>
        </w:rPr>
        <w:fldChar w:fldCharType="end"/>
      </w:r>
      <w:r w:rsidRPr="00183A22">
        <w:rPr>
          <w:i w:val="0"/>
          <w:color w:val="000000" w:themeColor="text1"/>
          <w:sz w:val="20"/>
          <w:szCs w:val="20"/>
        </w:rPr>
        <w:t xml:space="preserve"> - Representação do possível loc</w:t>
      </w:r>
      <w:r w:rsidR="00667380">
        <w:rPr>
          <w:i w:val="0"/>
          <w:color w:val="000000" w:themeColor="text1"/>
          <w:sz w:val="20"/>
          <w:szCs w:val="20"/>
        </w:rPr>
        <w:t>al de instalação do Poste nº 07</w:t>
      </w:r>
      <w:r w:rsidR="00CC4373" w:rsidRPr="00183A22">
        <w:rPr>
          <w:i w:val="0"/>
          <w:color w:val="000000" w:themeColor="text1"/>
          <w:sz w:val="20"/>
          <w:szCs w:val="20"/>
        </w:rPr>
        <w:t xml:space="preserve"> – Após retirada de vegetação arbórea, local ficará livre para concessionária realizar manobras.</w:t>
      </w:r>
    </w:p>
    <w:p w:rsidR="00B913BA" w:rsidRDefault="00B913BA" w:rsidP="006F5204">
      <w:pPr>
        <w:ind w:firstLine="708"/>
        <w:rPr>
          <w:sz w:val="22"/>
        </w:rPr>
      </w:pPr>
    </w:p>
    <w:p w:rsidR="006F5204" w:rsidRPr="007529F5" w:rsidRDefault="006F5204" w:rsidP="006F5204">
      <w:pPr>
        <w:ind w:firstLine="708"/>
        <w:rPr>
          <w:sz w:val="22"/>
        </w:rPr>
      </w:pPr>
      <w:r w:rsidRPr="007529F5">
        <w:rPr>
          <w:sz w:val="22"/>
        </w:rPr>
        <w:t>Para proteção contra descargas atmosféricas, deverão ser instalados jogos de para-raios de invólucro polimérico, a óxidos metálicos, sem centelhador, providos de desligador automático, para uso em redes de distr</w:t>
      </w:r>
      <w:r w:rsidR="007365E0">
        <w:rPr>
          <w:sz w:val="22"/>
        </w:rPr>
        <w:t>ibuição aérea, tensão nominal 21</w:t>
      </w:r>
      <w:r w:rsidRPr="007529F5">
        <w:rPr>
          <w:sz w:val="22"/>
        </w:rPr>
        <w:t xml:space="preserve"> kV, corrente de descarga nominal 10 kA.</w:t>
      </w:r>
    </w:p>
    <w:p w:rsidR="006F5204" w:rsidRPr="007529F5" w:rsidRDefault="006F5204" w:rsidP="006F5204">
      <w:pPr>
        <w:rPr>
          <w:sz w:val="22"/>
        </w:rPr>
      </w:pPr>
      <w:r w:rsidRPr="007529F5">
        <w:rPr>
          <w:sz w:val="22"/>
        </w:rPr>
        <w:tab/>
        <w:t>Das buchas terminais em BT do transformador trifásico seguirão 4 condutores – até a caixa de medição –, dimensionados seguindo o modelo de cálculo especificados a seguir:</w:t>
      </w:r>
    </w:p>
    <w:p w:rsidR="006F5204" w:rsidRPr="007529F5" w:rsidRDefault="000B6E95" w:rsidP="006F5204">
      <w:pPr>
        <w:rPr>
          <w:rFonts w:eastAsiaTheme="minorEastAsia"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I</m:t>
              </m:r>
            </m:e>
            <m:sub>
              <m:r>
                <w:rPr>
                  <w:rFonts w:ascii="Cambria Math" w:hAnsi="Cambria Math"/>
                  <w:sz w:val="22"/>
                </w:rPr>
                <m:t>BT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Pot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kVA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2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F-F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.FA</m:t>
              </m:r>
            </m:den>
          </m:f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112,5k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sz w:val="22"/>
                </w:rPr>
                <m:t>.380.1</m:t>
              </m:r>
            </m:den>
          </m:f>
          <m:r>
            <w:rPr>
              <w:rFonts w:ascii="Cambria Math" w:hAnsi="Cambria Math"/>
              <w:sz w:val="22"/>
            </w:rPr>
            <m:t>=170,93 A</m:t>
          </m:r>
        </m:oMath>
      </m:oMathPara>
    </w:p>
    <w:p w:rsidR="006F5204" w:rsidRPr="007529F5" w:rsidRDefault="006F5204" w:rsidP="006F5204">
      <w:pPr>
        <w:rPr>
          <w:sz w:val="22"/>
        </w:rPr>
      </w:pPr>
      <w:r w:rsidRPr="007529F5">
        <w:rPr>
          <w:sz w:val="22"/>
        </w:rPr>
        <w:tab/>
        <w:t>Onde:</w:t>
      </w:r>
    </w:p>
    <w:p w:rsidR="006F5204" w:rsidRPr="007529F5" w:rsidRDefault="006F5204" w:rsidP="006F5204">
      <w:pPr>
        <w:pStyle w:val="PargrafodaLista"/>
        <w:numPr>
          <w:ilvl w:val="0"/>
          <w:numId w:val="14"/>
        </w:numPr>
        <w:rPr>
          <w:sz w:val="22"/>
        </w:rPr>
      </w:pPr>
      <m:oMath>
        <m:r>
          <w:rPr>
            <w:rFonts w:ascii="Cambria Math" w:hAnsi="Cambria Math"/>
            <w:sz w:val="22"/>
          </w:rPr>
          <m:t>Pot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kVA</m:t>
            </m:r>
          </m:e>
        </m:d>
      </m:oMath>
      <w:r w:rsidRPr="007529F5">
        <w:rPr>
          <w:rFonts w:eastAsiaTheme="minorEastAsia"/>
          <w:sz w:val="22"/>
        </w:rPr>
        <w:t xml:space="preserve"> – </w:t>
      </w:r>
      <w:proofErr w:type="gramStart"/>
      <w:r w:rsidRPr="007529F5">
        <w:rPr>
          <w:rFonts w:eastAsiaTheme="minorEastAsia"/>
          <w:sz w:val="22"/>
        </w:rPr>
        <w:t>é</w:t>
      </w:r>
      <w:proofErr w:type="gramEnd"/>
      <w:r w:rsidRPr="007529F5">
        <w:rPr>
          <w:rFonts w:eastAsiaTheme="minorEastAsia"/>
          <w:sz w:val="22"/>
        </w:rPr>
        <w:t xml:space="preserve"> a potência instalada do transformador;</w:t>
      </w:r>
    </w:p>
    <w:p w:rsidR="006F5204" w:rsidRPr="007529F5" w:rsidRDefault="000B6E95" w:rsidP="006F5204">
      <w:pPr>
        <w:pStyle w:val="PargrafodaLista"/>
        <w:numPr>
          <w:ilvl w:val="0"/>
          <w:numId w:val="14"/>
        </w:numPr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F-F</m:t>
            </m:r>
          </m:sub>
        </m:sSub>
      </m:oMath>
      <w:r w:rsidR="006F5204" w:rsidRPr="007529F5">
        <w:rPr>
          <w:rFonts w:eastAsiaTheme="minorEastAsia"/>
          <w:sz w:val="22"/>
        </w:rPr>
        <w:t xml:space="preserve"> – </w:t>
      </w:r>
      <w:proofErr w:type="gramStart"/>
      <w:r w:rsidR="006F5204" w:rsidRPr="007529F5">
        <w:rPr>
          <w:rFonts w:eastAsiaTheme="minorEastAsia"/>
          <w:sz w:val="22"/>
        </w:rPr>
        <w:t>tensão fase-fase</w:t>
      </w:r>
      <w:proofErr w:type="gramEnd"/>
      <w:r w:rsidR="006F5204" w:rsidRPr="007529F5">
        <w:rPr>
          <w:rFonts w:eastAsiaTheme="minorEastAsia"/>
          <w:sz w:val="22"/>
        </w:rPr>
        <w:t xml:space="preserve"> da instalação;</w:t>
      </w:r>
    </w:p>
    <w:p w:rsidR="006F5204" w:rsidRPr="007529F5" w:rsidRDefault="006F5204" w:rsidP="006F5204">
      <w:pPr>
        <w:pStyle w:val="PargrafodaLista"/>
        <w:numPr>
          <w:ilvl w:val="0"/>
          <w:numId w:val="14"/>
        </w:numPr>
        <w:rPr>
          <w:sz w:val="22"/>
        </w:rPr>
      </w:pPr>
      <m:oMath>
        <m:r>
          <w:rPr>
            <w:rFonts w:ascii="Cambria Math" w:hAnsi="Cambria Math"/>
            <w:sz w:val="22"/>
          </w:rPr>
          <m:t>FA</m:t>
        </m:r>
      </m:oMath>
      <w:r w:rsidRPr="007529F5">
        <w:rPr>
          <w:rFonts w:eastAsiaTheme="minorEastAsia"/>
          <w:sz w:val="22"/>
        </w:rPr>
        <w:t xml:space="preserve"> – </w:t>
      </w:r>
      <w:proofErr w:type="gramStart"/>
      <w:r w:rsidRPr="007529F5">
        <w:rPr>
          <w:rFonts w:eastAsiaTheme="minorEastAsia"/>
          <w:sz w:val="22"/>
        </w:rPr>
        <w:t>fator</w:t>
      </w:r>
      <w:proofErr w:type="gramEnd"/>
      <w:r w:rsidRPr="007529F5">
        <w:rPr>
          <w:rFonts w:eastAsiaTheme="minorEastAsia"/>
          <w:sz w:val="22"/>
        </w:rPr>
        <w:t xml:space="preserve"> de agrupamento, conforme tabela 6</w:t>
      </w:r>
      <w:r w:rsidR="00BF6BEC">
        <w:rPr>
          <w:rFonts w:eastAsiaTheme="minorEastAsia"/>
          <w:sz w:val="22"/>
        </w:rPr>
        <w:t xml:space="preserve">b do GED </w:t>
      </w:r>
      <w:r w:rsidRPr="007529F5">
        <w:rPr>
          <w:rFonts w:eastAsiaTheme="minorEastAsia"/>
          <w:sz w:val="22"/>
        </w:rPr>
        <w:t>2856;</w:t>
      </w:r>
    </w:p>
    <w:p w:rsidR="006F5204" w:rsidRPr="007529F5" w:rsidRDefault="006F5204" w:rsidP="006F5204">
      <w:pPr>
        <w:rPr>
          <w:sz w:val="22"/>
        </w:rPr>
      </w:pPr>
    </w:p>
    <w:p w:rsidR="006F5204" w:rsidRPr="007529F5" w:rsidRDefault="006F5204" w:rsidP="006F5204">
      <w:pPr>
        <w:ind w:firstLine="708"/>
        <w:rPr>
          <w:sz w:val="22"/>
        </w:rPr>
      </w:pPr>
      <w:r w:rsidRPr="007529F5">
        <w:rPr>
          <w:sz w:val="22"/>
        </w:rPr>
        <w:t xml:space="preserve">Considerando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I</m:t>
            </m:r>
          </m:e>
          <m:sub>
            <m:r>
              <w:rPr>
                <w:rFonts w:ascii="Cambria Math" w:hAnsi="Cambria Math"/>
                <w:sz w:val="22"/>
              </w:rPr>
              <m:t>BT</m:t>
            </m:r>
          </m:sub>
        </m:sSub>
      </m:oMath>
      <w:r w:rsidR="00BF6BEC">
        <w:rPr>
          <w:sz w:val="22"/>
        </w:rPr>
        <w:t xml:space="preserve">, a tabela 6a do GED </w:t>
      </w:r>
      <w:r w:rsidRPr="007529F5">
        <w:rPr>
          <w:sz w:val="22"/>
        </w:rPr>
        <w:t>2856 e um fator de segurança, os condutores serão determinados como:</w:t>
      </w:r>
    </w:p>
    <w:p w:rsidR="006F5204" w:rsidRPr="007529F5" w:rsidRDefault="006F5204" w:rsidP="006F5204">
      <w:pPr>
        <w:pStyle w:val="PargrafodaLista"/>
        <w:numPr>
          <w:ilvl w:val="0"/>
          <w:numId w:val="13"/>
        </w:numPr>
        <w:rPr>
          <w:sz w:val="22"/>
        </w:rPr>
      </w:pPr>
      <w:r w:rsidRPr="007529F5">
        <w:rPr>
          <w:sz w:val="22"/>
        </w:rPr>
        <w:t>1 condutor isolado u</w:t>
      </w:r>
      <w:r w:rsidR="00EE2D7D">
        <w:rPr>
          <w:sz w:val="22"/>
        </w:rPr>
        <w:t>nipolar neutro, isolação XLPE 9</w:t>
      </w:r>
      <w:r w:rsidR="00A02AD2">
        <w:rPr>
          <w:sz w:val="22"/>
        </w:rPr>
        <w:t xml:space="preserve">0 </w:t>
      </w:r>
      <w:r w:rsidRPr="007529F5">
        <w:rPr>
          <w:sz w:val="22"/>
        </w:rPr>
        <w:t>ºC, classe 0,6/1 kV, cor azul-claro, cl</w:t>
      </w:r>
      <w:r w:rsidR="006F097B">
        <w:rPr>
          <w:sz w:val="22"/>
        </w:rPr>
        <w:t>asse de encordoamento 2, seção 95</w:t>
      </w:r>
      <w:r w:rsidRPr="007529F5">
        <w:rPr>
          <w:sz w:val="22"/>
        </w:rPr>
        <w:t xml:space="preserve"> mm², seguindo método de </w:t>
      </w:r>
      <w:r w:rsidRPr="007529F5">
        <w:rPr>
          <w:sz w:val="22"/>
        </w:rPr>
        <w:lastRenderedPageBreak/>
        <w:t xml:space="preserve">instalação 3, método de referência B1 (NBR 5410), o condutor deve atender a NBR 7285; </w:t>
      </w:r>
    </w:p>
    <w:p w:rsidR="006F5204" w:rsidRPr="007529F5" w:rsidRDefault="006F5204" w:rsidP="006F5204">
      <w:pPr>
        <w:pStyle w:val="PargrafodaLista"/>
        <w:numPr>
          <w:ilvl w:val="0"/>
          <w:numId w:val="13"/>
        </w:numPr>
        <w:rPr>
          <w:sz w:val="22"/>
        </w:rPr>
      </w:pPr>
      <w:r w:rsidRPr="007529F5">
        <w:rPr>
          <w:sz w:val="22"/>
        </w:rPr>
        <w:t>3 condutores unipolares fases, que possuem as seguintes características: condutores isolados unipolares de cobre, isolação XLPE 90ºC, 0,6/1 kV, clas</w:t>
      </w:r>
      <w:r w:rsidR="00A02AD2">
        <w:rPr>
          <w:sz w:val="22"/>
        </w:rPr>
        <w:t>se de encordoamento 2, seção 95</w:t>
      </w:r>
      <w:r w:rsidRPr="007529F5">
        <w:rPr>
          <w:sz w:val="22"/>
        </w:rPr>
        <w:t xml:space="preserve"> mm², seguindo método de instalação 3, método de referência B1 (NBR 5410), o condutor deve atender a NBR 7285; </w:t>
      </w:r>
    </w:p>
    <w:p w:rsidR="006F5204" w:rsidRPr="007529F5" w:rsidRDefault="006F5204" w:rsidP="006F5204">
      <w:pPr>
        <w:rPr>
          <w:sz w:val="22"/>
          <w:highlight w:val="yellow"/>
        </w:rPr>
      </w:pPr>
    </w:p>
    <w:p w:rsidR="006F5204" w:rsidRPr="007529F5" w:rsidRDefault="006F5204" w:rsidP="006F5204">
      <w:pPr>
        <w:rPr>
          <w:sz w:val="22"/>
        </w:rPr>
      </w:pPr>
      <w:r w:rsidRPr="007529F5">
        <w:rPr>
          <w:sz w:val="22"/>
        </w:rPr>
        <w:tab/>
        <w:t xml:space="preserve">Junto ao </w:t>
      </w:r>
      <w:r w:rsidR="00A02AD2">
        <w:rPr>
          <w:sz w:val="22"/>
        </w:rPr>
        <w:t>Poste nº 07</w:t>
      </w:r>
      <w:r w:rsidRPr="007529F5">
        <w:rPr>
          <w:sz w:val="22"/>
        </w:rPr>
        <w:t xml:space="preserve"> deverá ser instalado um eletroduto, que protegerá </w:t>
      </w:r>
      <w:r w:rsidR="00BC441D" w:rsidRPr="007529F5">
        <w:rPr>
          <w:sz w:val="22"/>
        </w:rPr>
        <w:t>os condutores (3F+N</w:t>
      </w:r>
      <w:r w:rsidR="0000450E">
        <w:rPr>
          <w:sz w:val="22"/>
        </w:rPr>
        <w:t>+T</w:t>
      </w:r>
      <w:r w:rsidR="00BC441D" w:rsidRPr="007529F5">
        <w:rPr>
          <w:sz w:val="22"/>
        </w:rPr>
        <w:t>)</w:t>
      </w:r>
      <w:r w:rsidRPr="007529F5">
        <w:rPr>
          <w:sz w:val="22"/>
        </w:rPr>
        <w:t xml:space="preserve"> que liga</w:t>
      </w:r>
      <w:r w:rsidR="00BC441D" w:rsidRPr="007529F5">
        <w:rPr>
          <w:sz w:val="22"/>
        </w:rPr>
        <w:t>m</w:t>
      </w:r>
      <w:r w:rsidRPr="007529F5">
        <w:rPr>
          <w:sz w:val="22"/>
        </w:rPr>
        <w:t xml:space="preserve"> os bornes secundários do transformador ao quadro de medição. O eletroduto deverá ser em aço-carbono zincado por imersão a quente, tipo pesado</w:t>
      </w:r>
      <w:r w:rsidR="00A02AD2">
        <w:rPr>
          <w:sz w:val="22"/>
        </w:rPr>
        <w:t>, com altura mínima do solo 6,50</w:t>
      </w:r>
      <w:r w:rsidRPr="007529F5">
        <w:rPr>
          <w:sz w:val="22"/>
        </w:rPr>
        <w:t xml:space="preserve"> m, diâmetro nominal de 3”, atendendo a NBR-5597, com indicação desta gravada no eletroduto, dimensionado seguindo o método de ocupação máxima em relação a área da seção transversal de 40%, conforme NBR 5410.</w:t>
      </w:r>
    </w:p>
    <w:p w:rsidR="006F5204" w:rsidRPr="007529F5" w:rsidRDefault="006F5204" w:rsidP="006F5204">
      <w:pPr>
        <w:rPr>
          <w:sz w:val="22"/>
        </w:rPr>
      </w:pPr>
      <w:r w:rsidRPr="007529F5">
        <w:rPr>
          <w:sz w:val="22"/>
        </w:rPr>
        <w:tab/>
      </w:r>
    </w:p>
    <w:p w:rsidR="0058614E" w:rsidRPr="007529F5" w:rsidRDefault="008F70A6" w:rsidP="0058614E">
      <w:pPr>
        <w:pStyle w:val="Ttulo1"/>
        <w:rPr>
          <w:sz w:val="22"/>
          <w:szCs w:val="22"/>
        </w:rPr>
      </w:pPr>
      <w:bookmarkStart w:id="6" w:name="_Toc6907449"/>
      <w:r>
        <w:rPr>
          <w:sz w:val="22"/>
          <w:szCs w:val="22"/>
        </w:rPr>
        <w:t>3</w:t>
      </w:r>
      <w:r w:rsidR="00A9538A" w:rsidRPr="007529F5">
        <w:rPr>
          <w:sz w:val="22"/>
          <w:szCs w:val="22"/>
        </w:rPr>
        <w:t>.4</w:t>
      </w:r>
      <w:r w:rsidR="0058614E" w:rsidRPr="007529F5">
        <w:rPr>
          <w:sz w:val="22"/>
          <w:szCs w:val="22"/>
        </w:rPr>
        <w:t xml:space="preserve"> </w:t>
      </w:r>
      <w:r w:rsidR="00A9538A" w:rsidRPr="007529F5">
        <w:rPr>
          <w:sz w:val="22"/>
          <w:szCs w:val="22"/>
        </w:rPr>
        <w:t>Ramal de Baixa Tensão</w:t>
      </w:r>
      <w:bookmarkEnd w:id="6"/>
    </w:p>
    <w:p w:rsidR="006F5204" w:rsidRPr="007529F5" w:rsidRDefault="0058614E" w:rsidP="006F5204">
      <w:pPr>
        <w:rPr>
          <w:sz w:val="22"/>
        </w:rPr>
      </w:pPr>
      <w:r w:rsidRPr="007529F5">
        <w:rPr>
          <w:sz w:val="22"/>
        </w:rPr>
        <w:tab/>
      </w:r>
      <w:r w:rsidR="006F5204" w:rsidRPr="007529F5">
        <w:rPr>
          <w:sz w:val="22"/>
        </w:rPr>
        <w:t>O ramal de BT será compost</w:t>
      </w:r>
      <w:r w:rsidR="00A02AD2">
        <w:rPr>
          <w:sz w:val="22"/>
        </w:rPr>
        <w:t>o de 3 cabos unipolares seção 95</w:t>
      </w:r>
      <w:r w:rsidR="006F5204" w:rsidRPr="007529F5">
        <w:rPr>
          <w:sz w:val="22"/>
        </w:rPr>
        <w:t xml:space="preserve"> mm² para</w:t>
      </w:r>
      <w:r w:rsidR="006F097B">
        <w:rPr>
          <w:sz w:val="22"/>
        </w:rPr>
        <w:t xml:space="preserve"> fase, um cabo unipolar seção 95</w:t>
      </w:r>
      <w:r w:rsidR="006F5204" w:rsidRPr="007529F5">
        <w:rPr>
          <w:sz w:val="22"/>
        </w:rPr>
        <w:t xml:space="preserve"> mm² para o neutro, na cor azul-claro. Os cabos saem das buchas BT do transformador e irão até o disjuntor geral de BT, instalado no painel de medição. Possuirão isolação XLPE, 0,6/1 kV, e serão protegidos mecanicamente neste trajeto por eletroduto de aço-carbono, tipo pesado, de diâmetro 3”.</w:t>
      </w:r>
    </w:p>
    <w:p w:rsidR="006F5204" w:rsidRPr="007529F5" w:rsidRDefault="006F5204" w:rsidP="006F5204">
      <w:pPr>
        <w:rPr>
          <w:sz w:val="22"/>
        </w:rPr>
      </w:pPr>
      <w:r w:rsidRPr="007529F5">
        <w:rPr>
          <w:sz w:val="22"/>
        </w:rPr>
        <w:tab/>
        <w:t>Os condutores fase deverão</w:t>
      </w:r>
      <w:r w:rsidR="00183A22">
        <w:rPr>
          <w:sz w:val="22"/>
        </w:rPr>
        <w:t xml:space="preserve"> ser</w:t>
      </w:r>
      <w:r w:rsidRPr="007529F5">
        <w:rPr>
          <w:sz w:val="22"/>
        </w:rPr>
        <w:t xml:space="preserve"> identificados, ao longo de sua extensão, por anilhas conforme a seguir:</w:t>
      </w:r>
    </w:p>
    <w:p w:rsidR="006F5204" w:rsidRPr="007529F5" w:rsidRDefault="006F5204" w:rsidP="006F5204">
      <w:pPr>
        <w:pStyle w:val="PargrafodaLista"/>
        <w:numPr>
          <w:ilvl w:val="0"/>
          <w:numId w:val="13"/>
        </w:numPr>
        <w:rPr>
          <w:sz w:val="22"/>
        </w:rPr>
      </w:pPr>
      <w:r w:rsidRPr="007529F5">
        <w:rPr>
          <w:sz w:val="22"/>
        </w:rPr>
        <w:t>Fase R: vermelho;</w:t>
      </w:r>
    </w:p>
    <w:p w:rsidR="006F5204" w:rsidRPr="007529F5" w:rsidRDefault="006F5204" w:rsidP="006F5204">
      <w:pPr>
        <w:pStyle w:val="PargrafodaLista"/>
        <w:numPr>
          <w:ilvl w:val="0"/>
          <w:numId w:val="13"/>
        </w:numPr>
        <w:rPr>
          <w:sz w:val="22"/>
        </w:rPr>
      </w:pPr>
      <w:r w:rsidRPr="007529F5">
        <w:rPr>
          <w:sz w:val="22"/>
        </w:rPr>
        <w:t>Fase S: branco;</w:t>
      </w:r>
    </w:p>
    <w:p w:rsidR="006F5204" w:rsidRPr="007529F5" w:rsidRDefault="006F5204" w:rsidP="006F5204">
      <w:pPr>
        <w:pStyle w:val="PargrafodaLista"/>
        <w:numPr>
          <w:ilvl w:val="0"/>
          <w:numId w:val="13"/>
        </w:numPr>
        <w:rPr>
          <w:sz w:val="22"/>
        </w:rPr>
      </w:pPr>
      <w:r w:rsidRPr="007529F5">
        <w:rPr>
          <w:sz w:val="22"/>
        </w:rPr>
        <w:t>Fase T: cinza;</w:t>
      </w:r>
    </w:p>
    <w:p w:rsidR="006F5204" w:rsidRPr="007529F5" w:rsidRDefault="006F5204" w:rsidP="006F5204">
      <w:pPr>
        <w:rPr>
          <w:sz w:val="22"/>
        </w:rPr>
      </w:pPr>
      <w:r w:rsidRPr="007529F5">
        <w:rPr>
          <w:sz w:val="22"/>
        </w:rPr>
        <w:tab/>
        <w:t>O condutor de terra será unipolar, isolação PVC 70ºC, 750 V, cor verde-a</w:t>
      </w:r>
      <w:r w:rsidR="006F097B">
        <w:rPr>
          <w:sz w:val="22"/>
        </w:rPr>
        <w:t>marelo, seção 50</w:t>
      </w:r>
      <w:r w:rsidRPr="007529F5">
        <w:rPr>
          <w:sz w:val="22"/>
        </w:rPr>
        <w:t xml:space="preserve"> mm², servirá para o aterramento da entrada de energia e conexão com o neutro da instalação.</w:t>
      </w:r>
    </w:p>
    <w:p w:rsidR="006F5204" w:rsidRPr="007529F5" w:rsidRDefault="006F5204" w:rsidP="006F5204">
      <w:pPr>
        <w:rPr>
          <w:sz w:val="22"/>
        </w:rPr>
      </w:pPr>
      <w:r w:rsidRPr="007529F5">
        <w:rPr>
          <w:sz w:val="22"/>
        </w:rPr>
        <w:tab/>
        <w:t>Todos os condutores especificados no presente memorial devem ser contínuos, sem emendas e ter comprimento suficiente, de modo a permitir sua conexão aos equipamentos de proteção e medição. O condutor neutro deve ser perfeitamente identificado, tendo sua isolação – não utilizar enfitamento – na cor azul-claro.</w:t>
      </w:r>
    </w:p>
    <w:p w:rsidR="006F5204" w:rsidRPr="007529F5" w:rsidRDefault="006F5204" w:rsidP="006F5204">
      <w:pPr>
        <w:rPr>
          <w:sz w:val="22"/>
        </w:rPr>
      </w:pPr>
      <w:r w:rsidRPr="007529F5">
        <w:rPr>
          <w:sz w:val="22"/>
        </w:rPr>
        <w:lastRenderedPageBreak/>
        <w:tab/>
        <w:t>Todas as emendas, derivações e ligações de equipamentos aos terminais serão feitos através de conectores apropriados, não sendo permitido o uso de solda em hipótese alguma.</w:t>
      </w:r>
    </w:p>
    <w:p w:rsidR="006F5204" w:rsidRPr="007529F5" w:rsidRDefault="006F5204" w:rsidP="006F5204">
      <w:pPr>
        <w:rPr>
          <w:sz w:val="22"/>
        </w:rPr>
      </w:pPr>
    </w:p>
    <w:p w:rsidR="00A73E55" w:rsidRPr="007529F5" w:rsidRDefault="008F70A6" w:rsidP="00A73E55">
      <w:pPr>
        <w:pStyle w:val="Ttulo1"/>
        <w:rPr>
          <w:sz w:val="22"/>
          <w:szCs w:val="22"/>
        </w:rPr>
      </w:pPr>
      <w:bookmarkStart w:id="7" w:name="_Toc6907450"/>
      <w:r>
        <w:rPr>
          <w:sz w:val="22"/>
          <w:szCs w:val="22"/>
        </w:rPr>
        <w:t>3</w:t>
      </w:r>
      <w:r w:rsidR="00A9538A" w:rsidRPr="007529F5">
        <w:rPr>
          <w:sz w:val="22"/>
          <w:szCs w:val="22"/>
        </w:rPr>
        <w:t>.5</w:t>
      </w:r>
      <w:r w:rsidR="00A73E55" w:rsidRPr="007529F5">
        <w:rPr>
          <w:sz w:val="22"/>
          <w:szCs w:val="22"/>
        </w:rPr>
        <w:t xml:space="preserve"> </w:t>
      </w:r>
      <w:r w:rsidR="001F5596">
        <w:rPr>
          <w:sz w:val="22"/>
          <w:szCs w:val="22"/>
        </w:rPr>
        <w:t>Medição</w:t>
      </w:r>
      <w:bookmarkEnd w:id="7"/>
    </w:p>
    <w:p w:rsidR="006F5204" w:rsidRDefault="00BE5451" w:rsidP="006F5204">
      <w:pPr>
        <w:rPr>
          <w:sz w:val="22"/>
        </w:rPr>
      </w:pPr>
      <w:r w:rsidRPr="007529F5">
        <w:rPr>
          <w:sz w:val="22"/>
        </w:rPr>
        <w:tab/>
      </w:r>
      <w:r w:rsidR="006F5204" w:rsidRPr="007529F5">
        <w:rPr>
          <w:sz w:val="22"/>
        </w:rPr>
        <w:t xml:space="preserve">A medição será indireta, </w:t>
      </w:r>
      <w:r w:rsidR="00183A22">
        <w:rPr>
          <w:sz w:val="22"/>
        </w:rPr>
        <w:t>na</w:t>
      </w:r>
      <w:r w:rsidR="006F5204" w:rsidRPr="007529F5">
        <w:rPr>
          <w:sz w:val="22"/>
        </w:rPr>
        <w:t xml:space="preserve"> baixa tensão, sendo a instalação enquadrada no Grupo B, modalidade tarifária convencional, segundo opção de faturamento constante no art.100, inciso I, da resolução nº 414/2010 da ANEEL</w:t>
      </w:r>
      <w:r w:rsidR="00074D71">
        <w:rPr>
          <w:sz w:val="22"/>
        </w:rPr>
        <w:t>.</w:t>
      </w:r>
    </w:p>
    <w:p w:rsidR="00CA655C" w:rsidRDefault="00CA655C" w:rsidP="006F5204">
      <w:pPr>
        <w:rPr>
          <w:sz w:val="22"/>
        </w:rPr>
      </w:pPr>
    </w:p>
    <w:p w:rsidR="00CA655C" w:rsidRPr="00CA655C" w:rsidRDefault="008F70A6" w:rsidP="00CA655C">
      <w:pPr>
        <w:pStyle w:val="Ttulo1"/>
        <w:rPr>
          <w:sz w:val="22"/>
          <w:szCs w:val="22"/>
        </w:rPr>
      </w:pPr>
      <w:bookmarkStart w:id="8" w:name="_Toc6907451"/>
      <w:r>
        <w:rPr>
          <w:sz w:val="22"/>
          <w:szCs w:val="22"/>
        </w:rPr>
        <w:t>3</w:t>
      </w:r>
      <w:r w:rsidR="00CA655C" w:rsidRPr="00CA655C">
        <w:rPr>
          <w:sz w:val="22"/>
          <w:szCs w:val="22"/>
        </w:rPr>
        <w:t>.6 Quadros de Medição e Proteção Geral</w:t>
      </w:r>
      <w:bookmarkEnd w:id="8"/>
    </w:p>
    <w:p w:rsidR="00FD614A" w:rsidRDefault="006F5204" w:rsidP="003313D4">
      <w:pPr>
        <w:rPr>
          <w:sz w:val="22"/>
        </w:rPr>
      </w:pPr>
      <w:r w:rsidRPr="007529F5">
        <w:rPr>
          <w:sz w:val="22"/>
        </w:rPr>
        <w:tab/>
        <w:t>Os equipamentos de medição, caixas, disjuntores e DPS’s serão inst</w:t>
      </w:r>
      <w:r w:rsidR="00A02AD2">
        <w:rPr>
          <w:sz w:val="22"/>
        </w:rPr>
        <w:t>alados adjacentes ao Poste nº 07</w:t>
      </w:r>
      <w:r w:rsidRPr="007529F5">
        <w:rPr>
          <w:sz w:val="22"/>
        </w:rPr>
        <w:t xml:space="preserve">, </w:t>
      </w:r>
      <w:r w:rsidR="00AD6B4B">
        <w:rPr>
          <w:sz w:val="22"/>
        </w:rPr>
        <w:t>junto a mureta de alvenaria</w:t>
      </w:r>
      <w:r w:rsidRPr="007529F5">
        <w:rPr>
          <w:sz w:val="22"/>
        </w:rPr>
        <w:t xml:space="preserve">, conforme exposto na Prancha 02. </w:t>
      </w:r>
    </w:p>
    <w:p w:rsidR="006F5204" w:rsidRDefault="00FD614A" w:rsidP="006F5204">
      <w:pPr>
        <w:ind w:firstLine="708"/>
        <w:rPr>
          <w:sz w:val="22"/>
        </w:rPr>
      </w:pPr>
      <w:r>
        <w:rPr>
          <w:sz w:val="22"/>
        </w:rPr>
        <w:t>A caixa de medição deverá ser</w:t>
      </w:r>
      <w:r w:rsidR="006F5204" w:rsidRPr="007529F5">
        <w:rPr>
          <w:sz w:val="22"/>
        </w:rPr>
        <w:t xml:space="preserve"> em </w:t>
      </w:r>
      <w:r>
        <w:rPr>
          <w:sz w:val="22"/>
        </w:rPr>
        <w:t xml:space="preserve">chapa de ferro nº 18 protegida com duas mãos de zarcão alumínio ou aço inoxidável, </w:t>
      </w:r>
      <w:r w:rsidRPr="000A6964">
        <w:rPr>
          <w:sz w:val="22"/>
        </w:rPr>
        <w:t>a fixação dos equipamentos será sobre quadro de madeira com</w:t>
      </w:r>
      <w:r w:rsidR="000A6964">
        <w:rPr>
          <w:sz w:val="22"/>
        </w:rPr>
        <w:t xml:space="preserve"> fundo de</w:t>
      </w:r>
      <w:r w:rsidRPr="000A6964">
        <w:rPr>
          <w:sz w:val="22"/>
        </w:rPr>
        <w:t xml:space="preserve"> espessura de 20 mm </w:t>
      </w:r>
      <w:r w:rsidR="000A6964">
        <w:rPr>
          <w:sz w:val="22"/>
        </w:rPr>
        <w:t xml:space="preserve">pintada com tinta a óleo. A caixa deverá possuir as </w:t>
      </w:r>
      <w:r w:rsidR="00875420" w:rsidRPr="000A6964">
        <w:rPr>
          <w:sz w:val="22"/>
        </w:rPr>
        <w:t>dimensões mínimas</w:t>
      </w:r>
      <w:r w:rsidR="000A6964">
        <w:rPr>
          <w:sz w:val="22"/>
        </w:rPr>
        <w:t xml:space="preserve"> de</w:t>
      </w:r>
      <w:r w:rsidR="00875420" w:rsidRPr="000A6964">
        <w:rPr>
          <w:sz w:val="22"/>
        </w:rPr>
        <w:t>: 1200x1500x2</w:t>
      </w:r>
      <w:r w:rsidR="000A6964">
        <w:rPr>
          <w:sz w:val="22"/>
        </w:rPr>
        <w:t>00 mm;</w:t>
      </w:r>
      <w:r w:rsidR="006F5204" w:rsidRPr="000A6964">
        <w:rPr>
          <w:sz w:val="22"/>
        </w:rPr>
        <w:t xml:space="preserve"> o compartimento que abrigará a proteção geral na baixa tensão e o DPS terá</w:t>
      </w:r>
      <w:r w:rsidR="00875420" w:rsidRPr="000A6964">
        <w:rPr>
          <w:sz w:val="22"/>
        </w:rPr>
        <w:t xml:space="preserve"> dimensões mínimas de 600x1500x2</w:t>
      </w:r>
      <w:r w:rsidR="006F5204" w:rsidRPr="000A6964">
        <w:rPr>
          <w:sz w:val="22"/>
        </w:rPr>
        <w:t>00 mm, conforme desenho 30 do GED 2861.</w:t>
      </w:r>
    </w:p>
    <w:p w:rsidR="00CA655C" w:rsidRDefault="00CA655C" w:rsidP="006F5204">
      <w:pPr>
        <w:ind w:firstLine="708"/>
        <w:rPr>
          <w:sz w:val="22"/>
        </w:rPr>
      </w:pPr>
      <w:r>
        <w:rPr>
          <w:sz w:val="22"/>
        </w:rPr>
        <w:t>Os quadros especificados no presente memorial serão de sobrepor, possuir barramento de neutro e terra, ser provido de trilho DIN para fixação de barramentos, possui</w:t>
      </w:r>
      <w:r w:rsidR="00AD6B4B">
        <w:rPr>
          <w:sz w:val="22"/>
        </w:rPr>
        <w:t>r índice de proteção mínimo IP</w:t>
      </w:r>
      <w:r w:rsidR="007B3F50">
        <w:rPr>
          <w:sz w:val="22"/>
        </w:rPr>
        <w:t xml:space="preserve"> </w:t>
      </w:r>
      <w:r w:rsidR="00AD6B4B">
        <w:rPr>
          <w:sz w:val="22"/>
        </w:rPr>
        <w:t>67</w:t>
      </w:r>
      <w:r>
        <w:rPr>
          <w:sz w:val="22"/>
        </w:rPr>
        <w:t>.</w:t>
      </w:r>
    </w:p>
    <w:p w:rsidR="00641706" w:rsidRPr="007529F5" w:rsidRDefault="00641706" w:rsidP="006F5204">
      <w:pPr>
        <w:ind w:firstLine="708"/>
        <w:rPr>
          <w:sz w:val="22"/>
        </w:rPr>
      </w:pPr>
      <w:r>
        <w:rPr>
          <w:sz w:val="22"/>
        </w:rPr>
        <w:t>Na porta dos quadro</w:t>
      </w:r>
      <w:r w:rsidR="00682E3D">
        <w:rPr>
          <w:sz w:val="22"/>
        </w:rPr>
        <w:t>s</w:t>
      </w:r>
      <w:r>
        <w:rPr>
          <w:sz w:val="22"/>
        </w:rPr>
        <w:t xml:space="preserve"> de medição e proteção deverá ser fixada uma placa de advertência com os seguintes dizeres “Risco de choque elétrico”.</w:t>
      </w:r>
    </w:p>
    <w:p w:rsidR="006F5204" w:rsidRPr="007529F5" w:rsidRDefault="006F5204" w:rsidP="006F5204">
      <w:pPr>
        <w:rPr>
          <w:sz w:val="22"/>
        </w:rPr>
      </w:pPr>
      <w:r w:rsidRPr="007529F5">
        <w:rPr>
          <w:sz w:val="22"/>
        </w:rPr>
        <w:tab/>
        <w:t>A caixa deverá possuir compartimentos destinados a abrigar os dispositivos de medição, receber os condutores de BT e alojar os transformadores de corrente, que possuirão dispositivos para lacre. O outro compartimento, acessível ao consumidor, será destinado a alojar o disjuntor geral trifásico de baixa tensão e os DPS’s.</w:t>
      </w:r>
    </w:p>
    <w:p w:rsidR="006F5204" w:rsidRPr="007529F5" w:rsidRDefault="006F5204" w:rsidP="006F5204">
      <w:pPr>
        <w:rPr>
          <w:sz w:val="22"/>
        </w:rPr>
      </w:pPr>
      <w:r w:rsidRPr="007529F5">
        <w:rPr>
          <w:sz w:val="22"/>
        </w:rPr>
        <w:tab/>
        <w:t>O padrão de medição seguirá a orientação do desenho 24-1/3 do GED-2861 e será apresentado em detalhes na Prancha 02.</w:t>
      </w:r>
    </w:p>
    <w:p w:rsidR="006F5204" w:rsidRPr="007529F5" w:rsidRDefault="006F5204" w:rsidP="006F5204">
      <w:pPr>
        <w:rPr>
          <w:sz w:val="22"/>
        </w:rPr>
      </w:pPr>
      <w:r w:rsidRPr="007529F5">
        <w:rPr>
          <w:sz w:val="22"/>
        </w:rPr>
        <w:tab/>
        <w:t>O esquema para o sistema de medição e faturamento deverá seguir o desenho 33 do GED-2861.</w:t>
      </w:r>
    </w:p>
    <w:p w:rsidR="006F5204" w:rsidRPr="007529F5" w:rsidRDefault="006F5204" w:rsidP="006F5204">
      <w:pPr>
        <w:rPr>
          <w:sz w:val="22"/>
        </w:rPr>
      </w:pPr>
      <w:r w:rsidRPr="007529F5">
        <w:rPr>
          <w:sz w:val="22"/>
        </w:rPr>
        <w:tab/>
        <w:t>O modelo de montagem e instalação dos TC’s será conforme o desenho 35-1/3 do GED-2861.</w:t>
      </w:r>
    </w:p>
    <w:p w:rsidR="00343CEA" w:rsidRPr="007529F5" w:rsidRDefault="00343CEA" w:rsidP="00343CEA">
      <w:pPr>
        <w:rPr>
          <w:sz w:val="22"/>
        </w:rPr>
      </w:pPr>
    </w:p>
    <w:p w:rsidR="00A52842" w:rsidRPr="007529F5" w:rsidRDefault="008F70A6" w:rsidP="00A52842">
      <w:pPr>
        <w:pStyle w:val="Ttulo1"/>
        <w:rPr>
          <w:sz w:val="22"/>
          <w:szCs w:val="22"/>
        </w:rPr>
      </w:pPr>
      <w:bookmarkStart w:id="9" w:name="_Toc6907452"/>
      <w:r>
        <w:rPr>
          <w:sz w:val="22"/>
          <w:szCs w:val="22"/>
        </w:rPr>
        <w:t>3.</w:t>
      </w:r>
      <w:r w:rsidR="00CA655C">
        <w:rPr>
          <w:sz w:val="22"/>
          <w:szCs w:val="22"/>
        </w:rPr>
        <w:t>7</w:t>
      </w:r>
      <w:r w:rsidR="00A52842" w:rsidRPr="007529F5">
        <w:rPr>
          <w:sz w:val="22"/>
          <w:szCs w:val="22"/>
        </w:rPr>
        <w:t xml:space="preserve"> </w:t>
      </w:r>
      <w:r w:rsidR="00AD6B4B">
        <w:rPr>
          <w:sz w:val="22"/>
          <w:szCs w:val="22"/>
        </w:rPr>
        <w:t>Mureta</w:t>
      </w:r>
      <w:r w:rsidR="00A52842" w:rsidRPr="007529F5">
        <w:rPr>
          <w:sz w:val="22"/>
          <w:szCs w:val="22"/>
        </w:rPr>
        <w:t xml:space="preserve"> em Alvenaria</w:t>
      </w:r>
      <w:bookmarkEnd w:id="9"/>
    </w:p>
    <w:p w:rsidR="00A52842" w:rsidRPr="007529F5" w:rsidRDefault="00A52842" w:rsidP="00A52842">
      <w:pPr>
        <w:rPr>
          <w:sz w:val="22"/>
        </w:rPr>
      </w:pPr>
      <w:r w:rsidRPr="007529F5">
        <w:rPr>
          <w:sz w:val="22"/>
        </w:rPr>
        <w:tab/>
        <w:t>Os equipamentos da mediçã</w:t>
      </w:r>
      <w:r w:rsidR="00AD6B4B">
        <w:rPr>
          <w:sz w:val="22"/>
        </w:rPr>
        <w:t>o e proteção geral na BT serão instalados em mureta</w:t>
      </w:r>
      <w:r w:rsidRPr="007529F5">
        <w:rPr>
          <w:sz w:val="22"/>
        </w:rPr>
        <w:t xml:space="preserve"> </w:t>
      </w:r>
      <w:r w:rsidR="00AD6B4B">
        <w:rPr>
          <w:sz w:val="22"/>
        </w:rPr>
        <w:t>de</w:t>
      </w:r>
      <w:r w:rsidRPr="007529F5">
        <w:rPr>
          <w:sz w:val="22"/>
        </w:rPr>
        <w:t xml:space="preserve"> alvenaria</w:t>
      </w:r>
      <w:r w:rsidR="00AD6B4B">
        <w:rPr>
          <w:sz w:val="22"/>
        </w:rPr>
        <w:t xml:space="preserve"> maciça já existente no local da entrada de energia.</w:t>
      </w:r>
    </w:p>
    <w:p w:rsidR="00964A2E" w:rsidRPr="007529F5" w:rsidRDefault="00964A2E" w:rsidP="00A52842">
      <w:pPr>
        <w:rPr>
          <w:sz w:val="22"/>
        </w:rPr>
      </w:pPr>
      <w:r w:rsidRPr="007529F5">
        <w:rPr>
          <w:sz w:val="22"/>
        </w:rPr>
        <w:tab/>
        <w:t xml:space="preserve">No lado externo </w:t>
      </w:r>
      <w:r w:rsidR="00AD6B4B">
        <w:rPr>
          <w:sz w:val="22"/>
        </w:rPr>
        <w:t>das portas das caixas de medição e proteção, instaladas junto à mureta,</w:t>
      </w:r>
      <w:r w:rsidRPr="007529F5">
        <w:rPr>
          <w:sz w:val="22"/>
        </w:rPr>
        <w:t xml:space="preserve"> serão fixadas placas com os dizeres “PERIGO ALTA TENSÃO” conforme Prancha 02.</w:t>
      </w:r>
    </w:p>
    <w:p w:rsidR="00964A2E" w:rsidRDefault="00964A2E" w:rsidP="00A52842">
      <w:pPr>
        <w:rPr>
          <w:sz w:val="22"/>
        </w:rPr>
      </w:pPr>
      <w:r w:rsidRPr="007529F5">
        <w:rPr>
          <w:sz w:val="22"/>
        </w:rPr>
        <w:tab/>
        <w:t xml:space="preserve"> </w:t>
      </w:r>
      <w:r w:rsidR="00AD6B4B">
        <w:rPr>
          <w:sz w:val="22"/>
        </w:rPr>
        <w:t>A figura 02 apresentará a respectiva mureta, a qual será reutilizada apenas a parte civil, pois sua parte elétrica será readequada para atender as especificações do presente memorial t</w:t>
      </w:r>
      <w:r w:rsidR="007B3F50">
        <w:rPr>
          <w:sz w:val="22"/>
        </w:rPr>
        <w:t>écnico. O poste presente na figura 02 será substituído pelo</w:t>
      </w:r>
      <w:r w:rsidR="00FD7327">
        <w:rPr>
          <w:sz w:val="22"/>
        </w:rPr>
        <w:t xml:space="preserve"> especificado na seção 3</w:t>
      </w:r>
      <w:r w:rsidR="00AD6B4B">
        <w:rPr>
          <w:sz w:val="22"/>
        </w:rPr>
        <w:t>.3.</w:t>
      </w:r>
    </w:p>
    <w:p w:rsidR="00A02AD2" w:rsidRDefault="00A02AD2" w:rsidP="00A52842">
      <w:pPr>
        <w:rPr>
          <w:sz w:val="22"/>
        </w:rPr>
      </w:pPr>
      <w:r>
        <w:rPr>
          <w:sz w:val="22"/>
        </w:rPr>
        <w:tab/>
        <w:t xml:space="preserve">Ressalta-se que </w:t>
      </w:r>
      <w:proofErr w:type="spellStart"/>
      <w:r>
        <w:rPr>
          <w:sz w:val="22"/>
        </w:rPr>
        <w:t>supracita</w:t>
      </w:r>
      <w:proofErr w:type="spellEnd"/>
      <w:r>
        <w:rPr>
          <w:sz w:val="22"/>
        </w:rPr>
        <w:t xml:space="preserve"> mureta se encontra </w:t>
      </w:r>
      <w:proofErr w:type="spellStart"/>
      <w:r>
        <w:rPr>
          <w:sz w:val="22"/>
        </w:rPr>
        <w:t>desenergizada</w:t>
      </w:r>
      <w:proofErr w:type="spellEnd"/>
      <w:r>
        <w:rPr>
          <w:sz w:val="22"/>
        </w:rPr>
        <w:t>, sendo que o compartimento de medição e proteção geral atualmente utilizado é apresentado na figura 03.</w:t>
      </w:r>
    </w:p>
    <w:p w:rsidR="00A02AD2" w:rsidRDefault="00A02AD2" w:rsidP="00A52842">
      <w:pPr>
        <w:rPr>
          <w:sz w:val="22"/>
        </w:rPr>
      </w:pPr>
    </w:p>
    <w:p w:rsidR="00AD6B4B" w:rsidRPr="00AD6B4B" w:rsidRDefault="00AD6B4B" w:rsidP="00AD6B4B">
      <w:pPr>
        <w:keepNext/>
        <w:jc w:val="center"/>
        <w:rPr>
          <w:color w:val="000000" w:themeColor="text1"/>
          <w:sz w:val="20"/>
          <w:szCs w:val="20"/>
        </w:rPr>
      </w:pPr>
      <w:r w:rsidRPr="00AD6B4B">
        <w:rPr>
          <w:noProof/>
          <w:color w:val="000000" w:themeColor="text1"/>
          <w:sz w:val="20"/>
          <w:szCs w:val="20"/>
          <w:lang w:eastAsia="pt-BR"/>
        </w:rPr>
        <w:drawing>
          <wp:inline distT="0" distB="0" distL="0" distR="0">
            <wp:extent cx="4448175" cy="2502099"/>
            <wp:effectExtent l="0" t="0" r="0" b="0"/>
            <wp:docPr id="9" name="Imagem 9" descr="\\SMB\ambtrab\lnk_engenharia\01. ARQUIVOS DOS SERVIDORES\Wellington\Campus Veranopolis\Projeto Subestacao - Entrada de Energia\Arquivos Usados no Projeto\Imagens Visita dia 27-11-2018\WhatsApp Image 2018-11-27 at 11.00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MB\ambtrab\lnk_engenharia\01. ARQUIVOS DOS SERVIDORES\Wellington\Campus Veranopolis\Projeto Subestacao - Entrada de Energia\Arquivos Usados no Projeto\Imagens Visita dia 27-11-2018\WhatsApp Image 2018-11-27 at 11.00.2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801" cy="250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B4B" w:rsidRPr="00AD6B4B" w:rsidRDefault="00AD6B4B" w:rsidP="00AD6B4B">
      <w:pPr>
        <w:pStyle w:val="Legenda"/>
        <w:jc w:val="center"/>
        <w:rPr>
          <w:i w:val="0"/>
          <w:color w:val="000000" w:themeColor="text1"/>
          <w:sz w:val="20"/>
          <w:szCs w:val="20"/>
        </w:rPr>
      </w:pPr>
      <w:r w:rsidRPr="00AD6B4B">
        <w:rPr>
          <w:i w:val="0"/>
          <w:color w:val="000000" w:themeColor="text1"/>
          <w:sz w:val="20"/>
          <w:szCs w:val="20"/>
        </w:rPr>
        <w:t xml:space="preserve">Figura </w:t>
      </w:r>
      <w:r w:rsidRPr="00AD6B4B">
        <w:rPr>
          <w:i w:val="0"/>
          <w:color w:val="000000" w:themeColor="text1"/>
          <w:sz w:val="20"/>
          <w:szCs w:val="20"/>
        </w:rPr>
        <w:fldChar w:fldCharType="begin"/>
      </w:r>
      <w:r w:rsidRPr="00AD6B4B">
        <w:rPr>
          <w:i w:val="0"/>
          <w:color w:val="000000" w:themeColor="text1"/>
          <w:sz w:val="20"/>
          <w:szCs w:val="20"/>
        </w:rPr>
        <w:instrText xml:space="preserve"> SEQ Figura \* ARABIC </w:instrText>
      </w:r>
      <w:r w:rsidRPr="00AD6B4B">
        <w:rPr>
          <w:i w:val="0"/>
          <w:color w:val="000000" w:themeColor="text1"/>
          <w:sz w:val="20"/>
          <w:szCs w:val="20"/>
        </w:rPr>
        <w:fldChar w:fldCharType="separate"/>
      </w:r>
      <w:r w:rsidR="005142B9">
        <w:rPr>
          <w:i w:val="0"/>
          <w:noProof/>
          <w:color w:val="000000" w:themeColor="text1"/>
          <w:sz w:val="20"/>
          <w:szCs w:val="20"/>
        </w:rPr>
        <w:t>2</w:t>
      </w:r>
      <w:r w:rsidRPr="00AD6B4B">
        <w:rPr>
          <w:i w:val="0"/>
          <w:color w:val="000000" w:themeColor="text1"/>
          <w:sz w:val="20"/>
          <w:szCs w:val="20"/>
        </w:rPr>
        <w:fldChar w:fldCharType="end"/>
      </w:r>
      <w:r w:rsidRPr="00AD6B4B">
        <w:rPr>
          <w:i w:val="0"/>
          <w:color w:val="000000" w:themeColor="text1"/>
          <w:sz w:val="20"/>
          <w:szCs w:val="20"/>
        </w:rPr>
        <w:t xml:space="preserve"> - Mureta de Alvenaria Maciça existente no local.</w:t>
      </w:r>
    </w:p>
    <w:p w:rsidR="00A02AD2" w:rsidRPr="00A02AD2" w:rsidRDefault="00A02AD2" w:rsidP="00A02AD2">
      <w:pPr>
        <w:keepNext/>
        <w:jc w:val="center"/>
        <w:rPr>
          <w:color w:val="000000" w:themeColor="text1"/>
          <w:sz w:val="20"/>
          <w:szCs w:val="20"/>
        </w:rPr>
      </w:pPr>
      <w:r w:rsidRPr="00A02AD2">
        <w:rPr>
          <w:noProof/>
          <w:color w:val="000000" w:themeColor="text1"/>
          <w:sz w:val="20"/>
          <w:szCs w:val="20"/>
          <w:lang w:eastAsia="pt-BR"/>
        </w:rPr>
        <w:lastRenderedPageBreak/>
        <w:drawing>
          <wp:inline distT="0" distB="0" distL="0" distR="0" wp14:anchorId="064DB674" wp14:editId="16015CF6">
            <wp:extent cx="2000250" cy="28765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F35" w:rsidRPr="00A02AD2" w:rsidRDefault="00A02AD2" w:rsidP="00A02AD2">
      <w:pPr>
        <w:pStyle w:val="Legenda"/>
        <w:jc w:val="center"/>
        <w:rPr>
          <w:i w:val="0"/>
          <w:color w:val="000000" w:themeColor="text1"/>
          <w:sz w:val="20"/>
          <w:szCs w:val="20"/>
        </w:rPr>
      </w:pPr>
      <w:r w:rsidRPr="00A02AD2">
        <w:rPr>
          <w:i w:val="0"/>
          <w:color w:val="000000" w:themeColor="text1"/>
          <w:sz w:val="20"/>
          <w:szCs w:val="20"/>
        </w:rPr>
        <w:t xml:space="preserve">Figura </w:t>
      </w:r>
      <w:r w:rsidRPr="00A02AD2">
        <w:rPr>
          <w:i w:val="0"/>
          <w:color w:val="000000" w:themeColor="text1"/>
          <w:sz w:val="20"/>
          <w:szCs w:val="20"/>
        </w:rPr>
        <w:fldChar w:fldCharType="begin"/>
      </w:r>
      <w:r w:rsidRPr="00A02AD2">
        <w:rPr>
          <w:i w:val="0"/>
          <w:color w:val="000000" w:themeColor="text1"/>
          <w:sz w:val="20"/>
          <w:szCs w:val="20"/>
        </w:rPr>
        <w:instrText xml:space="preserve"> SEQ Figura \* ARABIC </w:instrText>
      </w:r>
      <w:r w:rsidRPr="00A02AD2">
        <w:rPr>
          <w:i w:val="0"/>
          <w:color w:val="000000" w:themeColor="text1"/>
          <w:sz w:val="20"/>
          <w:szCs w:val="20"/>
        </w:rPr>
        <w:fldChar w:fldCharType="separate"/>
      </w:r>
      <w:r w:rsidR="005142B9">
        <w:rPr>
          <w:i w:val="0"/>
          <w:noProof/>
          <w:color w:val="000000" w:themeColor="text1"/>
          <w:sz w:val="20"/>
          <w:szCs w:val="20"/>
        </w:rPr>
        <w:t>3</w:t>
      </w:r>
      <w:r w:rsidRPr="00A02AD2">
        <w:rPr>
          <w:i w:val="0"/>
          <w:color w:val="000000" w:themeColor="text1"/>
          <w:sz w:val="20"/>
          <w:szCs w:val="20"/>
        </w:rPr>
        <w:fldChar w:fldCharType="end"/>
      </w:r>
      <w:r w:rsidRPr="00A02AD2">
        <w:rPr>
          <w:i w:val="0"/>
          <w:color w:val="000000" w:themeColor="text1"/>
          <w:sz w:val="20"/>
          <w:szCs w:val="20"/>
        </w:rPr>
        <w:t xml:space="preserve"> - Posto de Medição atualmente em uso.</w:t>
      </w:r>
    </w:p>
    <w:p w:rsidR="00A73E55" w:rsidRDefault="00692F35" w:rsidP="00692F35">
      <w:pPr>
        <w:ind w:firstLine="708"/>
        <w:rPr>
          <w:sz w:val="22"/>
        </w:rPr>
      </w:pPr>
      <w:r>
        <w:rPr>
          <w:sz w:val="22"/>
        </w:rPr>
        <w:t>As entradas e saídas de condutores pelos eletrodutos na mureta de alvenaria devem ser vedados com silicone/massa de calefadora após a passagem dos cabos, para impedir a entrada de animais roedores e outros que possam causar danos aos equipamentos e/ou instalações.</w:t>
      </w:r>
    </w:p>
    <w:p w:rsidR="00FD7327" w:rsidRDefault="00FD7327" w:rsidP="00692F35">
      <w:pPr>
        <w:ind w:firstLine="708"/>
        <w:rPr>
          <w:sz w:val="22"/>
        </w:rPr>
      </w:pPr>
      <w:r>
        <w:rPr>
          <w:sz w:val="22"/>
        </w:rPr>
        <w:t xml:space="preserve">A parte superior da estrutura da mureta deverá ter sua cobertura construída em placa de concreto armado, resistente à infiltração de água e coberta por </w:t>
      </w:r>
      <w:proofErr w:type="spellStart"/>
      <w:r>
        <w:rPr>
          <w:sz w:val="22"/>
        </w:rPr>
        <w:t>calhetão</w:t>
      </w:r>
      <w:proofErr w:type="spellEnd"/>
      <w:r>
        <w:rPr>
          <w:sz w:val="22"/>
        </w:rPr>
        <w:t>.</w:t>
      </w:r>
    </w:p>
    <w:p w:rsidR="00692F35" w:rsidRPr="007529F5" w:rsidRDefault="00692F35" w:rsidP="00AD6B4B">
      <w:pPr>
        <w:rPr>
          <w:sz w:val="22"/>
        </w:rPr>
      </w:pPr>
    </w:p>
    <w:p w:rsidR="00D4118C" w:rsidRPr="007529F5" w:rsidRDefault="008F70A6" w:rsidP="00D4118C">
      <w:pPr>
        <w:pStyle w:val="Ttulo1"/>
        <w:rPr>
          <w:sz w:val="22"/>
          <w:szCs w:val="22"/>
        </w:rPr>
      </w:pPr>
      <w:bookmarkStart w:id="10" w:name="_Toc6907453"/>
      <w:r>
        <w:rPr>
          <w:sz w:val="22"/>
          <w:szCs w:val="22"/>
        </w:rPr>
        <w:t>3</w:t>
      </w:r>
      <w:r w:rsidR="00CA655C">
        <w:rPr>
          <w:sz w:val="22"/>
          <w:szCs w:val="22"/>
        </w:rPr>
        <w:t>.8</w:t>
      </w:r>
      <w:r w:rsidR="00D4118C" w:rsidRPr="007529F5">
        <w:rPr>
          <w:sz w:val="22"/>
          <w:szCs w:val="22"/>
        </w:rPr>
        <w:t xml:space="preserve"> </w:t>
      </w:r>
      <w:r w:rsidR="00A9538A" w:rsidRPr="007529F5">
        <w:rPr>
          <w:sz w:val="22"/>
          <w:szCs w:val="22"/>
        </w:rPr>
        <w:t>Transformador</w:t>
      </w:r>
      <w:bookmarkEnd w:id="10"/>
    </w:p>
    <w:p w:rsidR="00D4118C" w:rsidRPr="007529F5" w:rsidRDefault="00D4118C" w:rsidP="00D4118C">
      <w:pPr>
        <w:rPr>
          <w:sz w:val="22"/>
        </w:rPr>
      </w:pPr>
      <w:r w:rsidRPr="007529F5">
        <w:rPr>
          <w:sz w:val="22"/>
        </w:rPr>
        <w:tab/>
        <w:t>O transformador a ser instalado será trifásico, isolação a óleo mineral, potênc</w:t>
      </w:r>
      <w:r w:rsidR="00ED1E47">
        <w:rPr>
          <w:sz w:val="22"/>
        </w:rPr>
        <w:t>ia 112,5 kVA, tensão primária 23,1</w:t>
      </w:r>
      <w:r w:rsidRPr="007529F5">
        <w:rPr>
          <w:sz w:val="22"/>
        </w:rPr>
        <w:t xml:space="preserve"> kV, tensão secundária 380/220 V (neutro aterrado), frequência 60 H</w:t>
      </w:r>
      <w:r w:rsidR="00D147B7" w:rsidRPr="007529F5">
        <w:rPr>
          <w:sz w:val="22"/>
        </w:rPr>
        <w:t>z, tensão de isol</w:t>
      </w:r>
      <w:r w:rsidR="00ED1E47">
        <w:rPr>
          <w:sz w:val="22"/>
        </w:rPr>
        <w:t>amento classe 25 kV, NBI 1</w:t>
      </w:r>
      <w:r w:rsidR="00D83E56">
        <w:rPr>
          <w:sz w:val="22"/>
        </w:rPr>
        <w:t>25 kV, impedância percentual 4</w:t>
      </w:r>
      <w:r w:rsidR="001A5A44" w:rsidRPr="007529F5">
        <w:rPr>
          <w:sz w:val="22"/>
        </w:rPr>
        <w:t xml:space="preserve">%, massa de aproximadamente 560 kg. </w:t>
      </w:r>
      <w:r w:rsidRPr="007529F5">
        <w:rPr>
          <w:sz w:val="22"/>
        </w:rPr>
        <w:t>A ligação do primário será e</w:t>
      </w:r>
      <w:r w:rsidR="00D91224" w:rsidRPr="007529F5">
        <w:rPr>
          <w:sz w:val="22"/>
        </w:rPr>
        <w:t>m Triângulo e a do secundário em</w:t>
      </w:r>
      <w:r w:rsidR="00773D74" w:rsidRPr="007529F5">
        <w:rPr>
          <w:sz w:val="22"/>
        </w:rPr>
        <w:t xml:space="preserve"> Estrela, com neutro acessível (Grupo ligação WT – Dyn1).</w:t>
      </w:r>
    </w:p>
    <w:p w:rsidR="00733EC2" w:rsidRPr="007529F5" w:rsidRDefault="00733EC2" w:rsidP="00733EC2">
      <w:pPr>
        <w:ind w:firstLine="708"/>
        <w:rPr>
          <w:sz w:val="22"/>
        </w:rPr>
      </w:pPr>
      <w:r w:rsidRPr="007529F5">
        <w:rPr>
          <w:sz w:val="22"/>
        </w:rPr>
        <w:t>O transformador deverá ser de fabricante cadastrado, constante no documento GED-16794, para a potência especificada de 112,5 kVA; pois a medição será em tensão secundária.</w:t>
      </w:r>
    </w:p>
    <w:p w:rsidR="00773D74" w:rsidRPr="007529F5" w:rsidRDefault="00773D74" w:rsidP="00D4118C">
      <w:pPr>
        <w:rPr>
          <w:sz w:val="22"/>
        </w:rPr>
      </w:pPr>
      <w:r w:rsidRPr="007529F5">
        <w:rPr>
          <w:sz w:val="22"/>
        </w:rPr>
        <w:tab/>
        <w:t xml:space="preserve">O transformador deverá possuir forma construtiva selada para instalação ao tempo, classe de temperatura de material isolante E (120 °C), refrigeração tipo ONAN. </w:t>
      </w:r>
      <w:r w:rsidRPr="007529F5">
        <w:rPr>
          <w:sz w:val="22"/>
        </w:rPr>
        <w:lastRenderedPageBreak/>
        <w:t>Ademais deverá atender a NBR 5440 no que couber e a NBR 5356, com seus subconjuntos.</w:t>
      </w:r>
    </w:p>
    <w:p w:rsidR="00D4118C" w:rsidRPr="007529F5" w:rsidRDefault="00D4118C" w:rsidP="00D4118C">
      <w:pPr>
        <w:rPr>
          <w:sz w:val="22"/>
        </w:rPr>
      </w:pPr>
      <w:r w:rsidRPr="007529F5">
        <w:rPr>
          <w:sz w:val="22"/>
        </w:rPr>
        <w:tab/>
        <w:t xml:space="preserve">O deslocamento angular do transformador será de 30º, com as tensões </w:t>
      </w:r>
      <w:r w:rsidR="00D147B7" w:rsidRPr="007529F5">
        <w:rPr>
          <w:sz w:val="22"/>
        </w:rPr>
        <w:t>de fases em BT atrasados em relação às correspondentes tensões em MT.</w:t>
      </w:r>
    </w:p>
    <w:p w:rsidR="007A1A72" w:rsidRPr="007529F5" w:rsidRDefault="007A1A72" w:rsidP="0058614E">
      <w:pPr>
        <w:rPr>
          <w:rFonts w:cs="Arial"/>
          <w:sz w:val="22"/>
        </w:rPr>
      </w:pPr>
      <w:r w:rsidRPr="007529F5">
        <w:rPr>
          <w:sz w:val="22"/>
        </w:rPr>
        <w:tab/>
      </w:r>
      <w:r w:rsidR="00D4118C" w:rsidRPr="007529F5">
        <w:rPr>
          <w:sz w:val="22"/>
        </w:rPr>
        <w:t>O sistema de proteção</w:t>
      </w:r>
      <w:r w:rsidR="00D147B7" w:rsidRPr="007529F5">
        <w:rPr>
          <w:sz w:val="22"/>
        </w:rPr>
        <w:t xml:space="preserve"> do transformador seguirá o indicado no desenho 23 do GED-2861,</w:t>
      </w:r>
      <w:r w:rsidR="00DE7F4A" w:rsidRPr="007529F5">
        <w:rPr>
          <w:sz w:val="22"/>
        </w:rPr>
        <w:t xml:space="preserve"> para posto de transformação ao tempo com medição em BT,</w:t>
      </w:r>
      <w:r w:rsidR="00D147B7" w:rsidRPr="007529F5">
        <w:rPr>
          <w:sz w:val="22"/>
        </w:rPr>
        <w:t xml:space="preserve"> sendo constituído dos seguintes equipamentos: para-raios, c</w:t>
      </w:r>
      <w:r w:rsidR="00D147B7" w:rsidRPr="007529F5">
        <w:rPr>
          <w:rFonts w:cs="Arial"/>
          <w:sz w:val="22"/>
        </w:rPr>
        <w:t>have fusível com engate para dispositivo de abertura sob carga e disjuntor geral na BT. O esquema unifilar do sistem</w:t>
      </w:r>
      <w:r w:rsidR="00DE7F4A" w:rsidRPr="007529F5">
        <w:rPr>
          <w:rFonts w:cs="Arial"/>
          <w:sz w:val="22"/>
        </w:rPr>
        <w:t>a será apresentado na Prancha 01</w:t>
      </w:r>
      <w:r w:rsidR="00D147B7" w:rsidRPr="007529F5">
        <w:rPr>
          <w:rFonts w:cs="Arial"/>
          <w:sz w:val="22"/>
        </w:rPr>
        <w:t>.</w:t>
      </w:r>
    </w:p>
    <w:p w:rsidR="0021142E" w:rsidRPr="007529F5" w:rsidRDefault="0021142E" w:rsidP="0058614E">
      <w:pPr>
        <w:rPr>
          <w:rFonts w:cs="Arial"/>
          <w:sz w:val="22"/>
        </w:rPr>
      </w:pPr>
    </w:p>
    <w:p w:rsidR="0021142E" w:rsidRPr="007529F5" w:rsidRDefault="008F70A6" w:rsidP="0021142E">
      <w:pPr>
        <w:pStyle w:val="Ttulo1"/>
        <w:rPr>
          <w:sz w:val="22"/>
          <w:szCs w:val="22"/>
        </w:rPr>
      </w:pPr>
      <w:bookmarkStart w:id="11" w:name="_Toc6907454"/>
      <w:r>
        <w:rPr>
          <w:sz w:val="22"/>
          <w:szCs w:val="22"/>
        </w:rPr>
        <w:t>3</w:t>
      </w:r>
      <w:r w:rsidR="00DC2D62">
        <w:rPr>
          <w:sz w:val="22"/>
          <w:szCs w:val="22"/>
        </w:rPr>
        <w:t>.9</w:t>
      </w:r>
      <w:r w:rsidR="0021142E" w:rsidRPr="007529F5">
        <w:rPr>
          <w:sz w:val="22"/>
          <w:szCs w:val="22"/>
        </w:rPr>
        <w:t xml:space="preserve"> Determinação da Corrente de Curto-Circuito</w:t>
      </w:r>
      <w:bookmarkEnd w:id="11"/>
    </w:p>
    <w:p w:rsidR="003825C0" w:rsidRPr="007529F5" w:rsidRDefault="003825C0" w:rsidP="003825C0">
      <w:pPr>
        <w:rPr>
          <w:sz w:val="22"/>
        </w:rPr>
      </w:pPr>
      <w:r w:rsidRPr="007529F5">
        <w:rPr>
          <w:sz w:val="22"/>
        </w:rPr>
        <w:tab/>
        <w:t xml:space="preserve">A presente subseção destina-se a apresentar o processo simplificado </w:t>
      </w:r>
      <w:r w:rsidR="007B3F50">
        <w:rPr>
          <w:sz w:val="22"/>
        </w:rPr>
        <w:t xml:space="preserve">de cálculo </w:t>
      </w:r>
      <w:r w:rsidRPr="007529F5">
        <w:rPr>
          <w:sz w:val="22"/>
        </w:rPr>
        <w:t>das correntes de c</w:t>
      </w:r>
      <w:r w:rsidR="007B3F50">
        <w:rPr>
          <w:sz w:val="22"/>
        </w:rPr>
        <w:t xml:space="preserve">urto-circuito máximas </w:t>
      </w:r>
      <w:r w:rsidRPr="007529F5">
        <w:rPr>
          <w:sz w:val="22"/>
        </w:rPr>
        <w:t>na instalação – do transformador até o disjuntor geral trifásico da instalação – a fim do dimensionamento da corrente mínima de interrupção</w:t>
      </w:r>
      <w:r w:rsidR="00971FBD">
        <w:rPr>
          <w:sz w:val="22"/>
        </w:rPr>
        <w:t xml:space="preserve"> (Icu)</w:t>
      </w:r>
      <w:r w:rsidRPr="007529F5">
        <w:rPr>
          <w:sz w:val="22"/>
        </w:rPr>
        <w:t xml:space="preserve"> a ser especificada para os disjuntores do presente memorial.</w:t>
      </w:r>
    </w:p>
    <w:p w:rsidR="003825C0" w:rsidRPr="007529F5" w:rsidRDefault="003825C0" w:rsidP="003825C0">
      <w:pPr>
        <w:rPr>
          <w:sz w:val="22"/>
        </w:rPr>
      </w:pPr>
      <w:r w:rsidRPr="007529F5">
        <w:rPr>
          <w:sz w:val="22"/>
        </w:rPr>
        <w:tab/>
        <w:t>O memorial de cálculo leva em consideração as seguintes especificações, quais sejam:</w:t>
      </w:r>
    </w:p>
    <w:p w:rsidR="0021142E" w:rsidRPr="007529F5" w:rsidRDefault="00235E23" w:rsidP="003825C0">
      <w:pPr>
        <w:pStyle w:val="PargrafodaLista"/>
        <w:numPr>
          <w:ilvl w:val="0"/>
          <w:numId w:val="16"/>
        </w:numPr>
        <w:rPr>
          <w:sz w:val="22"/>
        </w:rPr>
      </w:pPr>
      <w:r>
        <w:rPr>
          <w:sz w:val="22"/>
        </w:rPr>
        <w:t xml:space="preserve">Perdas do transformador </w:t>
      </w:r>
      <m:oMath>
        <m:r>
          <w:rPr>
            <w:rFonts w:ascii="Cambria Math" w:hAnsi="Cambria Math"/>
            <w:sz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W</m:t>
            </m:r>
          </m:sub>
        </m:sSub>
        <m:r>
          <w:rPr>
            <w:rFonts w:ascii="Cambria Math" w:hAnsi="Cambria Math"/>
            <w:sz w:val="22"/>
          </w:rPr>
          <m:t>)</m:t>
        </m:r>
      </m:oMath>
      <w:r>
        <w:rPr>
          <w:rFonts w:eastAsiaTheme="minorEastAsia"/>
          <w:sz w:val="22"/>
        </w:rPr>
        <w:t xml:space="preserve">: </w:t>
      </w:r>
      <w:r w:rsidR="00D83E56">
        <w:rPr>
          <w:sz w:val="22"/>
        </w:rPr>
        <w:t>1780</w:t>
      </w:r>
      <w:r w:rsidR="003825C0" w:rsidRPr="007529F5">
        <w:rPr>
          <w:sz w:val="22"/>
        </w:rPr>
        <w:t xml:space="preserve"> W;</w:t>
      </w:r>
    </w:p>
    <w:p w:rsidR="003825C0" w:rsidRPr="007529F5" w:rsidRDefault="003825C0" w:rsidP="003825C0">
      <w:pPr>
        <w:pStyle w:val="PargrafodaLista"/>
        <w:numPr>
          <w:ilvl w:val="0"/>
          <w:numId w:val="16"/>
        </w:numPr>
        <w:rPr>
          <w:sz w:val="22"/>
        </w:rPr>
      </w:pPr>
      <w:r w:rsidRPr="007529F5">
        <w:rPr>
          <w:sz w:val="22"/>
        </w:rPr>
        <w:t>Comprimento do transformador ao quadro geral: 8 m;</w:t>
      </w:r>
    </w:p>
    <w:p w:rsidR="003825C0" w:rsidRPr="007529F5" w:rsidRDefault="00D83E56" w:rsidP="003825C0">
      <w:pPr>
        <w:pStyle w:val="PargrafodaLista"/>
        <w:numPr>
          <w:ilvl w:val="0"/>
          <w:numId w:val="16"/>
        </w:numPr>
        <w:rPr>
          <w:sz w:val="22"/>
        </w:rPr>
      </w:pPr>
      <w:r>
        <w:rPr>
          <w:sz w:val="22"/>
        </w:rPr>
        <w:t>Resistência do cabo (95</w:t>
      </w:r>
      <w:r w:rsidR="003825C0" w:rsidRPr="007529F5">
        <w:rPr>
          <w:sz w:val="22"/>
        </w:rPr>
        <w:t xml:space="preserve"> mm²): </w:t>
      </w:r>
      <w:r>
        <w:rPr>
          <w:sz w:val="22"/>
        </w:rPr>
        <w:t>0,2352</w:t>
      </w:r>
      <w:r w:rsidR="00F608EE" w:rsidRPr="007529F5">
        <w:rPr>
          <w:sz w:val="22"/>
        </w:rPr>
        <w:t xml:space="preserve"> </w:t>
      </w:r>
      <w:proofErr w:type="spellStart"/>
      <w:r w:rsidR="00F608EE" w:rsidRPr="007529F5">
        <w:rPr>
          <w:sz w:val="22"/>
        </w:rPr>
        <w:t>mOhm</w:t>
      </w:r>
      <w:proofErr w:type="spellEnd"/>
      <w:r w:rsidR="00F608EE" w:rsidRPr="007529F5">
        <w:rPr>
          <w:sz w:val="22"/>
        </w:rPr>
        <w:t>/m;</w:t>
      </w:r>
    </w:p>
    <w:p w:rsidR="00F608EE" w:rsidRPr="007529F5" w:rsidRDefault="00D83E56" w:rsidP="003825C0">
      <w:pPr>
        <w:pStyle w:val="PargrafodaLista"/>
        <w:numPr>
          <w:ilvl w:val="0"/>
          <w:numId w:val="16"/>
        </w:numPr>
        <w:rPr>
          <w:sz w:val="22"/>
        </w:rPr>
      </w:pPr>
      <w:r>
        <w:rPr>
          <w:sz w:val="22"/>
        </w:rPr>
        <w:t>Reatância do cabo (95 mm²): 0,1090</w:t>
      </w:r>
      <w:r w:rsidR="00F608EE" w:rsidRPr="007529F5">
        <w:rPr>
          <w:sz w:val="22"/>
        </w:rPr>
        <w:t xml:space="preserve"> </w:t>
      </w:r>
      <w:proofErr w:type="spellStart"/>
      <w:r w:rsidR="00F608EE" w:rsidRPr="007529F5">
        <w:rPr>
          <w:sz w:val="22"/>
        </w:rPr>
        <w:t>mOhm</w:t>
      </w:r>
      <w:proofErr w:type="spellEnd"/>
      <w:r w:rsidR="00F608EE" w:rsidRPr="007529F5">
        <w:rPr>
          <w:sz w:val="22"/>
        </w:rPr>
        <w:t>/m;</w:t>
      </w:r>
    </w:p>
    <w:p w:rsidR="00F608EE" w:rsidRPr="007529F5" w:rsidRDefault="00F608EE" w:rsidP="00F608EE">
      <w:pPr>
        <w:rPr>
          <w:sz w:val="22"/>
        </w:rPr>
      </w:pPr>
    </w:p>
    <w:p w:rsidR="00F608EE" w:rsidRPr="007529F5" w:rsidRDefault="00F608EE" w:rsidP="00F608EE">
      <w:pPr>
        <w:pStyle w:val="PargrafodaLista"/>
        <w:numPr>
          <w:ilvl w:val="0"/>
          <w:numId w:val="17"/>
        </w:numPr>
        <w:rPr>
          <w:sz w:val="22"/>
        </w:rPr>
      </w:pPr>
      <w:r w:rsidRPr="007529F5">
        <w:rPr>
          <w:sz w:val="22"/>
        </w:rPr>
        <w:t>Impedância do transformador</w:t>
      </w:r>
    </w:p>
    <w:p w:rsidR="00F608EE" w:rsidRPr="007529F5" w:rsidRDefault="000B6E95" w:rsidP="00F608EE">
      <w:pPr>
        <w:rPr>
          <w:rFonts w:eastAsiaTheme="minorEastAsia"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Z</m:t>
              </m:r>
            </m:e>
            <m:sub>
              <m:r>
                <w:rPr>
                  <w:rFonts w:ascii="Cambria Math" w:hAnsi="Cambria Math"/>
                  <w:sz w:val="22"/>
                </w:rPr>
                <m:t>TR</m:t>
              </m:r>
            </m:sub>
          </m:sSub>
          <m:r>
            <w:rPr>
              <w:rFonts w:ascii="Cambria Math" w:hAnsi="Cambria Math"/>
              <w:sz w:val="22"/>
            </w:rPr>
            <m:t xml:space="preserve">=Z% 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nom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2"/>
                    </w:rPr>
                    <m:t>100xPot</m:t>
                  </m:r>
                </m:den>
              </m:f>
            </m:e>
          </m:d>
          <m:r>
            <w:rPr>
              <w:rFonts w:ascii="Cambria Math" w:hAnsi="Cambria Math"/>
              <w:sz w:val="22"/>
            </w:rPr>
            <m:t xml:space="preserve">=4. 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380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2"/>
                    </w:rPr>
                    <m:t>112,5x100</m:t>
                  </m:r>
                </m:den>
              </m:f>
            </m:e>
          </m:d>
          <m:r>
            <w:rPr>
              <w:rFonts w:ascii="Cambria Math" w:hAnsi="Cambria Math"/>
              <w:sz w:val="22"/>
            </w:rPr>
            <m:t>=51,34 m</m:t>
          </m:r>
          <m:r>
            <m:rPr>
              <m:sty m:val="p"/>
            </m:rPr>
            <w:rPr>
              <w:rFonts w:ascii="Cambria Math" w:hAnsi="Cambria Math"/>
              <w:sz w:val="22"/>
            </w:rPr>
            <m:t>Ω</m:t>
          </m:r>
        </m:oMath>
      </m:oMathPara>
    </w:p>
    <w:p w:rsidR="00F608EE" w:rsidRPr="007529F5" w:rsidRDefault="000B6E95" w:rsidP="00F608EE">
      <w:pPr>
        <w:rPr>
          <w:rFonts w:eastAsiaTheme="minorEastAsia"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</w:rPr>
                <m:t>%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W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</w:rPr>
                <m:t>10xPot</m:t>
              </m:r>
            </m:den>
          </m:f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1780</m:t>
              </m:r>
            </m:num>
            <m:den>
              <m:r>
                <w:rPr>
                  <w:rFonts w:ascii="Cambria Math" w:hAnsi="Cambria Math"/>
                  <w:sz w:val="22"/>
                </w:rPr>
                <m:t>10x112,5</m:t>
              </m:r>
            </m:den>
          </m:f>
          <m:r>
            <w:rPr>
              <w:rFonts w:ascii="Cambria Math" w:hAnsi="Cambria Math"/>
              <w:sz w:val="22"/>
            </w:rPr>
            <m:t>=1,582 %</m:t>
          </m:r>
        </m:oMath>
      </m:oMathPara>
    </w:p>
    <w:p w:rsidR="00F608EE" w:rsidRPr="007529F5" w:rsidRDefault="000B6E95" w:rsidP="00F608EE">
      <w:pPr>
        <w:rPr>
          <w:rFonts w:eastAsiaTheme="minorEastAsia"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</w:rPr>
                <m:t>TR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</w:rPr>
                <m:t>%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nom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2"/>
                    </w:rPr>
                    <m:t>100xPot</m:t>
                  </m:r>
                </m:den>
              </m:f>
            </m:e>
          </m:d>
          <m:r>
            <w:rPr>
              <w:rFonts w:ascii="Cambria Math" w:hAnsi="Cambria Math"/>
              <w:sz w:val="22"/>
            </w:rPr>
            <m:t>=1,582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380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2"/>
                    </w:rPr>
                    <m:t>112,5x100</m:t>
                  </m:r>
                </m:den>
              </m:f>
            </m:e>
          </m:d>
          <m:r>
            <w:rPr>
              <w:rFonts w:ascii="Cambria Math" w:hAnsi="Cambria Math"/>
              <w:sz w:val="22"/>
            </w:rPr>
            <m:t>=20,31 m</m:t>
          </m:r>
          <m:r>
            <m:rPr>
              <m:sty m:val="p"/>
            </m:rPr>
            <w:rPr>
              <w:rFonts w:ascii="Cambria Math" w:hAnsi="Cambria Math"/>
              <w:sz w:val="22"/>
            </w:rPr>
            <m:t>Ω</m:t>
          </m:r>
        </m:oMath>
      </m:oMathPara>
    </w:p>
    <w:p w:rsidR="00003B4D" w:rsidRPr="007529F5" w:rsidRDefault="000B6E95" w:rsidP="000C0F53">
      <w:pPr>
        <w:rPr>
          <w:rFonts w:eastAsiaTheme="minorEastAsia"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X</m:t>
              </m:r>
            </m:e>
            <m:sub>
              <m:r>
                <w:rPr>
                  <w:rFonts w:ascii="Cambria Math" w:hAnsi="Cambria Math"/>
                  <w:sz w:val="22"/>
                </w:rPr>
                <m:t>TR</m:t>
              </m:r>
            </m:sub>
          </m:sSub>
          <m:r>
            <w:rPr>
              <w:rFonts w:ascii="Cambria Math" w:hAnsi="Cambria Math"/>
              <w:sz w:val="22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2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</w:rPr>
                    <m:t xml:space="preserve"> 51,34</m:t>
                  </m:r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</w:rPr>
                    <m:t>20,31</m:t>
                  </m:r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</w:rPr>
                <m:t xml:space="preserve"> </m:t>
              </m:r>
            </m:e>
          </m:rad>
          <m:r>
            <w:rPr>
              <w:rFonts w:ascii="Cambria Math" w:hAnsi="Cambria Math"/>
              <w:sz w:val="22"/>
            </w:rPr>
            <m:t>= 47,15 m</m:t>
          </m:r>
          <m:r>
            <m:rPr>
              <m:sty m:val="p"/>
            </m:rPr>
            <w:rPr>
              <w:rFonts w:ascii="Cambria Math" w:hAnsi="Cambria Math"/>
              <w:sz w:val="22"/>
            </w:rPr>
            <m:t>Ω</m:t>
          </m:r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:rsidR="00F608EE" w:rsidRPr="007529F5" w:rsidRDefault="00F608EE" w:rsidP="000C0F53">
      <w:pPr>
        <w:rPr>
          <w:rFonts w:eastAsiaTheme="minorEastAsia"/>
          <w:sz w:val="22"/>
        </w:rPr>
      </w:pPr>
    </w:p>
    <w:p w:rsidR="00F608EE" w:rsidRPr="007529F5" w:rsidRDefault="00F608EE" w:rsidP="00F608EE">
      <w:pPr>
        <w:pStyle w:val="PargrafodaLista"/>
        <w:numPr>
          <w:ilvl w:val="0"/>
          <w:numId w:val="17"/>
        </w:numPr>
        <w:rPr>
          <w:sz w:val="22"/>
        </w:rPr>
      </w:pPr>
      <w:r w:rsidRPr="007529F5">
        <w:rPr>
          <w:sz w:val="22"/>
        </w:rPr>
        <w:t>Impedância do cabo</w:t>
      </w:r>
    </w:p>
    <w:p w:rsidR="00F608EE" w:rsidRPr="007529F5" w:rsidRDefault="000B6E95" w:rsidP="00F608EE">
      <w:pPr>
        <w:rPr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</w:rPr>
                <m:t>CABO</m:t>
              </m:r>
            </m:sub>
          </m:sSub>
          <m:r>
            <w:rPr>
              <w:rFonts w:ascii="Cambria Math" w:hAnsi="Cambria Math"/>
              <w:sz w:val="22"/>
            </w:rPr>
            <m:t>=0,2352 x 8=1,8816 m</m:t>
          </m:r>
          <m:r>
            <m:rPr>
              <m:sty m:val="p"/>
            </m:rPr>
            <w:rPr>
              <w:rFonts w:ascii="Cambria Math" w:hAnsi="Cambria Math"/>
              <w:sz w:val="22"/>
            </w:rPr>
            <m:t>Ω</m:t>
          </m:r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:rsidR="00F608EE" w:rsidRPr="007529F5" w:rsidRDefault="000B6E95" w:rsidP="00F608EE">
      <w:pPr>
        <w:rPr>
          <w:rFonts w:eastAsiaTheme="minorEastAsia"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X</m:t>
              </m:r>
            </m:e>
            <m:sub>
              <m:r>
                <w:rPr>
                  <w:rFonts w:ascii="Cambria Math" w:hAnsi="Cambria Math"/>
                  <w:sz w:val="22"/>
                </w:rPr>
                <m:t>CABO</m:t>
              </m:r>
            </m:sub>
          </m:sSub>
          <m:r>
            <w:rPr>
              <w:rFonts w:ascii="Cambria Math" w:hAnsi="Cambria Math"/>
              <w:sz w:val="22"/>
            </w:rPr>
            <m:t>=0,1090 x 8= 0,872 m</m:t>
          </m:r>
          <m:r>
            <m:rPr>
              <m:sty m:val="p"/>
            </m:rPr>
            <w:rPr>
              <w:rFonts w:ascii="Cambria Math" w:hAnsi="Cambria Math"/>
              <w:sz w:val="22"/>
            </w:rPr>
            <m:t>Ω</m:t>
          </m:r>
        </m:oMath>
      </m:oMathPara>
    </w:p>
    <w:p w:rsidR="003B7A30" w:rsidRPr="007529F5" w:rsidRDefault="003B7A30" w:rsidP="00F608EE">
      <w:pPr>
        <w:rPr>
          <w:rFonts w:eastAsiaTheme="minorEastAsia"/>
          <w:sz w:val="22"/>
        </w:rPr>
      </w:pPr>
    </w:p>
    <w:p w:rsidR="00F608EE" w:rsidRPr="007529F5" w:rsidRDefault="00F608EE" w:rsidP="00F608EE">
      <w:pPr>
        <w:pStyle w:val="PargrafodaLista"/>
        <w:numPr>
          <w:ilvl w:val="0"/>
          <w:numId w:val="17"/>
        </w:numPr>
        <w:rPr>
          <w:sz w:val="22"/>
        </w:rPr>
      </w:pPr>
      <w:r w:rsidRPr="007529F5">
        <w:rPr>
          <w:sz w:val="22"/>
        </w:rPr>
        <w:t>Resistência equivalente</w:t>
      </w:r>
    </w:p>
    <w:p w:rsidR="00F608EE" w:rsidRPr="007529F5" w:rsidRDefault="000B6E95" w:rsidP="00F608EE">
      <w:pPr>
        <w:rPr>
          <w:rFonts w:eastAsiaTheme="minorEastAsia"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</w:rPr>
                <m:t>EQ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</w:rPr>
                <m:t>TR</m:t>
              </m:r>
            </m:sub>
          </m:sSub>
          <m:r>
            <w:rPr>
              <w:rFonts w:ascii="Cambria Math" w:hAnsi="Cambria Math"/>
              <w:sz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</w:rPr>
                <m:t>CABO</m:t>
              </m:r>
            </m:sub>
          </m:sSub>
          <m:r>
            <w:rPr>
              <w:rFonts w:ascii="Cambria Math" w:hAnsi="Cambria Math"/>
              <w:sz w:val="22"/>
            </w:rPr>
            <m:t>=22,1916 m</m:t>
          </m:r>
          <m:r>
            <m:rPr>
              <m:sty m:val="p"/>
            </m:rPr>
            <w:rPr>
              <w:rFonts w:ascii="Cambria Math" w:hAnsi="Cambria Math"/>
              <w:sz w:val="22"/>
            </w:rPr>
            <m:t>Ω</m:t>
          </m:r>
        </m:oMath>
      </m:oMathPara>
    </w:p>
    <w:p w:rsidR="002E4C97" w:rsidRPr="007529F5" w:rsidRDefault="000B6E95" w:rsidP="00F608EE">
      <w:pPr>
        <w:rPr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X</m:t>
              </m:r>
            </m:e>
            <m:sub>
              <m:r>
                <w:rPr>
                  <w:rFonts w:ascii="Cambria Math" w:hAnsi="Cambria Math"/>
                  <w:sz w:val="22"/>
                </w:rPr>
                <m:t>EQ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X</m:t>
              </m:r>
            </m:e>
            <m:sub>
              <m:r>
                <w:rPr>
                  <w:rFonts w:ascii="Cambria Math" w:hAnsi="Cambria Math"/>
                  <w:sz w:val="22"/>
                </w:rPr>
                <m:t>TR</m:t>
              </m:r>
            </m:sub>
          </m:sSub>
          <m:r>
            <w:rPr>
              <w:rFonts w:ascii="Cambria Math" w:hAnsi="Cambria Math"/>
              <w:sz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X</m:t>
              </m:r>
            </m:e>
            <m:sub>
              <m:r>
                <w:rPr>
                  <w:rFonts w:ascii="Cambria Math" w:hAnsi="Cambria Math"/>
                  <w:sz w:val="22"/>
                </w:rPr>
                <m:t>CABO</m:t>
              </m:r>
            </m:sub>
          </m:sSub>
          <m:r>
            <w:rPr>
              <w:rFonts w:ascii="Cambria Math" w:hAnsi="Cambria Math"/>
              <w:sz w:val="22"/>
            </w:rPr>
            <m:t>=48,022 m</m:t>
          </m:r>
          <m:r>
            <m:rPr>
              <m:sty m:val="p"/>
            </m:rPr>
            <w:rPr>
              <w:rFonts w:ascii="Cambria Math" w:hAnsi="Cambria Math"/>
              <w:sz w:val="22"/>
            </w:rPr>
            <m:t>Ω</m:t>
          </m:r>
        </m:oMath>
      </m:oMathPara>
    </w:p>
    <w:p w:rsidR="00F608EE" w:rsidRPr="007529F5" w:rsidRDefault="000B6E95" w:rsidP="00F608EE">
      <w:pPr>
        <w:rPr>
          <w:rFonts w:eastAsiaTheme="minorEastAsia"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Z</m:t>
              </m:r>
            </m:e>
            <m:sub>
              <m:r>
                <w:rPr>
                  <w:rFonts w:ascii="Cambria Math" w:hAnsi="Cambria Math"/>
                  <w:sz w:val="22"/>
                </w:rPr>
                <m:t>EQ</m:t>
              </m:r>
            </m:sub>
          </m:sSub>
          <m:r>
            <w:rPr>
              <w:rFonts w:ascii="Cambria Math" w:hAnsi="Cambria Math"/>
              <w:sz w:val="22"/>
            </w:rPr>
            <m:t>=22,1916+j48,022=52,90 ∠ 65,18° m</m:t>
          </m:r>
          <m:r>
            <m:rPr>
              <m:sty m:val="p"/>
            </m:rPr>
            <w:rPr>
              <w:rFonts w:ascii="Cambria Math" w:hAnsi="Cambria Math"/>
              <w:sz w:val="22"/>
            </w:rPr>
            <m:t>Ω</m:t>
          </m:r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:rsidR="002E4C97" w:rsidRPr="007529F5" w:rsidRDefault="002E4C97" w:rsidP="00F608EE">
      <w:pPr>
        <w:rPr>
          <w:sz w:val="22"/>
        </w:rPr>
      </w:pPr>
    </w:p>
    <w:p w:rsidR="002E4C97" w:rsidRPr="007529F5" w:rsidRDefault="002E4C97" w:rsidP="002E4C97">
      <w:pPr>
        <w:pStyle w:val="PargrafodaLista"/>
        <w:numPr>
          <w:ilvl w:val="0"/>
          <w:numId w:val="17"/>
        </w:numPr>
        <w:rPr>
          <w:sz w:val="22"/>
        </w:rPr>
      </w:pPr>
      <w:r w:rsidRPr="007529F5">
        <w:rPr>
          <w:sz w:val="22"/>
        </w:rPr>
        <w:t>Corrente de curto-circuito trifásica simétrica</w:t>
      </w:r>
    </w:p>
    <w:p w:rsidR="002E4C97" w:rsidRPr="007529F5" w:rsidRDefault="000B6E95" w:rsidP="002E4C97">
      <w:pPr>
        <w:rPr>
          <w:rFonts w:eastAsiaTheme="minorEastAsia"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I</m:t>
              </m:r>
            </m:e>
            <m:sub>
              <m:r>
                <w:rPr>
                  <w:rFonts w:ascii="Cambria Math" w:hAnsi="Cambria Math"/>
                  <w:sz w:val="22"/>
                </w:rPr>
                <m:t xml:space="preserve">CC3∅ 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SEC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e>
              </m:rad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EQ</m:t>
                  </m:r>
                </m:sub>
              </m:sSub>
            </m:den>
          </m:f>
          <m:r>
            <w:rPr>
              <w:rFonts w:ascii="Cambria Math" w:hAnsi="Cambria Math"/>
              <w:sz w:val="22"/>
            </w:rPr>
            <m:t>=4,15 kA</m:t>
          </m:r>
        </m:oMath>
      </m:oMathPara>
    </w:p>
    <w:p w:rsidR="002E4C97" w:rsidRPr="007529F5" w:rsidRDefault="002E4C97" w:rsidP="002E4C97">
      <w:pPr>
        <w:rPr>
          <w:rFonts w:eastAsiaTheme="minorEastAsia"/>
          <w:sz w:val="22"/>
        </w:rPr>
      </w:pPr>
    </w:p>
    <w:p w:rsidR="002E4C97" w:rsidRPr="007529F5" w:rsidRDefault="002E4C97" w:rsidP="002E4C97">
      <w:pPr>
        <w:pStyle w:val="PargrafodaLista"/>
        <w:numPr>
          <w:ilvl w:val="0"/>
          <w:numId w:val="17"/>
        </w:numPr>
        <w:rPr>
          <w:rFonts w:eastAsiaTheme="minorEastAsia"/>
          <w:sz w:val="22"/>
        </w:rPr>
      </w:pPr>
      <w:r w:rsidRPr="007529F5">
        <w:rPr>
          <w:rFonts w:eastAsiaTheme="minorEastAsia"/>
          <w:sz w:val="22"/>
        </w:rPr>
        <w:t xml:space="preserve">Fator de Assimetria </w:t>
      </w:r>
    </w:p>
    <w:p w:rsidR="002E4C97" w:rsidRPr="007529F5" w:rsidRDefault="002E4C97" w:rsidP="002E4C97">
      <w:pPr>
        <w:rPr>
          <w:rFonts w:eastAsiaTheme="minorEastAsia"/>
          <w:sz w:val="22"/>
        </w:rPr>
      </w:pPr>
      <m:oMathPara>
        <m:oMath>
          <m:r>
            <w:rPr>
              <w:rFonts w:ascii="Cambria Math" w:eastAsiaTheme="minorEastAsia" w:hAnsi="Cambria Math"/>
              <w:sz w:val="22"/>
            </w:rPr>
            <m:t>C=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</w:rPr>
                    <m:t>EQ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2"/>
                </w:rPr>
                <m:t>377x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</w:rPr>
                    <m:t>EQ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2"/>
            </w:rPr>
            <m:t>= 5,74 ms</m:t>
          </m:r>
        </m:oMath>
      </m:oMathPara>
    </w:p>
    <w:p w:rsidR="002E4C97" w:rsidRPr="001A3A46" w:rsidRDefault="002E4C97" w:rsidP="002E4C97">
      <w:pPr>
        <w:rPr>
          <w:rFonts w:eastAsiaTheme="minorEastAsia"/>
          <w:sz w:val="22"/>
        </w:rPr>
      </w:pPr>
      <m:oMathPara>
        <m:oMath>
          <m:r>
            <w:rPr>
              <w:rFonts w:ascii="Cambria Math" w:eastAsiaTheme="minorEastAsia" w:hAnsi="Cambria Math"/>
              <w:sz w:val="22"/>
            </w:rPr>
            <m:t xml:space="preserve">FA=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2"/>
                </w:rPr>
                <m:t>1+2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2t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C</m:t>
                      </m:r>
                    </m:den>
                  </m:f>
                </m:sup>
              </m:sSup>
            </m:e>
          </m:rad>
          <m:r>
            <w:rPr>
              <w:rFonts w:ascii="Cambria Math" w:eastAsiaTheme="minorEastAsia" w:hAnsi="Cambria Math"/>
              <w:sz w:val="22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2"/>
                </w:rPr>
                <m:t>1+2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2x0,00416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0,00574</m:t>
                      </m:r>
                    </m:den>
                  </m:f>
                </m:sup>
              </m:sSup>
            </m:e>
          </m:rad>
          <m:r>
            <w:rPr>
              <w:rFonts w:ascii="Cambria Math" w:eastAsiaTheme="minorEastAsia" w:hAnsi="Cambria Math"/>
              <w:sz w:val="22"/>
            </w:rPr>
            <m:t>= 1,212</m:t>
          </m:r>
        </m:oMath>
      </m:oMathPara>
    </w:p>
    <w:p w:rsidR="001A3A46" w:rsidRPr="007529F5" w:rsidRDefault="001A3A46" w:rsidP="002E4C97">
      <w:pPr>
        <w:rPr>
          <w:rFonts w:eastAsiaTheme="minorEastAsia"/>
          <w:sz w:val="22"/>
        </w:rPr>
      </w:pPr>
    </w:p>
    <w:p w:rsidR="002E4C97" w:rsidRPr="007529F5" w:rsidRDefault="002E4C97" w:rsidP="002E4C97">
      <w:pPr>
        <w:pStyle w:val="PargrafodaLista"/>
        <w:numPr>
          <w:ilvl w:val="0"/>
          <w:numId w:val="17"/>
        </w:numPr>
        <w:rPr>
          <w:rFonts w:eastAsiaTheme="minorEastAsia"/>
          <w:sz w:val="22"/>
        </w:rPr>
      </w:pPr>
      <w:r w:rsidRPr="007529F5">
        <w:rPr>
          <w:rFonts w:eastAsiaTheme="minorEastAsia"/>
          <w:sz w:val="22"/>
        </w:rPr>
        <w:t>Corrente de curto-circuito assimétrica</w:t>
      </w:r>
    </w:p>
    <w:p w:rsidR="002E4C97" w:rsidRPr="007529F5" w:rsidRDefault="000B6E95" w:rsidP="002E4C97">
      <w:pPr>
        <w:rPr>
          <w:rFonts w:eastAsiaTheme="minorEastAsia"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I</m:t>
              </m:r>
            </m:e>
            <m:sub>
              <m:r>
                <w:rPr>
                  <w:rFonts w:ascii="Cambria Math" w:hAnsi="Cambria Math"/>
                  <w:sz w:val="22"/>
                </w:rPr>
                <m:t>CC3∅ ASSIM</m:t>
              </m:r>
            </m:sub>
          </m:sSub>
          <m:r>
            <w:rPr>
              <w:rFonts w:ascii="Cambria Math" w:hAnsi="Cambria Math"/>
              <w:sz w:val="22"/>
            </w:rPr>
            <m:t xml:space="preserve">=FA x 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I</m:t>
              </m:r>
            </m:e>
            <m:sub>
              <m:r>
                <w:rPr>
                  <w:rFonts w:ascii="Cambria Math" w:hAnsi="Cambria Math"/>
                  <w:sz w:val="22"/>
                </w:rPr>
                <m:t xml:space="preserve">CC3∅ </m:t>
              </m:r>
            </m:sub>
          </m:sSub>
          <m:r>
            <w:rPr>
              <w:rFonts w:ascii="Cambria Math" w:hAnsi="Cambria Math"/>
              <w:sz w:val="22"/>
            </w:rPr>
            <m:t xml:space="preserve">=1,212 x 4,15 kA=5,03 kA </m:t>
          </m:r>
        </m:oMath>
      </m:oMathPara>
    </w:p>
    <w:p w:rsidR="00ED346E" w:rsidRPr="007529F5" w:rsidRDefault="00ED346E" w:rsidP="002E4C97">
      <w:pPr>
        <w:rPr>
          <w:rFonts w:eastAsiaTheme="minorEastAsia"/>
          <w:sz w:val="22"/>
        </w:rPr>
      </w:pPr>
    </w:p>
    <w:p w:rsidR="002E4C97" w:rsidRPr="007529F5" w:rsidRDefault="00ED346E" w:rsidP="00ED346E">
      <w:pPr>
        <w:pStyle w:val="PargrafodaLista"/>
        <w:numPr>
          <w:ilvl w:val="0"/>
          <w:numId w:val="17"/>
        </w:numPr>
        <w:rPr>
          <w:rFonts w:eastAsiaTheme="minorEastAsia"/>
          <w:sz w:val="22"/>
        </w:rPr>
      </w:pPr>
      <w:r w:rsidRPr="007529F5">
        <w:rPr>
          <w:rFonts w:eastAsiaTheme="minorEastAsia"/>
          <w:sz w:val="22"/>
        </w:rPr>
        <w:t>Corrente de curto-circuito bifásica</w:t>
      </w:r>
    </w:p>
    <w:p w:rsidR="00ED346E" w:rsidRPr="007529F5" w:rsidRDefault="000B6E95" w:rsidP="00ED346E">
      <w:pPr>
        <w:rPr>
          <w:rFonts w:eastAsiaTheme="minorEastAsia"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I</m:t>
              </m:r>
            </m:e>
            <m:sub>
              <m:r>
                <w:rPr>
                  <w:rFonts w:ascii="Cambria Math" w:hAnsi="Cambria Math"/>
                  <w:sz w:val="22"/>
                </w:rPr>
                <m:t xml:space="preserve">CC2∅ 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22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I</m:t>
              </m:r>
            </m:e>
            <m:sub>
              <m:r>
                <w:rPr>
                  <w:rFonts w:ascii="Cambria Math" w:hAnsi="Cambria Math"/>
                  <w:sz w:val="22"/>
                </w:rPr>
                <m:t xml:space="preserve">CC3∅ </m:t>
              </m:r>
            </m:sub>
          </m:sSub>
          <m:r>
            <w:rPr>
              <w:rFonts w:ascii="Cambria Math" w:hAnsi="Cambria Math"/>
              <w:sz w:val="22"/>
            </w:rPr>
            <m:t>=3,594 kA</m:t>
          </m:r>
        </m:oMath>
      </m:oMathPara>
    </w:p>
    <w:p w:rsidR="002E4C97" w:rsidRPr="007529F5" w:rsidRDefault="002E4C97" w:rsidP="002E4C97">
      <w:pPr>
        <w:rPr>
          <w:sz w:val="22"/>
        </w:rPr>
      </w:pPr>
    </w:p>
    <w:p w:rsidR="001B3366" w:rsidRPr="007529F5" w:rsidRDefault="008F70A6" w:rsidP="001B3366">
      <w:pPr>
        <w:pStyle w:val="Ttulo1"/>
        <w:rPr>
          <w:sz w:val="22"/>
          <w:szCs w:val="22"/>
        </w:rPr>
      </w:pPr>
      <w:bookmarkStart w:id="12" w:name="_Toc6907455"/>
      <w:r>
        <w:rPr>
          <w:sz w:val="22"/>
          <w:szCs w:val="22"/>
        </w:rPr>
        <w:t>3</w:t>
      </w:r>
      <w:r w:rsidR="00DC2D62">
        <w:rPr>
          <w:sz w:val="22"/>
          <w:szCs w:val="22"/>
        </w:rPr>
        <w:t>.10</w:t>
      </w:r>
      <w:r w:rsidR="001B3366" w:rsidRPr="007529F5">
        <w:rPr>
          <w:sz w:val="22"/>
          <w:szCs w:val="22"/>
        </w:rPr>
        <w:t xml:space="preserve"> </w:t>
      </w:r>
      <w:r w:rsidR="00A9538A" w:rsidRPr="007529F5">
        <w:rPr>
          <w:sz w:val="22"/>
          <w:szCs w:val="22"/>
        </w:rPr>
        <w:t>Proteção Geral em Baixa Tensão</w:t>
      </w:r>
      <w:bookmarkEnd w:id="12"/>
    </w:p>
    <w:p w:rsidR="001B3366" w:rsidRPr="007529F5" w:rsidRDefault="001B3366" w:rsidP="001B3366">
      <w:pPr>
        <w:rPr>
          <w:sz w:val="22"/>
        </w:rPr>
      </w:pPr>
      <w:r w:rsidRPr="007529F5">
        <w:rPr>
          <w:sz w:val="22"/>
        </w:rPr>
        <w:tab/>
        <w:t xml:space="preserve">A proteção geral em BT será realizada após a medição, </w:t>
      </w:r>
      <w:r w:rsidR="00B659A2" w:rsidRPr="007529F5">
        <w:rPr>
          <w:sz w:val="22"/>
        </w:rPr>
        <w:t>através de um</w:t>
      </w:r>
      <w:r w:rsidRPr="007529F5">
        <w:rPr>
          <w:sz w:val="22"/>
        </w:rPr>
        <w:t xml:space="preserve"> disjuntor trifásico</w:t>
      </w:r>
      <w:r w:rsidR="008765E7" w:rsidRPr="007529F5">
        <w:rPr>
          <w:sz w:val="22"/>
        </w:rPr>
        <w:t>,</w:t>
      </w:r>
      <w:r w:rsidR="00FD7327">
        <w:rPr>
          <w:sz w:val="22"/>
        </w:rPr>
        <w:t xml:space="preserve"> tipo DIN,</w:t>
      </w:r>
      <w:r w:rsidR="008765E7" w:rsidRPr="007529F5">
        <w:rPr>
          <w:sz w:val="22"/>
        </w:rPr>
        <w:t xml:space="preserve"> com disparadores </w:t>
      </w:r>
      <w:r w:rsidR="004A5965" w:rsidRPr="007529F5">
        <w:rPr>
          <w:sz w:val="22"/>
        </w:rPr>
        <w:t>termomagnético</w:t>
      </w:r>
      <w:r w:rsidR="00EF1489" w:rsidRPr="007529F5">
        <w:rPr>
          <w:sz w:val="22"/>
        </w:rPr>
        <w:t>s fixos</w:t>
      </w:r>
      <w:r w:rsidR="004A5965" w:rsidRPr="007529F5">
        <w:rPr>
          <w:sz w:val="22"/>
        </w:rPr>
        <w:t>,</w:t>
      </w:r>
      <w:r w:rsidRPr="007529F5">
        <w:rPr>
          <w:sz w:val="22"/>
        </w:rPr>
        <w:t xml:space="preserve"> tipo caixa moldada, corrente </w:t>
      </w:r>
      <w:proofErr w:type="gramStart"/>
      <w:r w:rsidRPr="007529F5">
        <w:rPr>
          <w:sz w:val="22"/>
        </w:rPr>
        <w:t>nominal</w:t>
      </w:r>
      <w:r w:rsidR="004A5965" w:rsidRPr="007529F5">
        <w:rPr>
          <w:sz w:val="22"/>
        </w:rPr>
        <w:t xml:space="preserve"> In</w:t>
      </w:r>
      <w:proofErr w:type="gramEnd"/>
      <w:r w:rsidR="004A5965" w:rsidRPr="007529F5">
        <w:rPr>
          <w:sz w:val="22"/>
        </w:rPr>
        <w:t xml:space="preserve"> = </w:t>
      </w:r>
      <w:r w:rsidR="00DE7F4A" w:rsidRPr="007529F5">
        <w:rPr>
          <w:sz w:val="22"/>
        </w:rPr>
        <w:t>175</w:t>
      </w:r>
      <w:r w:rsidR="004A5965" w:rsidRPr="007529F5">
        <w:rPr>
          <w:sz w:val="22"/>
        </w:rPr>
        <w:t xml:space="preserve"> A, </w:t>
      </w:r>
      <w:r w:rsidR="004C7A71" w:rsidRPr="007529F5">
        <w:rPr>
          <w:sz w:val="22"/>
        </w:rPr>
        <w:t>frequência 60 Hz, tensão nominal 415 V, tensão de isolamento 690 V</w:t>
      </w:r>
      <w:r w:rsidR="004A5965" w:rsidRPr="007529F5">
        <w:rPr>
          <w:sz w:val="22"/>
        </w:rPr>
        <w:t xml:space="preserve">, capacidade de interrupção máxima Icu = </w:t>
      </w:r>
      <w:r w:rsidR="00EF1489" w:rsidRPr="007529F5">
        <w:rPr>
          <w:sz w:val="22"/>
        </w:rPr>
        <w:t>18 kA/380V, capacidade de interrupção em serviço mínima – Ics: 50%Icu, fabricados conforme NBR IEC 60947-2</w:t>
      </w:r>
      <w:r w:rsidR="00BD0E1E" w:rsidRPr="007529F5">
        <w:rPr>
          <w:sz w:val="22"/>
        </w:rPr>
        <w:t>.</w:t>
      </w:r>
      <w:r w:rsidR="00EF1489" w:rsidRPr="007529F5">
        <w:rPr>
          <w:sz w:val="22"/>
        </w:rPr>
        <w:t xml:space="preserve"> </w:t>
      </w:r>
    </w:p>
    <w:p w:rsidR="00235E23" w:rsidRDefault="00A213AE" w:rsidP="001B3366">
      <w:pPr>
        <w:rPr>
          <w:sz w:val="22"/>
        </w:rPr>
      </w:pPr>
      <w:r w:rsidRPr="007529F5">
        <w:rPr>
          <w:sz w:val="22"/>
        </w:rPr>
        <w:tab/>
        <w:t xml:space="preserve">Para proteção da edificação contra surtos atmosféricos oriundos da rede elétrica, será instalado </w:t>
      </w:r>
      <w:r w:rsidR="005F606B">
        <w:rPr>
          <w:sz w:val="22"/>
        </w:rPr>
        <w:t>4</w:t>
      </w:r>
      <w:r w:rsidR="00A0006A" w:rsidRPr="007529F5">
        <w:rPr>
          <w:sz w:val="22"/>
        </w:rPr>
        <w:t xml:space="preserve"> </w:t>
      </w:r>
      <w:r w:rsidRPr="007529F5">
        <w:rPr>
          <w:sz w:val="22"/>
        </w:rPr>
        <w:t>Di</w:t>
      </w:r>
      <w:r w:rsidR="00A0006A" w:rsidRPr="007529F5">
        <w:rPr>
          <w:sz w:val="22"/>
        </w:rPr>
        <w:t>spositiv</w:t>
      </w:r>
      <w:r w:rsidR="00B558E7" w:rsidRPr="007529F5">
        <w:rPr>
          <w:sz w:val="22"/>
        </w:rPr>
        <w:t>o</w:t>
      </w:r>
      <w:r w:rsidR="00A0006A" w:rsidRPr="007529F5">
        <w:rPr>
          <w:sz w:val="22"/>
        </w:rPr>
        <w:t>s</w:t>
      </w:r>
      <w:r w:rsidRPr="007529F5">
        <w:rPr>
          <w:sz w:val="22"/>
        </w:rPr>
        <w:t xml:space="preserve"> de Proteção </w:t>
      </w:r>
      <w:proofErr w:type="gramStart"/>
      <w:r w:rsidRPr="007529F5">
        <w:rPr>
          <w:sz w:val="22"/>
        </w:rPr>
        <w:t>contra Sobre</w:t>
      </w:r>
      <w:proofErr w:type="gramEnd"/>
      <w:r w:rsidRPr="007529F5">
        <w:rPr>
          <w:sz w:val="22"/>
        </w:rPr>
        <w:t xml:space="preserve"> tensão (DPS)</w:t>
      </w:r>
      <w:r w:rsidR="00A0006A" w:rsidRPr="007529F5">
        <w:rPr>
          <w:sz w:val="22"/>
        </w:rPr>
        <w:t>, um por fase</w:t>
      </w:r>
      <w:r w:rsidR="005F606B">
        <w:rPr>
          <w:sz w:val="22"/>
        </w:rPr>
        <w:t xml:space="preserve"> + neutro</w:t>
      </w:r>
      <w:r w:rsidR="00A0006A" w:rsidRPr="007529F5">
        <w:rPr>
          <w:sz w:val="22"/>
        </w:rPr>
        <w:t>,</w:t>
      </w:r>
      <w:r w:rsidR="00235E23">
        <w:rPr>
          <w:sz w:val="22"/>
        </w:rPr>
        <w:t xml:space="preserve"> após e em compartimento separado da medição,</w:t>
      </w:r>
      <w:r w:rsidR="00A0006A" w:rsidRPr="007529F5">
        <w:rPr>
          <w:sz w:val="22"/>
        </w:rPr>
        <w:t xml:space="preserve"> </w:t>
      </w:r>
      <w:r w:rsidR="00E97932" w:rsidRPr="007529F5">
        <w:rPr>
          <w:sz w:val="22"/>
        </w:rPr>
        <w:t>adjacente a</w:t>
      </w:r>
      <w:r w:rsidR="00A0006A" w:rsidRPr="007529F5">
        <w:rPr>
          <w:sz w:val="22"/>
        </w:rPr>
        <w:t xml:space="preserve"> estrutura em que está alojado o </w:t>
      </w:r>
      <w:r w:rsidR="00235E23">
        <w:rPr>
          <w:sz w:val="22"/>
        </w:rPr>
        <w:t>disjuntor geral de baixa tensão, porém ins</w:t>
      </w:r>
      <w:r w:rsidR="00DC2D62">
        <w:rPr>
          <w:sz w:val="22"/>
        </w:rPr>
        <w:t>talado em compartimento separado</w:t>
      </w:r>
      <w:r w:rsidR="00235E23">
        <w:rPr>
          <w:sz w:val="22"/>
        </w:rPr>
        <w:t xml:space="preserve"> deste.</w:t>
      </w:r>
    </w:p>
    <w:p w:rsidR="00F00C32" w:rsidRDefault="00A0006A" w:rsidP="00FD7327">
      <w:pPr>
        <w:ind w:firstLine="708"/>
        <w:rPr>
          <w:sz w:val="22"/>
        </w:rPr>
      </w:pPr>
      <w:r w:rsidRPr="007529F5">
        <w:rPr>
          <w:sz w:val="22"/>
        </w:rPr>
        <w:lastRenderedPageBreak/>
        <w:t xml:space="preserve">Os DPS’s deverão ser classe II, fixação em trilho DIN 35, </w:t>
      </w:r>
      <w:r w:rsidR="00B558E7" w:rsidRPr="007529F5">
        <w:rPr>
          <w:sz w:val="22"/>
        </w:rPr>
        <w:t xml:space="preserve">classe 275 V, frequência 60 </w:t>
      </w:r>
      <w:r w:rsidR="00754CBD">
        <w:rPr>
          <w:sz w:val="22"/>
        </w:rPr>
        <w:t xml:space="preserve">Hz, corrente máx. </w:t>
      </w:r>
      <w:proofErr w:type="gramStart"/>
      <w:r w:rsidR="00754CBD">
        <w:rPr>
          <w:sz w:val="22"/>
        </w:rPr>
        <w:t>de</w:t>
      </w:r>
      <w:proofErr w:type="gramEnd"/>
      <w:r w:rsidR="00754CBD">
        <w:rPr>
          <w:sz w:val="22"/>
        </w:rPr>
        <w:t xml:space="preserve"> descarga 40</w:t>
      </w:r>
      <w:r w:rsidR="00B558E7" w:rsidRPr="007529F5">
        <w:rPr>
          <w:sz w:val="22"/>
        </w:rPr>
        <w:t xml:space="preserve"> kA</w:t>
      </w:r>
      <w:r w:rsidR="00754CBD">
        <w:rPr>
          <w:sz w:val="22"/>
        </w:rPr>
        <w:t>, corrente nominal de descarga 20</w:t>
      </w:r>
      <w:r w:rsidR="00B558E7" w:rsidRPr="007529F5">
        <w:rPr>
          <w:sz w:val="22"/>
        </w:rPr>
        <w:t xml:space="preserve"> kA, nível de proteção para impulso atmosférico 1 kA, </w:t>
      </w:r>
      <w:r w:rsidRPr="007529F5">
        <w:rPr>
          <w:sz w:val="22"/>
        </w:rPr>
        <w:t>dotado de proteção interna para garantir continuidade de fornecimento de energia elétrica contra os efeitos do curto circuito permanente do varistor, conforme</w:t>
      </w:r>
      <w:r w:rsidR="00B558E7" w:rsidRPr="007529F5">
        <w:rPr>
          <w:sz w:val="22"/>
        </w:rPr>
        <w:t xml:space="preserve"> NBR IEC 61643, possuir supressor de surto com dispositivo interruptor automático e não explosivo com indicador de estado de funcionamento. </w:t>
      </w:r>
    </w:p>
    <w:p w:rsidR="00567386" w:rsidRPr="007529F5" w:rsidRDefault="00F00C32" w:rsidP="002064E2">
      <w:pPr>
        <w:rPr>
          <w:sz w:val="22"/>
        </w:rPr>
      </w:pPr>
      <w:r>
        <w:rPr>
          <w:sz w:val="22"/>
        </w:rPr>
        <w:tab/>
      </w:r>
      <w:r w:rsidR="00567386" w:rsidRPr="007529F5">
        <w:rPr>
          <w:sz w:val="22"/>
        </w:rPr>
        <w:tab/>
      </w:r>
    </w:p>
    <w:p w:rsidR="002064E2" w:rsidRPr="007529F5" w:rsidRDefault="008F70A6" w:rsidP="002064E2">
      <w:pPr>
        <w:pStyle w:val="Ttulo1"/>
        <w:rPr>
          <w:sz w:val="22"/>
          <w:szCs w:val="22"/>
        </w:rPr>
      </w:pPr>
      <w:bookmarkStart w:id="13" w:name="_Toc6907456"/>
      <w:r>
        <w:rPr>
          <w:sz w:val="22"/>
          <w:szCs w:val="22"/>
        </w:rPr>
        <w:t>3</w:t>
      </w:r>
      <w:r w:rsidR="00DC2D62">
        <w:rPr>
          <w:sz w:val="22"/>
          <w:szCs w:val="22"/>
        </w:rPr>
        <w:t>.11</w:t>
      </w:r>
      <w:r w:rsidR="002064E2" w:rsidRPr="007529F5">
        <w:rPr>
          <w:sz w:val="22"/>
          <w:szCs w:val="22"/>
        </w:rPr>
        <w:t xml:space="preserve"> </w:t>
      </w:r>
      <w:r w:rsidR="00A9538A" w:rsidRPr="007529F5">
        <w:rPr>
          <w:sz w:val="22"/>
          <w:szCs w:val="22"/>
        </w:rPr>
        <w:t>Sistema de Aterramento</w:t>
      </w:r>
      <w:bookmarkEnd w:id="13"/>
    </w:p>
    <w:p w:rsidR="00D064CD" w:rsidRPr="007529F5" w:rsidRDefault="002064E2" w:rsidP="002064E2">
      <w:pPr>
        <w:rPr>
          <w:sz w:val="22"/>
        </w:rPr>
      </w:pPr>
      <w:r w:rsidRPr="007529F5">
        <w:rPr>
          <w:sz w:val="22"/>
        </w:rPr>
        <w:tab/>
      </w:r>
      <w:r w:rsidR="006A5965" w:rsidRPr="007529F5">
        <w:rPr>
          <w:sz w:val="22"/>
        </w:rPr>
        <w:t xml:space="preserve">As hastes de aterramento </w:t>
      </w:r>
      <w:r w:rsidR="00145A0C" w:rsidRPr="007529F5">
        <w:rPr>
          <w:sz w:val="22"/>
        </w:rPr>
        <w:t>serão de aço revestido de cobre,</w:t>
      </w:r>
      <w:r w:rsidR="006D1BBB" w:rsidRPr="007529F5">
        <w:rPr>
          <w:sz w:val="22"/>
        </w:rPr>
        <w:t xml:space="preserve"> tipo copperweld,</w:t>
      </w:r>
      <w:r w:rsidR="00145A0C" w:rsidRPr="007529F5">
        <w:rPr>
          <w:sz w:val="22"/>
        </w:rPr>
        <w:t xml:space="preserve"> diâmetro 5/8” (16 mm) e 3 metros de comprimento. </w:t>
      </w:r>
    </w:p>
    <w:p w:rsidR="00E97932" w:rsidRPr="007529F5" w:rsidRDefault="00E97932" w:rsidP="002064E2">
      <w:pPr>
        <w:rPr>
          <w:sz w:val="22"/>
        </w:rPr>
      </w:pPr>
      <w:r w:rsidRPr="007529F5">
        <w:rPr>
          <w:sz w:val="22"/>
        </w:rPr>
        <w:tab/>
        <w:t xml:space="preserve">O sistema de aterramento será feito sobre o posto de transformação e medição, contando com instalação de anel circundando os postos, interligado ao citado sistema de aterramento e afastado a 1,0 m do perímetro deste, com profundidade </w:t>
      </w:r>
      <w:r w:rsidR="00FD7327">
        <w:rPr>
          <w:sz w:val="22"/>
        </w:rPr>
        <w:t xml:space="preserve">mínima de </w:t>
      </w:r>
      <w:proofErr w:type="spellStart"/>
      <w:r w:rsidRPr="007529F5">
        <w:rPr>
          <w:sz w:val="22"/>
        </w:rPr>
        <w:t>de</w:t>
      </w:r>
      <w:proofErr w:type="spellEnd"/>
      <w:r w:rsidRPr="007529F5">
        <w:rPr>
          <w:sz w:val="22"/>
        </w:rPr>
        <w:t xml:space="preserve"> 0,7 m, conforme NBR 14039.</w:t>
      </w:r>
    </w:p>
    <w:p w:rsidR="00394A9F" w:rsidRPr="007529F5" w:rsidRDefault="00394A9F" w:rsidP="002064E2">
      <w:pPr>
        <w:rPr>
          <w:sz w:val="22"/>
        </w:rPr>
      </w:pPr>
      <w:r w:rsidRPr="007529F5">
        <w:rPr>
          <w:sz w:val="22"/>
        </w:rPr>
        <w:tab/>
        <w:t>As interligações entre hastes de aterramento (malha) devem ser feitas através de cabos de cobre nu, seção 50 mm², com profundidade de 0,7 m.</w:t>
      </w:r>
    </w:p>
    <w:p w:rsidR="0076600F" w:rsidRDefault="00E97932" w:rsidP="00EC62AD">
      <w:pPr>
        <w:rPr>
          <w:sz w:val="22"/>
        </w:rPr>
      </w:pPr>
      <w:r w:rsidRPr="007529F5">
        <w:rPr>
          <w:sz w:val="22"/>
        </w:rPr>
        <w:tab/>
      </w:r>
      <w:r w:rsidR="0076600F" w:rsidRPr="007529F5">
        <w:rPr>
          <w:sz w:val="22"/>
        </w:rPr>
        <w:t>A resistência máxima de terra permissível é de 10 Ohms em terreno úmido e 25 Ohms em terreno seco, devendo ser usado, para alcançar os prescritos valores, o número de hastes e profundidas que foram necessárias. A distância entre hastes deve ser, no mínimo, igual a seu comprimento.</w:t>
      </w:r>
    </w:p>
    <w:p w:rsidR="00FD7327" w:rsidRPr="007529F5" w:rsidRDefault="00FD7327" w:rsidP="00EC62AD">
      <w:pPr>
        <w:rPr>
          <w:sz w:val="22"/>
        </w:rPr>
      </w:pPr>
      <w:r>
        <w:rPr>
          <w:sz w:val="22"/>
        </w:rPr>
        <w:tab/>
        <w:t>O valor das prescritas resistências aterramento deverá ser comprovada através de medição com terrômetro.</w:t>
      </w:r>
    </w:p>
    <w:p w:rsidR="00145A0C" w:rsidRPr="007529F5" w:rsidRDefault="00D064CD" w:rsidP="00D064CD">
      <w:pPr>
        <w:ind w:firstLine="708"/>
        <w:rPr>
          <w:sz w:val="22"/>
        </w:rPr>
      </w:pPr>
      <w:r w:rsidRPr="007529F5">
        <w:rPr>
          <w:sz w:val="22"/>
        </w:rPr>
        <w:t xml:space="preserve">As conexões entre haste e malha de aterramento serão efetuadas por solda exotérmica. As interligações entre aterramento de equipamentos e ferragens com o anel, malha e hastes de aterramento serão </w:t>
      </w:r>
      <w:r w:rsidR="00041B29" w:rsidRPr="007529F5">
        <w:rPr>
          <w:sz w:val="22"/>
        </w:rPr>
        <w:t>feitas</w:t>
      </w:r>
      <w:r w:rsidRPr="007529F5">
        <w:rPr>
          <w:sz w:val="22"/>
        </w:rPr>
        <w:t xml:space="preserve"> por conexão mecânica ou solda exotérmica, sendo vedado o uso de solda de estanho, zinco ou chumbo.</w:t>
      </w:r>
    </w:p>
    <w:p w:rsidR="00145A0C" w:rsidRPr="007529F5" w:rsidRDefault="00D064CD" w:rsidP="002064E2">
      <w:pPr>
        <w:rPr>
          <w:sz w:val="22"/>
        </w:rPr>
      </w:pPr>
      <w:r w:rsidRPr="007529F5">
        <w:rPr>
          <w:sz w:val="22"/>
        </w:rPr>
        <w:tab/>
      </w:r>
      <w:r w:rsidR="007A7C06" w:rsidRPr="007529F5">
        <w:rPr>
          <w:sz w:val="22"/>
        </w:rPr>
        <w:t>O neutro da CPFL deverá ser interligado ao neutro das instalações da unidade consumidora do IFRS.</w:t>
      </w:r>
    </w:p>
    <w:p w:rsidR="00CA2A84" w:rsidRPr="007529F5" w:rsidRDefault="007A7C06" w:rsidP="000C0F53">
      <w:pPr>
        <w:rPr>
          <w:sz w:val="22"/>
        </w:rPr>
      </w:pPr>
      <w:r w:rsidRPr="007529F5">
        <w:rPr>
          <w:sz w:val="22"/>
        </w:rPr>
        <w:tab/>
        <w:t>Os condutores de descida de aterramento devem ser contínuos, sem emendas e interligados aos anéis da malha de terra.</w:t>
      </w:r>
    </w:p>
    <w:p w:rsidR="00263ED2" w:rsidRPr="007529F5" w:rsidRDefault="00263ED2" w:rsidP="000C0F53">
      <w:pPr>
        <w:rPr>
          <w:sz w:val="22"/>
        </w:rPr>
      </w:pPr>
      <w:r w:rsidRPr="007529F5">
        <w:rPr>
          <w:sz w:val="22"/>
        </w:rPr>
        <w:tab/>
        <w:t>O condutor neutro da instalação deverá ser aterrado através de conector tipo parafuso fendido instalado na caixa de medição. O neutro não deverá ser seccionado, apenas descascado para conexão.</w:t>
      </w:r>
    </w:p>
    <w:p w:rsidR="00951507" w:rsidRPr="007529F5" w:rsidRDefault="00951507" w:rsidP="006D1BBB">
      <w:pPr>
        <w:rPr>
          <w:sz w:val="22"/>
        </w:rPr>
      </w:pPr>
      <w:r w:rsidRPr="007529F5">
        <w:rPr>
          <w:sz w:val="22"/>
        </w:rPr>
        <w:lastRenderedPageBreak/>
        <w:tab/>
        <w:t>Todas as partes metálicas não energizadas da caixa de medição devem ser interligadas ao anel de aterramento, através de condutor com seção 25 mm².</w:t>
      </w:r>
    </w:p>
    <w:p w:rsidR="00951507" w:rsidRPr="007529F5" w:rsidRDefault="00951507" w:rsidP="000C0F53">
      <w:pPr>
        <w:rPr>
          <w:sz w:val="22"/>
        </w:rPr>
      </w:pPr>
      <w:r w:rsidRPr="007529F5">
        <w:rPr>
          <w:sz w:val="22"/>
        </w:rPr>
        <w:tab/>
        <w:t>O condutor de descida –</w:t>
      </w:r>
      <w:r w:rsidR="00971808" w:rsidRPr="007529F5">
        <w:rPr>
          <w:sz w:val="22"/>
        </w:rPr>
        <w:t xml:space="preserve"> proveniente </w:t>
      </w:r>
      <w:r w:rsidR="00D81C55">
        <w:rPr>
          <w:sz w:val="22"/>
        </w:rPr>
        <w:t>do posto nº 07</w:t>
      </w:r>
      <w:r w:rsidR="008F70A6">
        <w:rPr>
          <w:sz w:val="22"/>
        </w:rPr>
        <w:t xml:space="preserve"> </w:t>
      </w:r>
      <w:r w:rsidR="00A07973">
        <w:rPr>
          <w:sz w:val="22"/>
        </w:rPr>
        <w:t>deverá ser de 50</w:t>
      </w:r>
      <w:r w:rsidRPr="007529F5">
        <w:rPr>
          <w:sz w:val="22"/>
        </w:rPr>
        <w:t xml:space="preserve"> mm², protegido por eletrodu</w:t>
      </w:r>
      <w:r w:rsidR="003737EB" w:rsidRPr="007529F5">
        <w:rPr>
          <w:sz w:val="22"/>
        </w:rPr>
        <w:t>to</w:t>
      </w:r>
      <w:r w:rsidR="006F5204" w:rsidRPr="007529F5">
        <w:rPr>
          <w:sz w:val="22"/>
        </w:rPr>
        <w:t xml:space="preserve"> individual de PVC, diâmetro 1</w:t>
      </w:r>
      <w:r w:rsidRPr="007529F5">
        <w:rPr>
          <w:sz w:val="22"/>
        </w:rPr>
        <w:t>”</w:t>
      </w:r>
      <w:r w:rsidR="00971808" w:rsidRPr="007529F5">
        <w:rPr>
          <w:sz w:val="22"/>
        </w:rPr>
        <w:t>, aterrado por h</w:t>
      </w:r>
      <w:r w:rsidR="008F70A6">
        <w:rPr>
          <w:sz w:val="22"/>
        </w:rPr>
        <w:t>aste de aterramento individual.</w:t>
      </w:r>
    </w:p>
    <w:p w:rsidR="007A7C06" w:rsidRDefault="00A07D6E" w:rsidP="000C0F53">
      <w:pPr>
        <w:rPr>
          <w:sz w:val="22"/>
        </w:rPr>
      </w:pPr>
      <w:r w:rsidRPr="007529F5">
        <w:rPr>
          <w:sz w:val="22"/>
        </w:rPr>
        <w:tab/>
      </w:r>
    </w:p>
    <w:p w:rsidR="00E33C92" w:rsidRPr="007529F5" w:rsidRDefault="008F70A6" w:rsidP="00E33C92">
      <w:pPr>
        <w:pStyle w:val="Ttulo1"/>
        <w:rPr>
          <w:sz w:val="22"/>
          <w:szCs w:val="22"/>
        </w:rPr>
      </w:pPr>
      <w:bookmarkStart w:id="14" w:name="_Toc6907457"/>
      <w:r>
        <w:rPr>
          <w:sz w:val="22"/>
          <w:szCs w:val="22"/>
        </w:rPr>
        <w:t>3</w:t>
      </w:r>
      <w:r w:rsidR="00DC2D62">
        <w:rPr>
          <w:sz w:val="22"/>
          <w:szCs w:val="22"/>
        </w:rPr>
        <w:t>.12</w:t>
      </w:r>
      <w:r w:rsidR="008D2EA1" w:rsidRPr="007529F5">
        <w:rPr>
          <w:sz w:val="22"/>
          <w:szCs w:val="22"/>
        </w:rPr>
        <w:t xml:space="preserve"> </w:t>
      </w:r>
      <w:r w:rsidR="00A9538A" w:rsidRPr="007529F5">
        <w:rPr>
          <w:sz w:val="22"/>
          <w:szCs w:val="22"/>
        </w:rPr>
        <w:t>Cálculo da Demanda Total da Instalação</w:t>
      </w:r>
      <w:bookmarkEnd w:id="14"/>
    </w:p>
    <w:p w:rsidR="006F5204" w:rsidRPr="007529F5" w:rsidRDefault="009F0C74" w:rsidP="006F5204">
      <w:pPr>
        <w:rPr>
          <w:sz w:val="22"/>
        </w:rPr>
      </w:pPr>
      <w:r w:rsidRPr="007529F5">
        <w:rPr>
          <w:sz w:val="22"/>
        </w:rPr>
        <w:tab/>
      </w:r>
      <w:r w:rsidR="006F5204" w:rsidRPr="007529F5">
        <w:rPr>
          <w:sz w:val="22"/>
        </w:rPr>
        <w:t>A determinação da demanda total da instalação foi realizada conforme item 12.3.1 do GED-2855, pela instalação se enquadrar no ramo prestação de serviço: poder público, esfera federal.</w:t>
      </w:r>
    </w:p>
    <w:p w:rsidR="006F5204" w:rsidRPr="007529F5" w:rsidRDefault="006F5204" w:rsidP="006F5204">
      <w:pPr>
        <w:ind w:firstLine="708"/>
        <w:rPr>
          <w:sz w:val="22"/>
        </w:rPr>
      </w:pPr>
      <w:r w:rsidRPr="00A735A2">
        <w:rPr>
          <w:sz w:val="22"/>
        </w:rPr>
        <w:t xml:space="preserve">A instalação NÃO POSSUI CARGAS referentes a motores elétricos, aparelhos de raio-X, máquina de solda a transformador, fornos elétricos a arco, retificadores ou qualquer outra carga perturbadora ao sistema elétrica da CPFL, </w:t>
      </w:r>
      <w:r w:rsidRPr="003E558C">
        <w:rPr>
          <w:sz w:val="22"/>
        </w:rPr>
        <w:t>conforme apresentado no preenchimento do ANEXO VII do GED 4732.</w:t>
      </w:r>
    </w:p>
    <w:p w:rsidR="006F5204" w:rsidRPr="007529F5" w:rsidRDefault="006F5204" w:rsidP="006F5204">
      <w:pPr>
        <w:ind w:firstLine="708"/>
        <w:rPr>
          <w:sz w:val="22"/>
        </w:rPr>
      </w:pPr>
      <w:r w:rsidRPr="007529F5">
        <w:rPr>
          <w:sz w:val="22"/>
        </w:rPr>
        <w:t>A área construída total da edificação é de aproximadamente 1648,82 m².</w:t>
      </w:r>
    </w:p>
    <w:p w:rsidR="006F5204" w:rsidRDefault="006F5204" w:rsidP="006F5204">
      <w:pPr>
        <w:ind w:firstLine="708"/>
        <w:rPr>
          <w:sz w:val="22"/>
        </w:rPr>
      </w:pPr>
      <w:r w:rsidRPr="007529F5">
        <w:rPr>
          <w:sz w:val="22"/>
        </w:rPr>
        <w:t>As subseções subsequentes apresentarão o memorial de cálculo para determinação da demanda.</w:t>
      </w:r>
    </w:p>
    <w:p w:rsidR="008F70A6" w:rsidRDefault="008F70A6" w:rsidP="006F5204">
      <w:pPr>
        <w:ind w:firstLine="708"/>
        <w:rPr>
          <w:sz w:val="22"/>
        </w:rPr>
      </w:pPr>
    </w:p>
    <w:p w:rsidR="006F5204" w:rsidRPr="00077BA1" w:rsidRDefault="008F70A6" w:rsidP="00EF1E65">
      <w:pPr>
        <w:pStyle w:val="Ttulo1"/>
        <w:rPr>
          <w:sz w:val="22"/>
          <w:szCs w:val="22"/>
        </w:rPr>
      </w:pPr>
      <w:bookmarkStart w:id="15" w:name="_Toc6907458"/>
      <w:r>
        <w:rPr>
          <w:sz w:val="22"/>
          <w:szCs w:val="22"/>
        </w:rPr>
        <w:t>3</w:t>
      </w:r>
      <w:r w:rsidR="007529F5" w:rsidRPr="00077BA1">
        <w:rPr>
          <w:sz w:val="22"/>
          <w:szCs w:val="22"/>
        </w:rPr>
        <w:t>.</w:t>
      </w:r>
      <w:r w:rsidR="00DC2D62">
        <w:rPr>
          <w:sz w:val="22"/>
          <w:szCs w:val="22"/>
        </w:rPr>
        <w:t>12</w:t>
      </w:r>
      <w:r w:rsidR="006F5204" w:rsidRPr="00077BA1">
        <w:rPr>
          <w:sz w:val="22"/>
          <w:szCs w:val="22"/>
        </w:rPr>
        <w:t xml:space="preserve">.1 Cálculo da Demanda </w:t>
      </w:r>
      <w:r w:rsidR="00322E6B">
        <w:rPr>
          <w:sz w:val="22"/>
          <w:szCs w:val="22"/>
        </w:rPr>
        <w:t>a Instalar</w:t>
      </w:r>
      <w:bookmarkEnd w:id="15"/>
    </w:p>
    <w:p w:rsidR="006F5204" w:rsidRPr="007529F5" w:rsidRDefault="006F5204" w:rsidP="006F5204">
      <w:pPr>
        <w:ind w:firstLine="708"/>
        <w:rPr>
          <w:sz w:val="22"/>
        </w:rPr>
      </w:pPr>
      <w:r w:rsidRPr="007529F5">
        <w:rPr>
          <w:sz w:val="22"/>
        </w:rPr>
        <w:t xml:space="preserve">A carga total instalada </w:t>
      </w:r>
      <w:r w:rsidR="00D94209">
        <w:rPr>
          <w:sz w:val="22"/>
        </w:rPr>
        <w:t>atualmente na unidade consumidora</w:t>
      </w:r>
      <w:r w:rsidRPr="007529F5">
        <w:rPr>
          <w:sz w:val="22"/>
        </w:rPr>
        <w:t xml:space="preserve"> é de aproximadamente 26,5 kVA, formada basicamente por cargas de iluminação tipo fluorescente, tom</w:t>
      </w:r>
      <w:r w:rsidR="00FD7327">
        <w:rPr>
          <w:sz w:val="22"/>
        </w:rPr>
        <w:t>ad</w:t>
      </w:r>
      <w:r w:rsidRPr="007529F5">
        <w:rPr>
          <w:sz w:val="22"/>
        </w:rPr>
        <w:t>as de uso geral (TUG’s) e específicas (TUE’s).</w:t>
      </w:r>
    </w:p>
    <w:p w:rsidR="006F5204" w:rsidRPr="007529F5" w:rsidRDefault="006F5204" w:rsidP="006F5204">
      <w:pPr>
        <w:ind w:firstLine="708"/>
        <w:rPr>
          <w:sz w:val="22"/>
        </w:rPr>
      </w:pPr>
      <w:r w:rsidRPr="007529F5">
        <w:rPr>
          <w:sz w:val="22"/>
        </w:rPr>
        <w:t xml:space="preserve">Com a expansão das atividades educacionais do campus, outras cargas foram instaladas à edificação, totalizando uma </w:t>
      </w:r>
      <w:r w:rsidR="00EF1E65">
        <w:rPr>
          <w:sz w:val="22"/>
        </w:rPr>
        <w:t>adição de, aproximadamente, 93,</w:t>
      </w:r>
      <w:r w:rsidRPr="007529F5">
        <w:rPr>
          <w:sz w:val="22"/>
        </w:rPr>
        <w:t xml:space="preserve">25 kVA, formada basicamente por cargas de iluminação tipo LED, </w:t>
      </w:r>
      <w:r w:rsidR="002756AF">
        <w:rPr>
          <w:sz w:val="22"/>
        </w:rPr>
        <w:t>TUG’s</w:t>
      </w:r>
      <w:r w:rsidRPr="007529F5">
        <w:rPr>
          <w:sz w:val="22"/>
        </w:rPr>
        <w:t xml:space="preserve"> para alimentação de computadores e monitores e </w:t>
      </w:r>
      <w:r w:rsidR="002756AF">
        <w:rPr>
          <w:sz w:val="22"/>
        </w:rPr>
        <w:t>TUE’s</w:t>
      </w:r>
      <w:r w:rsidRPr="007529F5">
        <w:rPr>
          <w:sz w:val="22"/>
        </w:rPr>
        <w:t xml:space="preserve"> para alimentação de ar condicionados (AR).</w:t>
      </w:r>
    </w:p>
    <w:p w:rsidR="006F5204" w:rsidRDefault="00D94209" w:rsidP="006F5204">
      <w:pPr>
        <w:ind w:firstLine="708"/>
        <w:rPr>
          <w:sz w:val="22"/>
        </w:rPr>
      </w:pPr>
      <w:r>
        <w:rPr>
          <w:sz w:val="22"/>
        </w:rPr>
        <w:t>Destarte, c</w:t>
      </w:r>
      <w:r w:rsidR="006F5204" w:rsidRPr="007529F5">
        <w:rPr>
          <w:sz w:val="22"/>
        </w:rPr>
        <w:t xml:space="preserve">onforme apresentado na tabela 1, </w:t>
      </w:r>
      <w:r>
        <w:rPr>
          <w:sz w:val="22"/>
        </w:rPr>
        <w:t>a demanda total a ser instalada</w:t>
      </w:r>
      <w:r w:rsidR="006F5204" w:rsidRPr="007529F5">
        <w:rPr>
          <w:sz w:val="22"/>
        </w:rPr>
        <w:t xml:space="preserve"> será de 119,75 kVA; valor este que requer a instalação de unidade transformadora particular, a ser </w:t>
      </w:r>
      <w:r w:rsidR="008F70A6">
        <w:rPr>
          <w:sz w:val="22"/>
        </w:rPr>
        <w:t>dimensionada conforme seção 3</w:t>
      </w:r>
      <w:r w:rsidR="00552983">
        <w:rPr>
          <w:sz w:val="22"/>
        </w:rPr>
        <w:t>.12</w:t>
      </w:r>
      <w:r w:rsidR="002756AF">
        <w:rPr>
          <w:sz w:val="22"/>
        </w:rPr>
        <w:t>.3 do presente memorial.</w:t>
      </w:r>
    </w:p>
    <w:p w:rsidR="002756AF" w:rsidRDefault="002756AF" w:rsidP="006F5204">
      <w:pPr>
        <w:ind w:firstLine="708"/>
        <w:rPr>
          <w:sz w:val="22"/>
        </w:rPr>
      </w:pPr>
    </w:p>
    <w:p w:rsidR="008F70A6" w:rsidRDefault="008F70A6" w:rsidP="006F5204">
      <w:pPr>
        <w:ind w:firstLine="708"/>
        <w:rPr>
          <w:sz w:val="22"/>
        </w:rPr>
      </w:pPr>
    </w:p>
    <w:p w:rsidR="00D94209" w:rsidRDefault="00D94209" w:rsidP="006F5204">
      <w:pPr>
        <w:ind w:firstLine="708"/>
        <w:rPr>
          <w:sz w:val="22"/>
        </w:rPr>
      </w:pPr>
    </w:p>
    <w:p w:rsidR="00D94209" w:rsidRDefault="00D94209" w:rsidP="006F5204">
      <w:pPr>
        <w:ind w:firstLine="708"/>
        <w:rPr>
          <w:sz w:val="22"/>
        </w:rPr>
      </w:pPr>
    </w:p>
    <w:p w:rsidR="00D94209" w:rsidRDefault="00D94209" w:rsidP="006F5204">
      <w:pPr>
        <w:ind w:firstLine="708"/>
        <w:rPr>
          <w:sz w:val="22"/>
        </w:rPr>
      </w:pPr>
    </w:p>
    <w:p w:rsidR="006F5204" w:rsidRPr="00EF1E65" w:rsidRDefault="006F5204" w:rsidP="006F5204">
      <w:pPr>
        <w:pStyle w:val="Legenda"/>
        <w:keepNext/>
        <w:jc w:val="center"/>
        <w:rPr>
          <w:i w:val="0"/>
          <w:color w:val="000000" w:themeColor="text1"/>
          <w:sz w:val="20"/>
          <w:szCs w:val="20"/>
        </w:rPr>
      </w:pPr>
      <w:r w:rsidRPr="00EF1E65">
        <w:rPr>
          <w:i w:val="0"/>
          <w:color w:val="000000" w:themeColor="text1"/>
          <w:sz w:val="20"/>
          <w:szCs w:val="20"/>
        </w:rPr>
        <w:lastRenderedPageBreak/>
        <w:t xml:space="preserve">Tabela </w:t>
      </w:r>
      <w:r w:rsidRPr="00EF1E65">
        <w:rPr>
          <w:i w:val="0"/>
          <w:color w:val="000000" w:themeColor="text1"/>
          <w:sz w:val="20"/>
          <w:szCs w:val="20"/>
        </w:rPr>
        <w:fldChar w:fldCharType="begin"/>
      </w:r>
      <w:r w:rsidRPr="00EF1E65">
        <w:rPr>
          <w:i w:val="0"/>
          <w:color w:val="000000" w:themeColor="text1"/>
          <w:sz w:val="20"/>
          <w:szCs w:val="20"/>
        </w:rPr>
        <w:instrText xml:space="preserve"> SEQ Tabela \* ARABIC </w:instrText>
      </w:r>
      <w:r w:rsidRPr="00EF1E65">
        <w:rPr>
          <w:i w:val="0"/>
          <w:color w:val="000000" w:themeColor="text1"/>
          <w:sz w:val="20"/>
          <w:szCs w:val="20"/>
        </w:rPr>
        <w:fldChar w:fldCharType="separate"/>
      </w:r>
      <w:r w:rsidR="005142B9">
        <w:rPr>
          <w:i w:val="0"/>
          <w:noProof/>
          <w:color w:val="000000" w:themeColor="text1"/>
          <w:sz w:val="20"/>
          <w:szCs w:val="20"/>
        </w:rPr>
        <w:t>1</w:t>
      </w:r>
      <w:r w:rsidRPr="00EF1E65">
        <w:rPr>
          <w:i w:val="0"/>
          <w:color w:val="000000" w:themeColor="text1"/>
          <w:sz w:val="20"/>
          <w:szCs w:val="20"/>
        </w:rPr>
        <w:fldChar w:fldCharType="end"/>
      </w:r>
      <w:r w:rsidRPr="00EF1E65">
        <w:rPr>
          <w:i w:val="0"/>
          <w:color w:val="000000" w:themeColor="text1"/>
          <w:sz w:val="20"/>
          <w:szCs w:val="20"/>
        </w:rPr>
        <w:t xml:space="preserve"> - Resumo das Cargas da Instalação.</w:t>
      </w:r>
    </w:p>
    <w:tbl>
      <w:tblPr>
        <w:tblW w:w="6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496"/>
        <w:gridCol w:w="741"/>
        <w:gridCol w:w="1669"/>
      </w:tblGrid>
      <w:tr w:rsidR="00322E6B" w:rsidRPr="00CF4E55" w:rsidTr="00322E6B">
        <w:trPr>
          <w:trHeight w:val="585"/>
          <w:jc w:val="center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Descrição do equipamento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Potência individual</w:t>
            </w: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(VA)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Demanda a Instalar</w:t>
            </w: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(kVA)</w:t>
            </w:r>
          </w:p>
        </w:tc>
      </w:tr>
      <w:tr w:rsidR="00322E6B" w:rsidRPr="00CF4E55" w:rsidTr="00322E6B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Ar-Condicionado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2931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5862</w:t>
            </w:r>
          </w:p>
        </w:tc>
      </w:tr>
      <w:tr w:rsidR="00322E6B" w:rsidRPr="00CF4E55" w:rsidTr="00322E6B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Ar-Condicionado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2931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17586</w:t>
            </w:r>
          </w:p>
        </w:tc>
      </w:tr>
      <w:tr w:rsidR="00322E6B" w:rsidRPr="00CF4E55" w:rsidTr="00322E6B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Ar-Condicionado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977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977</w:t>
            </w:r>
          </w:p>
        </w:tc>
      </w:tr>
      <w:tr w:rsidR="00322E6B" w:rsidRPr="00CF4E55" w:rsidTr="00322E6B">
        <w:trPr>
          <w:trHeight w:val="454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Tomadas de Uso Geral (TUG’s)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5300</w:t>
            </w:r>
          </w:p>
        </w:tc>
      </w:tr>
      <w:tr w:rsidR="00322E6B" w:rsidRPr="00CF4E55" w:rsidTr="00322E6B">
        <w:trPr>
          <w:trHeight w:val="406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Tomadas de Uso Geral (TUG’s)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2600</w:t>
            </w:r>
          </w:p>
        </w:tc>
      </w:tr>
      <w:tr w:rsidR="00322E6B" w:rsidRPr="00CF4E55" w:rsidTr="00322E6B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Computadores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45600</w:t>
            </w:r>
          </w:p>
        </w:tc>
      </w:tr>
      <w:tr w:rsidR="00322E6B" w:rsidRPr="00CF4E55" w:rsidTr="00322E6B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Nobreak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6000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6000</w:t>
            </w:r>
          </w:p>
        </w:tc>
      </w:tr>
      <w:tr w:rsidR="00322E6B" w:rsidRPr="00CF4E55" w:rsidTr="00322E6B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Micro-ondas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2000</w:t>
            </w:r>
          </w:p>
        </w:tc>
      </w:tr>
      <w:tr w:rsidR="00322E6B" w:rsidRPr="00CF4E55" w:rsidTr="00322E6B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Micro-ondas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4000</w:t>
            </w:r>
          </w:p>
        </w:tc>
      </w:tr>
      <w:tr w:rsidR="00322E6B" w:rsidRPr="00CF4E55" w:rsidTr="00322E6B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Torneira Elétrica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2450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2450</w:t>
            </w:r>
          </w:p>
        </w:tc>
      </w:tr>
      <w:tr w:rsidR="00322E6B" w:rsidRPr="00CF4E55" w:rsidTr="00322E6B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Projetores de Slides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1200</w:t>
            </w:r>
          </w:p>
        </w:tc>
      </w:tr>
      <w:tr w:rsidR="00322E6B" w:rsidRPr="00CF4E55" w:rsidTr="00322E6B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Projetores de Slides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800</w:t>
            </w:r>
          </w:p>
        </w:tc>
      </w:tr>
      <w:tr w:rsidR="00322E6B" w:rsidRPr="00CF4E55" w:rsidTr="00322E6B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Cafeteira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1800</w:t>
            </w:r>
          </w:p>
        </w:tc>
      </w:tr>
      <w:tr w:rsidR="00322E6B" w:rsidRPr="00CF4E55" w:rsidTr="00322E6B">
        <w:trPr>
          <w:trHeight w:val="421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E6B" w:rsidRPr="00CF4E55" w:rsidRDefault="00322E6B" w:rsidP="007120D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Lâmpadas Fluorescentes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10080</w:t>
            </w:r>
          </w:p>
        </w:tc>
      </w:tr>
      <w:tr w:rsidR="00322E6B" w:rsidRPr="00CF4E55" w:rsidTr="00322E6B">
        <w:trPr>
          <w:trHeight w:val="414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E6B" w:rsidRPr="00CF4E55" w:rsidRDefault="00322E6B" w:rsidP="007120D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Lâmpadas Fluorescentes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11200</w:t>
            </w:r>
          </w:p>
        </w:tc>
      </w:tr>
      <w:tr w:rsidR="00322E6B" w:rsidRPr="00CF4E55" w:rsidTr="00322E6B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Lâmpadas LED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70</w:t>
            </w:r>
          </w:p>
        </w:tc>
      </w:tr>
      <w:tr w:rsidR="00322E6B" w:rsidRPr="00CF4E55" w:rsidTr="00322E6B">
        <w:trPr>
          <w:trHeight w:val="315"/>
          <w:jc w:val="center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Lâmpadas LED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360</w:t>
            </w:r>
          </w:p>
        </w:tc>
      </w:tr>
      <w:tr w:rsidR="00322E6B" w:rsidRPr="00CF4E55" w:rsidTr="00322E6B">
        <w:trPr>
          <w:trHeight w:val="315"/>
          <w:jc w:val="center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322E6B" w:rsidP="00CF4E55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CF4E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E6B" w:rsidRPr="00CF4E55" w:rsidRDefault="00D94209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119,75</w:t>
            </w:r>
          </w:p>
        </w:tc>
      </w:tr>
    </w:tbl>
    <w:p w:rsidR="00714777" w:rsidRDefault="00714777" w:rsidP="00714777">
      <w:bookmarkStart w:id="16" w:name="_Toc534706880"/>
    </w:p>
    <w:p w:rsidR="006F5204" w:rsidRPr="004015CA" w:rsidRDefault="008F70A6" w:rsidP="00EF1E65">
      <w:pPr>
        <w:pStyle w:val="Ttulo1"/>
        <w:rPr>
          <w:sz w:val="22"/>
          <w:szCs w:val="22"/>
        </w:rPr>
      </w:pPr>
      <w:bookmarkStart w:id="17" w:name="_Toc6907459"/>
      <w:r>
        <w:rPr>
          <w:sz w:val="22"/>
          <w:szCs w:val="22"/>
        </w:rPr>
        <w:t>3</w:t>
      </w:r>
      <w:r w:rsidR="007529F5" w:rsidRPr="004015CA">
        <w:rPr>
          <w:sz w:val="22"/>
          <w:szCs w:val="22"/>
        </w:rPr>
        <w:t>.</w:t>
      </w:r>
      <w:r w:rsidR="00DC2D62" w:rsidRPr="004015CA">
        <w:rPr>
          <w:sz w:val="22"/>
          <w:szCs w:val="22"/>
        </w:rPr>
        <w:t>12</w:t>
      </w:r>
      <w:r w:rsidR="006F5204" w:rsidRPr="004015CA">
        <w:rPr>
          <w:sz w:val="22"/>
          <w:szCs w:val="22"/>
        </w:rPr>
        <w:t>.2 Compatibilização da carga instalada com previsões mínimas</w:t>
      </w:r>
      <w:bookmarkEnd w:id="16"/>
      <w:bookmarkEnd w:id="17"/>
    </w:p>
    <w:p w:rsidR="006F5204" w:rsidRPr="004015CA" w:rsidRDefault="006F5204" w:rsidP="006F5204">
      <w:pPr>
        <w:pStyle w:val="PargrafodaLista"/>
        <w:numPr>
          <w:ilvl w:val="0"/>
          <w:numId w:val="9"/>
        </w:numPr>
        <w:rPr>
          <w:sz w:val="22"/>
        </w:rPr>
      </w:pPr>
      <w:r w:rsidRPr="004015CA">
        <w:rPr>
          <w:sz w:val="22"/>
        </w:rPr>
        <w:t xml:space="preserve">Iluminação + TUG’s </w:t>
      </w:r>
      <w:r w:rsidRPr="004015CA">
        <w:rPr>
          <w:sz w:val="22"/>
        </w:rPr>
        <w:sym w:font="Wingdings" w:char="F0E0"/>
      </w:r>
      <w:r w:rsidRPr="004015CA">
        <w:rPr>
          <w:sz w:val="22"/>
        </w:rPr>
        <w:t xml:space="preserve"> carga instalada é 74,14 kW;</w:t>
      </w:r>
    </w:p>
    <w:p w:rsidR="006F5204" w:rsidRPr="004015CA" w:rsidRDefault="006F5204" w:rsidP="006F5204">
      <w:pPr>
        <w:pStyle w:val="PargrafodaLista"/>
        <w:numPr>
          <w:ilvl w:val="0"/>
          <w:numId w:val="9"/>
        </w:numPr>
        <w:rPr>
          <w:sz w:val="22"/>
        </w:rPr>
      </w:pPr>
      <w:r w:rsidRPr="004015CA">
        <w:rPr>
          <w:sz w:val="22"/>
        </w:rPr>
        <w:t>Carga mínima (tabela 10, GED-2856):</w:t>
      </w:r>
    </w:p>
    <w:p w:rsidR="006F5204" w:rsidRPr="004015CA" w:rsidRDefault="006F5204" w:rsidP="006F5204">
      <w:pPr>
        <w:pStyle w:val="PargrafodaLista"/>
        <w:numPr>
          <w:ilvl w:val="1"/>
          <w:numId w:val="9"/>
        </w:numPr>
        <w:rPr>
          <w:sz w:val="22"/>
        </w:rPr>
      </w:pPr>
      <w:r w:rsidRPr="004015CA">
        <w:rPr>
          <w:sz w:val="22"/>
        </w:rPr>
        <w:t xml:space="preserve">a1 </w:t>
      </w:r>
      <w:r w:rsidRPr="004015CA">
        <w:rPr>
          <w:sz w:val="22"/>
        </w:rPr>
        <w:sym w:font="Wingdings" w:char="F0E0"/>
      </w:r>
      <w:r w:rsidRPr="004015CA">
        <w:rPr>
          <w:sz w:val="22"/>
        </w:rPr>
        <w:t xml:space="preserve"> 30 W/m² x 1648,82 m² </w:t>
      </w:r>
      <w:r w:rsidRPr="004015CA">
        <w:rPr>
          <w:sz w:val="22"/>
        </w:rPr>
        <w:sym w:font="Wingdings" w:char="F0E0"/>
      </w:r>
      <w:r w:rsidRPr="004015CA">
        <w:rPr>
          <w:sz w:val="22"/>
        </w:rPr>
        <w:t xml:space="preserve"> 49,47 kW;</w:t>
      </w:r>
    </w:p>
    <w:p w:rsidR="00714777" w:rsidRPr="004015CA" w:rsidRDefault="00714777" w:rsidP="00714777">
      <w:pPr>
        <w:rPr>
          <w:sz w:val="22"/>
        </w:rPr>
      </w:pPr>
    </w:p>
    <w:p w:rsidR="006F5204" w:rsidRPr="004015CA" w:rsidRDefault="008F70A6" w:rsidP="00EF1E65">
      <w:pPr>
        <w:pStyle w:val="Ttulo1"/>
        <w:rPr>
          <w:sz w:val="22"/>
          <w:szCs w:val="22"/>
        </w:rPr>
      </w:pPr>
      <w:bookmarkStart w:id="18" w:name="_Toc534706881"/>
      <w:bookmarkStart w:id="19" w:name="_Toc6907460"/>
      <w:r>
        <w:rPr>
          <w:sz w:val="22"/>
          <w:szCs w:val="22"/>
        </w:rPr>
        <w:t>3</w:t>
      </w:r>
      <w:r w:rsidR="007529F5" w:rsidRPr="004015CA">
        <w:rPr>
          <w:sz w:val="22"/>
          <w:szCs w:val="22"/>
        </w:rPr>
        <w:t>.</w:t>
      </w:r>
      <w:r w:rsidR="00DC2D62" w:rsidRPr="004015CA">
        <w:rPr>
          <w:sz w:val="22"/>
          <w:szCs w:val="22"/>
        </w:rPr>
        <w:t>12</w:t>
      </w:r>
      <w:r w:rsidR="00EF1E65" w:rsidRPr="004015CA">
        <w:rPr>
          <w:sz w:val="22"/>
          <w:szCs w:val="22"/>
        </w:rPr>
        <w:t>.3</w:t>
      </w:r>
      <w:r w:rsidR="006F5204" w:rsidRPr="004015CA">
        <w:rPr>
          <w:sz w:val="22"/>
          <w:szCs w:val="22"/>
        </w:rPr>
        <w:t xml:space="preserve"> Cálculo da Demanda</w:t>
      </w:r>
      <w:bookmarkEnd w:id="18"/>
      <w:bookmarkEnd w:id="19"/>
      <w:r w:rsidR="006F5204" w:rsidRPr="004015CA">
        <w:rPr>
          <w:sz w:val="22"/>
          <w:szCs w:val="22"/>
        </w:rPr>
        <w:t xml:space="preserve"> </w:t>
      </w:r>
    </w:p>
    <w:p w:rsidR="006F5204" w:rsidRPr="007529F5" w:rsidRDefault="006F5204" w:rsidP="006F5204">
      <w:pPr>
        <w:pStyle w:val="PargrafodaLista"/>
        <w:numPr>
          <w:ilvl w:val="0"/>
          <w:numId w:val="10"/>
        </w:numPr>
        <w:rPr>
          <w:sz w:val="22"/>
        </w:rPr>
      </w:pPr>
      <w:r w:rsidRPr="007529F5">
        <w:rPr>
          <w:sz w:val="22"/>
        </w:rPr>
        <w:t xml:space="preserve">Iluminação </w:t>
      </w:r>
      <w:r w:rsidRPr="007529F5">
        <w:rPr>
          <w:sz w:val="22"/>
        </w:rPr>
        <w:sym w:font="Wingdings" w:char="F0E0"/>
      </w:r>
      <w:r w:rsidRPr="007529F5">
        <w:rPr>
          <w:sz w:val="22"/>
        </w:rPr>
        <w:t xml:space="preserve"> carga instalada é 21,24 kW;</w:t>
      </w:r>
    </w:p>
    <w:p w:rsidR="006F5204" w:rsidRPr="007529F5" w:rsidRDefault="006F5204" w:rsidP="006F5204">
      <w:pPr>
        <w:pStyle w:val="PargrafodaLista"/>
        <w:numPr>
          <w:ilvl w:val="1"/>
          <w:numId w:val="10"/>
        </w:numPr>
        <w:rPr>
          <w:sz w:val="22"/>
          <w:lang w:val="en-US"/>
        </w:rPr>
      </w:pPr>
      <w:r w:rsidRPr="007529F5">
        <w:rPr>
          <w:sz w:val="22"/>
          <w:lang w:val="en-US"/>
        </w:rPr>
        <w:t>a = 12 x 1 + (21,24 – 12) x 0,5 = 16,62 kW (tab. 10, GED-2856);</w:t>
      </w:r>
    </w:p>
    <w:p w:rsidR="006F5204" w:rsidRPr="007529F5" w:rsidRDefault="006F5204" w:rsidP="006F5204">
      <w:pPr>
        <w:pStyle w:val="PargrafodaLista"/>
        <w:numPr>
          <w:ilvl w:val="0"/>
          <w:numId w:val="10"/>
        </w:numPr>
        <w:rPr>
          <w:sz w:val="22"/>
        </w:rPr>
      </w:pPr>
      <w:r w:rsidRPr="007529F5">
        <w:rPr>
          <w:sz w:val="22"/>
        </w:rPr>
        <w:t xml:space="preserve">TUG’s </w:t>
      </w:r>
      <w:r w:rsidRPr="007529F5">
        <w:rPr>
          <w:sz w:val="22"/>
        </w:rPr>
        <w:sym w:font="Wingdings" w:char="F0E0"/>
      </w:r>
      <w:r w:rsidRPr="007529F5">
        <w:rPr>
          <w:sz w:val="22"/>
        </w:rPr>
        <w:t xml:space="preserve"> carga instalada é 52,90 kW;</w:t>
      </w:r>
    </w:p>
    <w:p w:rsidR="006F5204" w:rsidRPr="007529F5" w:rsidRDefault="006F5204" w:rsidP="006F5204">
      <w:pPr>
        <w:pStyle w:val="PargrafodaLista"/>
        <w:numPr>
          <w:ilvl w:val="1"/>
          <w:numId w:val="10"/>
        </w:numPr>
        <w:rPr>
          <w:sz w:val="22"/>
          <w:lang w:val="en-US"/>
        </w:rPr>
      </w:pPr>
      <w:r w:rsidRPr="007529F5">
        <w:rPr>
          <w:sz w:val="22"/>
          <w:lang w:val="en-US"/>
        </w:rPr>
        <w:t>b = 12 x 1 + (52,9 – 12) x 0,5 = 32,45 kW (tab. 10, GED-2856);</w:t>
      </w:r>
    </w:p>
    <w:p w:rsidR="006F5204" w:rsidRPr="007529F5" w:rsidRDefault="006F5204" w:rsidP="006F5204">
      <w:pPr>
        <w:pStyle w:val="PargrafodaLista"/>
        <w:numPr>
          <w:ilvl w:val="0"/>
          <w:numId w:val="10"/>
        </w:numPr>
        <w:rPr>
          <w:sz w:val="22"/>
        </w:rPr>
      </w:pPr>
      <w:r w:rsidRPr="007529F5">
        <w:rPr>
          <w:sz w:val="22"/>
        </w:rPr>
        <w:t xml:space="preserve">TUE’s </w:t>
      </w:r>
      <w:r w:rsidRPr="007529F5">
        <w:rPr>
          <w:sz w:val="22"/>
        </w:rPr>
        <w:sym w:font="Wingdings" w:char="F0E0"/>
      </w:r>
      <w:r w:rsidRPr="007529F5">
        <w:rPr>
          <w:sz w:val="22"/>
        </w:rPr>
        <w:t xml:space="preserve"> carga instalada é 18,25 kW;</w:t>
      </w:r>
    </w:p>
    <w:p w:rsidR="006F5204" w:rsidRDefault="006F5204" w:rsidP="006F5204">
      <w:pPr>
        <w:pStyle w:val="PargrafodaLista"/>
        <w:numPr>
          <w:ilvl w:val="1"/>
          <w:numId w:val="10"/>
        </w:numPr>
        <w:rPr>
          <w:sz w:val="22"/>
          <w:lang w:val="en-US"/>
        </w:rPr>
      </w:pPr>
      <w:r w:rsidRPr="007529F5">
        <w:rPr>
          <w:sz w:val="22"/>
          <w:lang w:val="en-US"/>
        </w:rPr>
        <w:t>c =  18,25 x 0,52 = 9,49 kW (tab. 13, GED-2856);</w:t>
      </w:r>
    </w:p>
    <w:p w:rsidR="002119CF" w:rsidRPr="002119CF" w:rsidRDefault="002119CF" w:rsidP="002119CF">
      <w:pPr>
        <w:rPr>
          <w:sz w:val="22"/>
          <w:lang w:val="en-US"/>
        </w:rPr>
      </w:pPr>
    </w:p>
    <w:p w:rsidR="006F5204" w:rsidRPr="007529F5" w:rsidRDefault="006F5204" w:rsidP="006F5204">
      <w:pPr>
        <w:pStyle w:val="PargrafodaLista"/>
        <w:numPr>
          <w:ilvl w:val="0"/>
          <w:numId w:val="10"/>
        </w:numPr>
        <w:rPr>
          <w:sz w:val="22"/>
        </w:rPr>
      </w:pPr>
      <w:r w:rsidRPr="007529F5">
        <w:rPr>
          <w:sz w:val="22"/>
        </w:rPr>
        <w:lastRenderedPageBreak/>
        <w:t xml:space="preserve">Ar condicionados </w:t>
      </w:r>
      <w:r w:rsidRPr="007529F5">
        <w:rPr>
          <w:sz w:val="22"/>
        </w:rPr>
        <w:sym w:font="Wingdings" w:char="F0E0"/>
      </w:r>
      <w:r w:rsidRPr="007529F5">
        <w:rPr>
          <w:sz w:val="22"/>
        </w:rPr>
        <w:t xml:space="preserve"> carga instalada é 27,36 kW;</w:t>
      </w:r>
    </w:p>
    <w:p w:rsidR="006F5204" w:rsidRPr="007529F5" w:rsidRDefault="006F5204" w:rsidP="006F5204">
      <w:pPr>
        <w:pStyle w:val="PargrafodaLista"/>
        <w:numPr>
          <w:ilvl w:val="1"/>
          <w:numId w:val="10"/>
        </w:numPr>
        <w:rPr>
          <w:sz w:val="22"/>
          <w:lang w:val="en-US"/>
        </w:rPr>
      </w:pPr>
      <w:r w:rsidRPr="007529F5">
        <w:rPr>
          <w:sz w:val="22"/>
          <w:lang w:val="en-US"/>
        </w:rPr>
        <w:t>d = 27,36 x 1 = 27,36 = 27,36 kW (tab. 12, GED-2856);</w:t>
      </w:r>
    </w:p>
    <w:p w:rsidR="006F5204" w:rsidRPr="007529F5" w:rsidRDefault="006F5204" w:rsidP="006F5204">
      <w:pPr>
        <w:pStyle w:val="PargrafodaLista"/>
        <w:numPr>
          <w:ilvl w:val="0"/>
          <w:numId w:val="10"/>
        </w:numPr>
        <w:rPr>
          <w:sz w:val="22"/>
        </w:rPr>
      </w:pPr>
      <w:r w:rsidRPr="007529F5">
        <w:rPr>
          <w:sz w:val="22"/>
        </w:rPr>
        <w:t>Total:</w:t>
      </w:r>
    </w:p>
    <w:p w:rsidR="006F5204" w:rsidRPr="007529F5" w:rsidRDefault="006F5204" w:rsidP="006F5204">
      <w:pPr>
        <w:pStyle w:val="PargrafodaLista"/>
        <w:rPr>
          <w:rFonts w:eastAsiaTheme="minorEastAsia"/>
          <w:sz w:val="22"/>
        </w:rPr>
      </w:pPr>
      <m:oMathPara>
        <m:oMath>
          <m:r>
            <w:rPr>
              <w:rFonts w:ascii="Cambria Math" w:hAnsi="Cambria Math"/>
              <w:sz w:val="22"/>
            </w:rPr>
            <m:t>D=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a</m:t>
              </m:r>
            </m:num>
            <m:den>
              <m:r>
                <w:rPr>
                  <w:rFonts w:ascii="Cambria Math" w:hAnsi="Cambria Math"/>
                  <w:sz w:val="22"/>
                </w:rPr>
                <m:t>FP</m:t>
              </m:r>
            </m:den>
          </m:f>
          <m:r>
            <w:rPr>
              <w:rFonts w:ascii="Cambria Math" w:hAnsi="Cambria Math"/>
              <w:sz w:val="2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b</m:t>
              </m:r>
            </m:num>
            <m:den>
              <m:r>
                <w:rPr>
                  <w:rFonts w:ascii="Cambria Math" w:hAnsi="Cambria Math"/>
                  <w:sz w:val="22"/>
                </w:rPr>
                <m:t>FP</m:t>
              </m:r>
            </m:den>
          </m:f>
          <m:r>
            <w:rPr>
              <w:rFonts w:ascii="Cambria Math" w:hAnsi="Cambria Math"/>
              <w:sz w:val="2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c</m:t>
              </m:r>
            </m:num>
            <m:den>
              <m:r>
                <w:rPr>
                  <w:rFonts w:ascii="Cambria Math" w:hAnsi="Cambria Math"/>
                  <w:sz w:val="22"/>
                </w:rPr>
                <m:t>FP</m:t>
              </m:r>
            </m:den>
          </m:f>
          <m:r>
            <w:rPr>
              <w:rFonts w:ascii="Cambria Math" w:hAnsi="Cambria Math"/>
              <w:sz w:val="2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d</m:t>
              </m:r>
            </m:num>
            <m:den>
              <m:r>
                <w:rPr>
                  <w:rFonts w:ascii="Cambria Math" w:hAnsi="Cambria Math"/>
                  <w:sz w:val="22"/>
                </w:rPr>
                <m:t>FP</m:t>
              </m:r>
            </m:den>
          </m:f>
          <m:r>
            <w:rPr>
              <w:rFonts w:ascii="Cambria Math" w:hAnsi="Cambria Math"/>
              <w:sz w:val="22"/>
            </w:rPr>
            <m:t>=105,58</m:t>
          </m:r>
        </m:oMath>
      </m:oMathPara>
    </w:p>
    <w:p w:rsidR="006F5204" w:rsidRPr="007529F5" w:rsidRDefault="006F5204" w:rsidP="006F5204">
      <w:pPr>
        <w:pStyle w:val="Legenda"/>
        <w:keepNext/>
        <w:jc w:val="center"/>
        <w:rPr>
          <w:i w:val="0"/>
          <w:color w:val="000000" w:themeColor="text1"/>
          <w:sz w:val="22"/>
          <w:szCs w:val="22"/>
        </w:rPr>
      </w:pPr>
    </w:p>
    <w:p w:rsidR="006F5204" w:rsidRPr="007529F5" w:rsidRDefault="006F5204" w:rsidP="006F5204">
      <w:pPr>
        <w:pStyle w:val="Legenda"/>
        <w:keepNext/>
        <w:jc w:val="center"/>
        <w:rPr>
          <w:i w:val="0"/>
          <w:color w:val="000000" w:themeColor="text1"/>
          <w:sz w:val="22"/>
          <w:szCs w:val="22"/>
        </w:rPr>
      </w:pPr>
      <w:r w:rsidRPr="007529F5">
        <w:rPr>
          <w:i w:val="0"/>
          <w:color w:val="000000" w:themeColor="text1"/>
          <w:sz w:val="22"/>
          <w:szCs w:val="22"/>
        </w:rPr>
        <w:t xml:space="preserve">Tabela </w:t>
      </w:r>
      <w:r w:rsidRPr="007529F5">
        <w:rPr>
          <w:i w:val="0"/>
          <w:color w:val="000000" w:themeColor="text1"/>
          <w:sz w:val="22"/>
          <w:szCs w:val="22"/>
        </w:rPr>
        <w:fldChar w:fldCharType="begin"/>
      </w:r>
      <w:r w:rsidRPr="007529F5">
        <w:rPr>
          <w:i w:val="0"/>
          <w:color w:val="000000" w:themeColor="text1"/>
          <w:sz w:val="22"/>
          <w:szCs w:val="22"/>
        </w:rPr>
        <w:instrText xml:space="preserve"> SEQ Tabela \* ARABIC </w:instrText>
      </w:r>
      <w:r w:rsidRPr="007529F5">
        <w:rPr>
          <w:i w:val="0"/>
          <w:color w:val="000000" w:themeColor="text1"/>
          <w:sz w:val="22"/>
          <w:szCs w:val="22"/>
        </w:rPr>
        <w:fldChar w:fldCharType="separate"/>
      </w:r>
      <w:r w:rsidR="005142B9">
        <w:rPr>
          <w:i w:val="0"/>
          <w:noProof/>
          <w:color w:val="000000" w:themeColor="text1"/>
          <w:sz w:val="22"/>
          <w:szCs w:val="22"/>
        </w:rPr>
        <w:t>2</w:t>
      </w:r>
      <w:r w:rsidRPr="007529F5">
        <w:rPr>
          <w:i w:val="0"/>
          <w:color w:val="000000" w:themeColor="text1"/>
          <w:sz w:val="22"/>
          <w:szCs w:val="22"/>
        </w:rPr>
        <w:fldChar w:fldCharType="end"/>
      </w:r>
      <w:r w:rsidRPr="007529F5">
        <w:rPr>
          <w:i w:val="0"/>
          <w:color w:val="000000" w:themeColor="text1"/>
          <w:sz w:val="22"/>
          <w:szCs w:val="22"/>
        </w:rPr>
        <w:t xml:space="preserve"> - </w:t>
      </w:r>
      <w:r w:rsidRPr="002E03E7">
        <w:rPr>
          <w:i w:val="0"/>
          <w:color w:val="000000" w:themeColor="text1"/>
          <w:sz w:val="20"/>
          <w:szCs w:val="20"/>
        </w:rPr>
        <w:t>Determinação</w:t>
      </w:r>
      <w:r w:rsidRPr="007529F5">
        <w:rPr>
          <w:i w:val="0"/>
          <w:color w:val="000000" w:themeColor="text1"/>
          <w:sz w:val="22"/>
          <w:szCs w:val="22"/>
        </w:rPr>
        <w:t xml:space="preserve"> da Demanda da Instalação.</w:t>
      </w:r>
    </w:p>
    <w:tbl>
      <w:tblPr>
        <w:tblStyle w:val="Tabelacomgrade"/>
        <w:tblW w:w="3633" w:type="pct"/>
        <w:jc w:val="center"/>
        <w:tblLook w:val="04A0" w:firstRow="1" w:lastRow="0" w:firstColumn="1" w:lastColumn="0" w:noHBand="0" w:noVBand="1"/>
      </w:tblPr>
      <w:tblGrid>
        <w:gridCol w:w="1556"/>
        <w:gridCol w:w="1150"/>
        <w:gridCol w:w="1070"/>
        <w:gridCol w:w="1070"/>
        <w:gridCol w:w="1326"/>
      </w:tblGrid>
      <w:tr w:rsidR="006F5204" w:rsidRPr="007529F5" w:rsidTr="00280630">
        <w:trPr>
          <w:trHeight w:val="300"/>
          <w:jc w:val="center"/>
        </w:trPr>
        <w:tc>
          <w:tcPr>
            <w:tcW w:w="1260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Carga</w:t>
            </w:r>
          </w:p>
        </w:tc>
        <w:tc>
          <w:tcPr>
            <w:tcW w:w="932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Pot (kW)</w:t>
            </w:r>
          </w:p>
        </w:tc>
        <w:tc>
          <w:tcPr>
            <w:tcW w:w="867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FD</w:t>
            </w:r>
          </w:p>
        </w:tc>
        <w:tc>
          <w:tcPr>
            <w:tcW w:w="867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FP</w:t>
            </w:r>
          </w:p>
        </w:tc>
        <w:tc>
          <w:tcPr>
            <w:tcW w:w="1075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Pot (kVA)</w:t>
            </w:r>
          </w:p>
        </w:tc>
      </w:tr>
      <w:tr w:rsidR="006F5204" w:rsidRPr="007529F5" w:rsidTr="00280630">
        <w:trPr>
          <w:trHeight w:val="300"/>
          <w:jc w:val="center"/>
        </w:trPr>
        <w:tc>
          <w:tcPr>
            <w:tcW w:w="1260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Iluminação</w:t>
            </w:r>
          </w:p>
        </w:tc>
        <w:tc>
          <w:tcPr>
            <w:tcW w:w="932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21,24</w:t>
            </w:r>
          </w:p>
        </w:tc>
        <w:tc>
          <w:tcPr>
            <w:tcW w:w="867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16,62</w:t>
            </w:r>
          </w:p>
        </w:tc>
        <w:tc>
          <w:tcPr>
            <w:tcW w:w="867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0,5</w:t>
            </w:r>
          </w:p>
        </w:tc>
        <w:tc>
          <w:tcPr>
            <w:tcW w:w="1075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33,24</w:t>
            </w:r>
          </w:p>
        </w:tc>
      </w:tr>
      <w:tr w:rsidR="006F5204" w:rsidRPr="007529F5" w:rsidTr="00280630">
        <w:trPr>
          <w:trHeight w:val="300"/>
          <w:jc w:val="center"/>
        </w:trPr>
        <w:tc>
          <w:tcPr>
            <w:tcW w:w="1260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TUG's</w:t>
            </w:r>
          </w:p>
        </w:tc>
        <w:tc>
          <w:tcPr>
            <w:tcW w:w="932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52,9</w:t>
            </w:r>
          </w:p>
        </w:tc>
        <w:tc>
          <w:tcPr>
            <w:tcW w:w="867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32,45</w:t>
            </w:r>
          </w:p>
        </w:tc>
        <w:tc>
          <w:tcPr>
            <w:tcW w:w="867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1</w:t>
            </w:r>
          </w:p>
        </w:tc>
        <w:tc>
          <w:tcPr>
            <w:tcW w:w="1075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32,45</w:t>
            </w:r>
          </w:p>
        </w:tc>
      </w:tr>
      <w:tr w:rsidR="006F5204" w:rsidRPr="007529F5" w:rsidTr="00280630">
        <w:trPr>
          <w:trHeight w:val="300"/>
          <w:jc w:val="center"/>
        </w:trPr>
        <w:tc>
          <w:tcPr>
            <w:tcW w:w="1260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TUE's</w:t>
            </w:r>
          </w:p>
        </w:tc>
        <w:tc>
          <w:tcPr>
            <w:tcW w:w="932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18,25</w:t>
            </w:r>
          </w:p>
        </w:tc>
        <w:tc>
          <w:tcPr>
            <w:tcW w:w="867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9,49</w:t>
            </w:r>
          </w:p>
        </w:tc>
        <w:tc>
          <w:tcPr>
            <w:tcW w:w="867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1</w:t>
            </w:r>
          </w:p>
        </w:tc>
        <w:tc>
          <w:tcPr>
            <w:tcW w:w="1075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9,49</w:t>
            </w:r>
          </w:p>
        </w:tc>
      </w:tr>
      <w:tr w:rsidR="006F5204" w:rsidRPr="007529F5" w:rsidTr="00280630">
        <w:trPr>
          <w:trHeight w:val="300"/>
          <w:jc w:val="center"/>
        </w:trPr>
        <w:tc>
          <w:tcPr>
            <w:tcW w:w="1260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AR's</w:t>
            </w:r>
          </w:p>
        </w:tc>
        <w:tc>
          <w:tcPr>
            <w:tcW w:w="932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27,36</w:t>
            </w:r>
          </w:p>
        </w:tc>
        <w:tc>
          <w:tcPr>
            <w:tcW w:w="867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27,36</w:t>
            </w:r>
          </w:p>
        </w:tc>
        <w:tc>
          <w:tcPr>
            <w:tcW w:w="867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0,9</w:t>
            </w:r>
          </w:p>
        </w:tc>
        <w:tc>
          <w:tcPr>
            <w:tcW w:w="1075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30,4</w:t>
            </w:r>
          </w:p>
        </w:tc>
      </w:tr>
      <w:tr w:rsidR="006F5204" w:rsidRPr="007529F5" w:rsidTr="00280630">
        <w:trPr>
          <w:trHeight w:val="300"/>
          <w:jc w:val="center"/>
        </w:trPr>
        <w:tc>
          <w:tcPr>
            <w:tcW w:w="1260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TOTAL</w:t>
            </w:r>
          </w:p>
        </w:tc>
        <w:tc>
          <w:tcPr>
            <w:tcW w:w="932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119,75</w:t>
            </w:r>
          </w:p>
        </w:tc>
        <w:tc>
          <w:tcPr>
            <w:tcW w:w="867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-</w:t>
            </w:r>
          </w:p>
        </w:tc>
        <w:tc>
          <w:tcPr>
            <w:tcW w:w="867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-</w:t>
            </w:r>
          </w:p>
        </w:tc>
        <w:tc>
          <w:tcPr>
            <w:tcW w:w="1075" w:type="pct"/>
            <w:noWrap/>
            <w:vAlign w:val="center"/>
            <w:hideMark/>
          </w:tcPr>
          <w:p w:rsidR="006F5204" w:rsidRPr="007529F5" w:rsidRDefault="006F5204" w:rsidP="0028063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7529F5">
              <w:rPr>
                <w:rFonts w:eastAsia="Times New Roman" w:cs="Arial"/>
                <w:color w:val="000000"/>
                <w:sz w:val="22"/>
                <w:lang w:eastAsia="pt-BR"/>
              </w:rPr>
              <w:t>105,58</w:t>
            </w:r>
          </w:p>
        </w:tc>
      </w:tr>
    </w:tbl>
    <w:p w:rsidR="006F5204" w:rsidRPr="007529F5" w:rsidRDefault="006F5204" w:rsidP="006F5204">
      <w:pPr>
        <w:rPr>
          <w:sz w:val="22"/>
        </w:rPr>
      </w:pPr>
    </w:p>
    <w:p w:rsidR="006F5204" w:rsidRPr="007529F5" w:rsidRDefault="006F5204" w:rsidP="006F5204">
      <w:pPr>
        <w:ind w:firstLine="708"/>
        <w:rPr>
          <w:sz w:val="22"/>
        </w:rPr>
      </w:pPr>
      <w:r w:rsidRPr="007529F5">
        <w:rPr>
          <w:sz w:val="22"/>
        </w:rPr>
        <w:t>Conforme calculado no item “D” e segundo a tabela 3 do GED-2856, a potência do transformador será de 112,5 kVA.</w:t>
      </w:r>
    </w:p>
    <w:p w:rsidR="007529F5" w:rsidRDefault="007529F5" w:rsidP="006F5204">
      <w:pPr>
        <w:rPr>
          <w:sz w:val="22"/>
        </w:rPr>
      </w:pPr>
      <w:r>
        <w:rPr>
          <w:sz w:val="22"/>
        </w:rPr>
        <w:br w:type="page"/>
      </w:r>
    </w:p>
    <w:p w:rsidR="006F5204" w:rsidRPr="007529F5" w:rsidRDefault="006F5204" w:rsidP="006F5204">
      <w:pPr>
        <w:rPr>
          <w:sz w:val="22"/>
        </w:rPr>
      </w:pPr>
    </w:p>
    <w:p w:rsidR="00F267FB" w:rsidRPr="007529F5" w:rsidRDefault="008F70A6" w:rsidP="006F5204">
      <w:pPr>
        <w:pStyle w:val="Ttulo1"/>
        <w:rPr>
          <w:sz w:val="22"/>
          <w:szCs w:val="22"/>
        </w:rPr>
      </w:pPr>
      <w:bookmarkStart w:id="20" w:name="_Toc6907461"/>
      <w:r>
        <w:rPr>
          <w:sz w:val="22"/>
          <w:szCs w:val="22"/>
        </w:rPr>
        <w:t>4</w:t>
      </w:r>
      <w:r w:rsidR="00F267FB" w:rsidRPr="007529F5">
        <w:rPr>
          <w:sz w:val="22"/>
          <w:szCs w:val="22"/>
        </w:rPr>
        <w:t xml:space="preserve"> CONSIDERAÇÕES FINAIS</w:t>
      </w:r>
      <w:bookmarkEnd w:id="20"/>
    </w:p>
    <w:p w:rsidR="006B2E61" w:rsidRPr="007529F5" w:rsidRDefault="006B2E61" w:rsidP="006B2E61">
      <w:pPr>
        <w:rPr>
          <w:sz w:val="22"/>
        </w:rPr>
      </w:pPr>
      <w:r w:rsidRPr="007529F5">
        <w:rPr>
          <w:sz w:val="22"/>
        </w:rPr>
        <w:tab/>
      </w:r>
      <w:r w:rsidR="000B7AD3" w:rsidRPr="007529F5">
        <w:rPr>
          <w:sz w:val="22"/>
        </w:rPr>
        <w:t>Todos os serviços em eletricidade a serem realizados devido a execução do presente projeto devem observar as respectivas</w:t>
      </w:r>
      <w:r w:rsidR="000B7AD3">
        <w:rPr>
          <w:sz w:val="22"/>
        </w:rPr>
        <w:t xml:space="preserve"> </w:t>
      </w:r>
      <w:r w:rsidR="000B7AD3" w:rsidRPr="007529F5">
        <w:rPr>
          <w:sz w:val="22"/>
        </w:rPr>
        <w:t>normas de segurança,</w:t>
      </w:r>
      <w:r w:rsidR="000B7AD3">
        <w:rPr>
          <w:sz w:val="22"/>
        </w:rPr>
        <w:t xml:space="preserve"> </w:t>
      </w:r>
      <w:r w:rsidR="000B7AD3" w:rsidRPr="005772D0">
        <w:rPr>
          <w:i/>
          <w:sz w:val="22"/>
        </w:rPr>
        <w:t xml:space="preserve">in </w:t>
      </w:r>
      <w:proofErr w:type="spellStart"/>
      <w:r w:rsidR="000B7AD3" w:rsidRPr="005772D0">
        <w:rPr>
          <w:i/>
          <w:sz w:val="22"/>
        </w:rPr>
        <w:t>totum</w:t>
      </w:r>
      <w:proofErr w:type="spellEnd"/>
      <w:r w:rsidR="000B7AD3">
        <w:rPr>
          <w:sz w:val="22"/>
        </w:rPr>
        <w:t>,</w:t>
      </w:r>
      <w:r w:rsidR="000B7AD3" w:rsidRPr="007529F5">
        <w:rPr>
          <w:sz w:val="22"/>
        </w:rPr>
        <w:t xml:space="preserve"> em especial a NR-10.</w:t>
      </w:r>
    </w:p>
    <w:p w:rsidR="00236756" w:rsidRPr="007529F5" w:rsidRDefault="00236756" w:rsidP="006B2E61">
      <w:pPr>
        <w:rPr>
          <w:sz w:val="22"/>
        </w:rPr>
      </w:pPr>
      <w:r w:rsidRPr="007529F5">
        <w:rPr>
          <w:sz w:val="22"/>
        </w:rPr>
        <w:tab/>
        <w:t>Nos locais de trabalho só podem ser utilizados equipamentos, dispositivos e ferramentas elétricas compatíveis com a instalação elétrica existente, preservando-se as características de proteção, resp</w:t>
      </w:r>
      <w:bookmarkStart w:id="21" w:name="_GoBack"/>
      <w:bookmarkEnd w:id="21"/>
      <w:r w:rsidRPr="007529F5">
        <w:rPr>
          <w:sz w:val="22"/>
        </w:rPr>
        <w:t>eitadas as recomendações do fabricante e as influências externas.</w:t>
      </w:r>
    </w:p>
    <w:p w:rsidR="00236756" w:rsidRDefault="00236756" w:rsidP="006B2E61">
      <w:pPr>
        <w:rPr>
          <w:sz w:val="22"/>
        </w:rPr>
      </w:pPr>
      <w:r w:rsidRPr="007529F5">
        <w:rPr>
          <w:sz w:val="22"/>
        </w:rPr>
        <w:tab/>
        <w:t>Os locais de serviços elétricos, os compartimentos e invólucros pertencentes as caixas de medição, proteção geral da baixa tensão e DPS’s e demais instalações elétricas, são e</w:t>
      </w:r>
      <w:r w:rsidR="008F7CF4">
        <w:rPr>
          <w:sz w:val="22"/>
        </w:rPr>
        <w:t>xclusivos para essa finalidade</w:t>
      </w:r>
      <w:r w:rsidRPr="007529F5">
        <w:rPr>
          <w:sz w:val="22"/>
        </w:rPr>
        <w:t>, sendo expressamente proibido utilizá-los para armazenamento ou guarda de quaisquer objetos.</w:t>
      </w:r>
    </w:p>
    <w:p w:rsidR="003C3ACB" w:rsidRPr="007529F5" w:rsidRDefault="003C3ACB" w:rsidP="003C3ACB">
      <w:pPr>
        <w:ind w:firstLine="708"/>
        <w:rPr>
          <w:sz w:val="22"/>
        </w:rPr>
      </w:pPr>
      <w:r w:rsidRPr="007529F5">
        <w:rPr>
          <w:sz w:val="22"/>
        </w:rPr>
        <w:t xml:space="preserve">Os equipamentos utilizados na execução do presente projeto devem observar estritamente as especificações técnicas nele contidas, e as demais normas regulamentadores no que couber, salvo </w:t>
      </w:r>
      <w:proofErr w:type="gramStart"/>
      <w:r w:rsidRPr="007529F5">
        <w:rPr>
          <w:sz w:val="22"/>
        </w:rPr>
        <w:t>melhor</w:t>
      </w:r>
      <w:proofErr w:type="gramEnd"/>
      <w:r w:rsidRPr="007529F5">
        <w:rPr>
          <w:sz w:val="22"/>
        </w:rPr>
        <w:t xml:space="preserve"> contudo do executor, mediante autorização do projetista.</w:t>
      </w:r>
    </w:p>
    <w:p w:rsidR="00733EC2" w:rsidRPr="007529F5" w:rsidRDefault="00733EC2" w:rsidP="006B2E61">
      <w:pPr>
        <w:rPr>
          <w:sz w:val="22"/>
        </w:rPr>
      </w:pPr>
    </w:p>
    <w:p w:rsidR="00871645" w:rsidRDefault="00871645" w:rsidP="00F267FB">
      <w:pPr>
        <w:rPr>
          <w:sz w:val="22"/>
        </w:rPr>
      </w:pPr>
      <w:r w:rsidRPr="007529F5">
        <w:rPr>
          <w:sz w:val="22"/>
        </w:rPr>
        <w:tab/>
      </w:r>
    </w:p>
    <w:p w:rsidR="000B6E95" w:rsidRPr="007529F5" w:rsidRDefault="000B6E95" w:rsidP="00F267FB">
      <w:pPr>
        <w:rPr>
          <w:sz w:val="22"/>
        </w:rPr>
      </w:pPr>
    </w:p>
    <w:p w:rsidR="00660B56" w:rsidRPr="007529F5" w:rsidRDefault="00871645" w:rsidP="00E43061">
      <w:pPr>
        <w:jc w:val="right"/>
        <w:rPr>
          <w:sz w:val="22"/>
        </w:rPr>
      </w:pPr>
      <w:r w:rsidRPr="007529F5">
        <w:rPr>
          <w:sz w:val="22"/>
        </w:rPr>
        <w:tab/>
      </w:r>
      <w:r w:rsidR="000B6E95">
        <w:rPr>
          <w:sz w:val="22"/>
        </w:rPr>
        <w:t>________________________</w:t>
      </w:r>
      <w:r w:rsidR="00495409" w:rsidRPr="003E558C">
        <w:rPr>
          <w:sz w:val="22"/>
        </w:rPr>
        <w:t xml:space="preserve">, </w:t>
      </w:r>
      <w:r w:rsidR="000B6E95">
        <w:rPr>
          <w:sz w:val="22"/>
        </w:rPr>
        <w:t>_______</w:t>
      </w:r>
      <w:r w:rsidR="00E43061" w:rsidRPr="003E558C">
        <w:rPr>
          <w:sz w:val="22"/>
        </w:rPr>
        <w:t xml:space="preserve"> </w:t>
      </w:r>
      <w:r w:rsidR="00495409" w:rsidRPr="003E558C">
        <w:rPr>
          <w:sz w:val="22"/>
        </w:rPr>
        <w:t xml:space="preserve">de </w:t>
      </w:r>
      <w:r w:rsidR="000B6E95">
        <w:rPr>
          <w:sz w:val="22"/>
        </w:rPr>
        <w:t>____________</w:t>
      </w:r>
      <w:r w:rsidR="00E43061" w:rsidRPr="003E558C">
        <w:rPr>
          <w:sz w:val="22"/>
        </w:rPr>
        <w:t xml:space="preserve"> </w:t>
      </w:r>
      <w:proofErr w:type="spellStart"/>
      <w:r w:rsidR="000B6E95">
        <w:rPr>
          <w:sz w:val="22"/>
        </w:rPr>
        <w:t>de</w:t>
      </w:r>
      <w:proofErr w:type="spellEnd"/>
      <w:r w:rsidR="000B6E95">
        <w:rPr>
          <w:sz w:val="22"/>
        </w:rPr>
        <w:t xml:space="preserve"> _______</w:t>
      </w:r>
      <w:r w:rsidR="00495409" w:rsidRPr="003E558C">
        <w:rPr>
          <w:sz w:val="22"/>
        </w:rPr>
        <w:t>.</w:t>
      </w:r>
    </w:p>
    <w:p w:rsidR="00E25AC2" w:rsidRDefault="00E25AC2" w:rsidP="00E25AC2">
      <w:pPr>
        <w:jc w:val="center"/>
        <w:rPr>
          <w:sz w:val="22"/>
        </w:rPr>
      </w:pPr>
    </w:p>
    <w:p w:rsidR="000B6E95" w:rsidRDefault="000B6E95" w:rsidP="00E25AC2">
      <w:pPr>
        <w:jc w:val="center"/>
        <w:rPr>
          <w:sz w:val="22"/>
        </w:rPr>
      </w:pPr>
    </w:p>
    <w:p w:rsidR="000B6E95" w:rsidRDefault="000B6E95" w:rsidP="00E25AC2">
      <w:pPr>
        <w:jc w:val="center"/>
        <w:rPr>
          <w:sz w:val="22"/>
        </w:rPr>
      </w:pPr>
    </w:p>
    <w:p w:rsidR="000B6E95" w:rsidRDefault="000B6E95" w:rsidP="00E25AC2">
      <w:pPr>
        <w:jc w:val="center"/>
        <w:rPr>
          <w:sz w:val="22"/>
        </w:rPr>
      </w:pPr>
    </w:p>
    <w:p w:rsidR="000B6E95" w:rsidRDefault="000B6E95" w:rsidP="000B6E95">
      <w:pPr>
        <w:jc w:val="center"/>
      </w:pPr>
      <w:r>
        <w:rPr>
          <w:sz w:val="22"/>
        </w:rPr>
        <w:t>________________________________________</w:t>
      </w:r>
    </w:p>
    <w:p w:rsidR="000B6E95" w:rsidRDefault="000B6E95" w:rsidP="000B6E95">
      <w:pPr>
        <w:jc w:val="center"/>
        <w:rPr>
          <w:sz w:val="22"/>
        </w:rPr>
      </w:pPr>
      <w:r>
        <w:rPr>
          <w:sz w:val="22"/>
        </w:rPr>
        <w:t>Wellington Luiz Santos Bonato</w:t>
      </w:r>
    </w:p>
    <w:p w:rsidR="000B6E95" w:rsidRDefault="000B6E95" w:rsidP="000B6E95">
      <w:pPr>
        <w:jc w:val="center"/>
        <w:rPr>
          <w:sz w:val="22"/>
        </w:rPr>
      </w:pPr>
      <w:r>
        <w:rPr>
          <w:sz w:val="22"/>
        </w:rPr>
        <w:t>Engenheiro Eletricista CREA RS 190028</w:t>
      </w:r>
    </w:p>
    <w:p w:rsidR="000B6E95" w:rsidRDefault="000B6E95" w:rsidP="000B6E95">
      <w:pPr>
        <w:jc w:val="center"/>
        <w:rPr>
          <w:sz w:val="22"/>
        </w:rPr>
      </w:pPr>
      <w:r>
        <w:rPr>
          <w:sz w:val="22"/>
        </w:rPr>
        <w:t>ART nº 10386458</w:t>
      </w:r>
    </w:p>
    <w:p w:rsidR="00E25AC2" w:rsidRPr="007529F5" w:rsidRDefault="00E25AC2" w:rsidP="00E43061">
      <w:pPr>
        <w:jc w:val="center"/>
        <w:rPr>
          <w:sz w:val="22"/>
        </w:rPr>
      </w:pPr>
    </w:p>
    <w:sectPr w:rsidR="00E25AC2" w:rsidRPr="007529F5" w:rsidSect="00D34C6A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F3" w:rsidRDefault="004C38F3" w:rsidP="00C95F09">
      <w:pPr>
        <w:spacing w:line="240" w:lineRule="auto"/>
      </w:pPr>
      <w:r>
        <w:separator/>
      </w:r>
    </w:p>
  </w:endnote>
  <w:endnote w:type="continuationSeparator" w:id="0">
    <w:p w:rsidR="004C38F3" w:rsidRDefault="004C38F3" w:rsidP="00C95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B1" w:rsidRDefault="00EA0CB1" w:rsidP="00C95F09">
    <w:pPr>
      <w:pStyle w:val="Rodap"/>
      <w:tabs>
        <w:tab w:val="clear" w:pos="4252"/>
        <w:tab w:val="clear" w:pos="8504"/>
        <w:tab w:val="left" w:pos="2515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DE3510" wp14:editId="5BA66BBF">
              <wp:simplePos x="0" y="0"/>
              <wp:positionH relativeFrom="margin">
                <wp:align>center</wp:align>
              </wp:positionH>
              <wp:positionV relativeFrom="bottomMargin">
                <wp:posOffset>74589</wp:posOffset>
              </wp:positionV>
              <wp:extent cx="4481830" cy="614149"/>
              <wp:effectExtent l="0" t="0" r="1397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1830" cy="6141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CB1" w:rsidRPr="00E33C92" w:rsidRDefault="00EA0CB1" w:rsidP="00656449">
                          <w:pPr>
                            <w:spacing w:before="12"/>
                            <w:ind w:left="19" w:right="1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33C92">
                            <w:rPr>
                              <w:sz w:val="18"/>
                              <w:szCs w:val="18"/>
                            </w:rPr>
                            <w:t>BR-470, Km 172, 6.500 | Bairro Sapopema | Veranópolis/RS</w:t>
                          </w:r>
                        </w:p>
                        <w:p w:rsidR="00EA0CB1" w:rsidRPr="00C95F09" w:rsidRDefault="00EA0CB1" w:rsidP="00C95F09">
                          <w:pPr>
                            <w:spacing w:before="12"/>
                            <w:ind w:left="19" w:right="18"/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Fone/Fax: (54) 3437-2305</w:t>
                          </w:r>
                        </w:p>
                        <w:p w:rsidR="00EA0CB1" w:rsidRPr="005565B3" w:rsidRDefault="00EA0CB1" w:rsidP="00C95F09">
                          <w:pPr>
                            <w:spacing w:before="1"/>
                            <w:ind w:left="17" w:right="18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</w:rPr>
                            <w:t>https://ifrs.edu.br/veranopolis/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E35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5.85pt;width:352.9pt;height:48.3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rhrA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" filled="f" stroked="f">
              <v:textbox inset="0,0,0,0">
                <w:txbxContent>
                  <w:p w:rsidR="00EA0CB1" w:rsidRPr="00E33C92" w:rsidRDefault="00EA0CB1" w:rsidP="00656449">
                    <w:pPr>
                      <w:spacing w:before="12"/>
                      <w:ind w:left="19" w:right="18"/>
                      <w:jc w:val="center"/>
                      <w:rPr>
                        <w:sz w:val="18"/>
                        <w:szCs w:val="18"/>
                      </w:rPr>
                    </w:pPr>
                    <w:r w:rsidRPr="00E33C92">
                      <w:rPr>
                        <w:sz w:val="18"/>
                        <w:szCs w:val="18"/>
                      </w:rPr>
                      <w:t>BR-470, Km 172, 6.500 | Bairro Sapopema | Veranópolis/RS</w:t>
                    </w:r>
                  </w:p>
                  <w:p w:rsidR="00EA0CB1" w:rsidRPr="00C95F09" w:rsidRDefault="00EA0CB1" w:rsidP="00C95F09">
                    <w:pPr>
                      <w:spacing w:before="12"/>
                      <w:ind w:left="19" w:right="18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Fone/Fax: (54) 3437-2305</w:t>
                    </w:r>
                  </w:p>
                  <w:p w:rsidR="00EA0CB1" w:rsidRPr="005565B3" w:rsidRDefault="00EA0CB1" w:rsidP="00C95F09">
                    <w:pPr>
                      <w:spacing w:before="1"/>
                      <w:ind w:left="17" w:right="18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cs="Arial"/>
                        <w:sz w:val="18"/>
                      </w:rPr>
                      <w:t>https://ifrs.edu.br/veranopolis/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B1" w:rsidRDefault="00EA0CB1" w:rsidP="00C95F09">
    <w:pPr>
      <w:pStyle w:val="Rodap"/>
      <w:tabs>
        <w:tab w:val="clear" w:pos="4252"/>
        <w:tab w:val="clear" w:pos="8504"/>
        <w:tab w:val="left" w:pos="2515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5B28AFA" wp14:editId="5D8A8145">
              <wp:simplePos x="0" y="0"/>
              <wp:positionH relativeFrom="margin">
                <wp:align>center</wp:align>
              </wp:positionH>
              <wp:positionV relativeFrom="bottomMargin">
                <wp:posOffset>96520</wp:posOffset>
              </wp:positionV>
              <wp:extent cx="5035826" cy="614149"/>
              <wp:effectExtent l="0" t="0" r="12700" b="146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826" cy="6141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CB1" w:rsidRPr="00E33C92" w:rsidRDefault="00EA0CB1" w:rsidP="00C95F09">
                          <w:pPr>
                            <w:spacing w:before="12"/>
                            <w:ind w:left="19" w:right="1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33C92">
                            <w:rPr>
                              <w:sz w:val="18"/>
                              <w:szCs w:val="18"/>
                            </w:rPr>
                            <w:t>BR-470, Km 172, 6.500 | Bairro Sapopema | Veranópolis/RS</w:t>
                          </w:r>
                        </w:p>
                        <w:p w:rsidR="00EA0CB1" w:rsidRPr="00C95F09" w:rsidRDefault="00EA0CB1" w:rsidP="00C95F09">
                          <w:pPr>
                            <w:spacing w:before="12"/>
                            <w:ind w:left="19" w:right="18"/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Fone/Fax: (54) 3437-2305</w:t>
                          </w:r>
                        </w:p>
                        <w:p w:rsidR="00EA0CB1" w:rsidRPr="005565B3" w:rsidRDefault="00EA0CB1" w:rsidP="00C95F09">
                          <w:pPr>
                            <w:spacing w:before="1"/>
                            <w:ind w:left="17" w:right="18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</w:rPr>
                            <w:t>https://ifrs.edu.br/veranopolis/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28A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7.6pt;width:396.5pt;height:48.3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CbsA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" filled="f" stroked="f">
              <v:textbox inset="0,0,0,0">
                <w:txbxContent>
                  <w:p w:rsidR="00EA0CB1" w:rsidRPr="00E33C92" w:rsidRDefault="00EA0CB1" w:rsidP="00C95F09">
                    <w:pPr>
                      <w:spacing w:before="12"/>
                      <w:ind w:left="19" w:right="18"/>
                      <w:jc w:val="center"/>
                      <w:rPr>
                        <w:sz w:val="18"/>
                        <w:szCs w:val="18"/>
                      </w:rPr>
                    </w:pPr>
                    <w:r w:rsidRPr="00E33C92">
                      <w:rPr>
                        <w:sz w:val="18"/>
                        <w:szCs w:val="18"/>
                      </w:rPr>
                      <w:t>BR-470, Km 172, 6.500 | Bairro Sapopema | Veranópolis/RS</w:t>
                    </w:r>
                  </w:p>
                  <w:p w:rsidR="00EA0CB1" w:rsidRPr="00C95F09" w:rsidRDefault="00EA0CB1" w:rsidP="00C95F09">
                    <w:pPr>
                      <w:spacing w:before="12"/>
                      <w:ind w:left="19" w:right="18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Fone/Fax: (54) 3437-2305</w:t>
                    </w:r>
                  </w:p>
                  <w:p w:rsidR="00EA0CB1" w:rsidRPr="005565B3" w:rsidRDefault="00EA0CB1" w:rsidP="00C95F09">
                    <w:pPr>
                      <w:spacing w:before="1"/>
                      <w:ind w:left="17" w:right="18"/>
                      <w:jc w:val="center"/>
                      <w:rPr>
                        <w:rFonts w:cs="Arial"/>
                        <w:sz w:val="18"/>
                      </w:rPr>
                    </w:pPr>
                    <w:r>
                      <w:rPr>
                        <w:rFonts w:cs="Arial"/>
                        <w:sz w:val="18"/>
                      </w:rPr>
                      <w:t>https://ifrs.edu.br/veranopolis/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0B6E95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F3" w:rsidRDefault="004C38F3" w:rsidP="00C95F09">
      <w:pPr>
        <w:spacing w:line="240" w:lineRule="auto"/>
      </w:pPr>
      <w:r>
        <w:separator/>
      </w:r>
    </w:p>
  </w:footnote>
  <w:footnote w:type="continuationSeparator" w:id="0">
    <w:p w:rsidR="004C38F3" w:rsidRDefault="004C38F3" w:rsidP="00C95F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B1" w:rsidRDefault="00EA0CB1" w:rsidP="00C95F09">
    <w:pPr>
      <w:spacing w:before="10" w:line="228" w:lineRule="exact"/>
      <w:ind w:left="9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9540F78" wp14:editId="78E219D3">
          <wp:simplePos x="0" y="0"/>
          <wp:positionH relativeFrom="margin">
            <wp:align>center</wp:align>
          </wp:positionH>
          <wp:positionV relativeFrom="paragraph">
            <wp:posOffset>-246029</wp:posOffset>
          </wp:positionV>
          <wp:extent cx="638810" cy="698500"/>
          <wp:effectExtent l="0" t="0" r="8890" b="6350"/>
          <wp:wrapTight wrapText="bothSides">
            <wp:wrapPolygon edited="0">
              <wp:start x="0" y="0"/>
              <wp:lineTo x="0" y="21207"/>
              <wp:lineTo x="21256" y="21207"/>
              <wp:lineTo x="21256" y="0"/>
              <wp:lineTo x="0" y="0"/>
            </wp:wrapPolygon>
          </wp:wrapTight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A0CB1" w:rsidRDefault="00EA0CB1" w:rsidP="00C95F09">
    <w:pPr>
      <w:spacing w:before="10" w:line="228" w:lineRule="exact"/>
      <w:ind w:left="9"/>
      <w:jc w:val="center"/>
    </w:pPr>
  </w:p>
  <w:p w:rsidR="00EA0CB1" w:rsidRDefault="00EA0CB1" w:rsidP="00C95F09">
    <w:pPr>
      <w:spacing w:before="10" w:line="228" w:lineRule="exact"/>
      <w:ind w:left="9"/>
      <w:jc w:val="center"/>
      <w:rPr>
        <w:rFonts w:cs="Arial"/>
        <w:b/>
        <w:sz w:val="20"/>
      </w:rPr>
    </w:pPr>
  </w:p>
  <w:p w:rsidR="00EA0CB1" w:rsidRPr="005565B3" w:rsidRDefault="00EA0CB1" w:rsidP="00C95F09">
    <w:pPr>
      <w:spacing w:before="10" w:line="228" w:lineRule="exact"/>
      <w:ind w:left="9"/>
      <w:jc w:val="center"/>
      <w:rPr>
        <w:rFonts w:cs="Arial"/>
        <w:b/>
        <w:sz w:val="20"/>
      </w:rPr>
    </w:pPr>
    <w:r w:rsidRPr="005565B3">
      <w:rPr>
        <w:rFonts w:cs="Arial"/>
        <w:b/>
        <w:sz w:val="20"/>
      </w:rPr>
      <w:t>Ministério da Educação</w:t>
    </w:r>
  </w:p>
  <w:p w:rsidR="00EA0CB1" w:rsidRPr="005565B3" w:rsidRDefault="00EA0CB1" w:rsidP="00C95F09">
    <w:pPr>
      <w:spacing w:line="228" w:lineRule="exact"/>
      <w:ind w:left="3"/>
      <w:jc w:val="center"/>
      <w:rPr>
        <w:rFonts w:cs="Arial"/>
        <w:sz w:val="20"/>
      </w:rPr>
    </w:pPr>
    <w:r w:rsidRPr="005565B3">
      <w:rPr>
        <w:rFonts w:cs="Arial"/>
        <w:sz w:val="20"/>
      </w:rPr>
      <w:t>Secretaria de Educação Profissional e Tecnológica</w:t>
    </w:r>
  </w:p>
  <w:p w:rsidR="00EA0CB1" w:rsidRPr="005565B3" w:rsidRDefault="00EA0CB1" w:rsidP="00C95F09">
    <w:pPr>
      <w:spacing w:before="1"/>
      <w:jc w:val="center"/>
      <w:rPr>
        <w:rFonts w:cs="Arial"/>
        <w:sz w:val="20"/>
      </w:rPr>
    </w:pPr>
    <w:r w:rsidRPr="005565B3">
      <w:rPr>
        <w:rFonts w:cs="Arial"/>
        <w:sz w:val="20"/>
      </w:rPr>
      <w:t>Instituto Federal de Educação, Ciência e Tecnologia Rio Grande do Sul</w:t>
    </w:r>
  </w:p>
  <w:p w:rsidR="00EA0CB1" w:rsidRPr="005565B3" w:rsidRDefault="00EA0CB1" w:rsidP="00C95F09">
    <w:pPr>
      <w:spacing w:before="3"/>
      <w:ind w:left="3"/>
      <w:jc w:val="center"/>
      <w:rPr>
        <w:rFonts w:cs="Arial"/>
        <w:b/>
        <w:sz w:val="20"/>
      </w:rPr>
    </w:pPr>
    <w:r>
      <w:rPr>
        <w:rFonts w:cs="Arial"/>
        <w:b/>
        <w:sz w:val="20"/>
      </w:rPr>
      <w:t>Campus Veranópolis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B1" w:rsidRDefault="00EA0CB1" w:rsidP="00C95F09">
    <w:pPr>
      <w:spacing w:before="10" w:line="228" w:lineRule="exact"/>
      <w:ind w:left="9"/>
      <w:jc w:val="center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5935FE4" wp14:editId="71D280B2">
          <wp:simplePos x="0" y="0"/>
          <wp:positionH relativeFrom="margin">
            <wp:align>center</wp:align>
          </wp:positionH>
          <wp:positionV relativeFrom="paragraph">
            <wp:posOffset>-246029</wp:posOffset>
          </wp:positionV>
          <wp:extent cx="638810" cy="698500"/>
          <wp:effectExtent l="0" t="0" r="8890" b="6350"/>
          <wp:wrapTight wrapText="bothSides">
            <wp:wrapPolygon edited="0">
              <wp:start x="0" y="0"/>
              <wp:lineTo x="0" y="21207"/>
              <wp:lineTo x="21256" y="21207"/>
              <wp:lineTo x="21256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A0CB1" w:rsidRDefault="00EA0CB1" w:rsidP="00C95F09">
    <w:pPr>
      <w:spacing w:before="10" w:line="228" w:lineRule="exact"/>
      <w:ind w:left="9"/>
      <w:jc w:val="center"/>
    </w:pPr>
  </w:p>
  <w:p w:rsidR="00EA0CB1" w:rsidRDefault="00EA0CB1" w:rsidP="00C95F09">
    <w:pPr>
      <w:spacing w:before="10" w:line="228" w:lineRule="exact"/>
      <w:ind w:left="9"/>
      <w:jc w:val="center"/>
      <w:rPr>
        <w:rFonts w:cs="Arial"/>
        <w:b/>
        <w:sz w:val="20"/>
      </w:rPr>
    </w:pPr>
  </w:p>
  <w:p w:rsidR="00EA0CB1" w:rsidRPr="005565B3" w:rsidRDefault="00EA0CB1" w:rsidP="00C95F09">
    <w:pPr>
      <w:spacing w:before="10" w:line="228" w:lineRule="exact"/>
      <w:ind w:left="9"/>
      <w:jc w:val="center"/>
      <w:rPr>
        <w:rFonts w:cs="Arial"/>
        <w:b/>
        <w:sz w:val="20"/>
      </w:rPr>
    </w:pPr>
    <w:r w:rsidRPr="005565B3">
      <w:rPr>
        <w:rFonts w:cs="Arial"/>
        <w:b/>
        <w:sz w:val="20"/>
      </w:rPr>
      <w:t>Ministério da Educação</w:t>
    </w:r>
  </w:p>
  <w:p w:rsidR="00EA0CB1" w:rsidRPr="005565B3" w:rsidRDefault="00EA0CB1" w:rsidP="00C95F09">
    <w:pPr>
      <w:spacing w:line="228" w:lineRule="exact"/>
      <w:ind w:left="3"/>
      <w:jc w:val="center"/>
      <w:rPr>
        <w:rFonts w:cs="Arial"/>
        <w:sz w:val="20"/>
      </w:rPr>
    </w:pPr>
    <w:r w:rsidRPr="005565B3">
      <w:rPr>
        <w:rFonts w:cs="Arial"/>
        <w:sz w:val="20"/>
      </w:rPr>
      <w:t>Secretaria de Educação Profissional e Tecnológica</w:t>
    </w:r>
  </w:p>
  <w:p w:rsidR="00EA0CB1" w:rsidRPr="005565B3" w:rsidRDefault="00EA0CB1" w:rsidP="00C95F09">
    <w:pPr>
      <w:spacing w:before="1"/>
      <w:jc w:val="center"/>
      <w:rPr>
        <w:rFonts w:cs="Arial"/>
        <w:sz w:val="20"/>
      </w:rPr>
    </w:pPr>
    <w:r w:rsidRPr="005565B3">
      <w:rPr>
        <w:rFonts w:cs="Arial"/>
        <w:sz w:val="20"/>
      </w:rPr>
      <w:t>Instituto Federal de Educação, Ciência e Tecnologia Rio Grande do Sul</w:t>
    </w:r>
  </w:p>
  <w:p w:rsidR="00EA0CB1" w:rsidRPr="005565B3" w:rsidRDefault="00EA0CB1" w:rsidP="00C95F09">
    <w:pPr>
      <w:spacing w:before="3"/>
      <w:ind w:left="3"/>
      <w:jc w:val="center"/>
      <w:rPr>
        <w:rFonts w:cs="Arial"/>
        <w:b/>
        <w:sz w:val="20"/>
      </w:rPr>
    </w:pPr>
    <w:r>
      <w:rPr>
        <w:rFonts w:cs="Arial"/>
        <w:b/>
        <w:sz w:val="20"/>
      </w:rPr>
      <w:t>Campus Veranópolis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A06"/>
    <w:multiLevelType w:val="hybridMultilevel"/>
    <w:tmpl w:val="90745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65D"/>
    <w:multiLevelType w:val="hybridMultilevel"/>
    <w:tmpl w:val="3DE03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38AC"/>
    <w:multiLevelType w:val="hybridMultilevel"/>
    <w:tmpl w:val="54E668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2106C"/>
    <w:multiLevelType w:val="hybridMultilevel"/>
    <w:tmpl w:val="53A43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B5785"/>
    <w:multiLevelType w:val="hybridMultilevel"/>
    <w:tmpl w:val="84622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1F15"/>
    <w:multiLevelType w:val="hybridMultilevel"/>
    <w:tmpl w:val="4EB84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47A5"/>
    <w:multiLevelType w:val="hybridMultilevel"/>
    <w:tmpl w:val="6DA0EF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64398"/>
    <w:multiLevelType w:val="hybridMultilevel"/>
    <w:tmpl w:val="A198C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E7C17"/>
    <w:multiLevelType w:val="hybridMultilevel"/>
    <w:tmpl w:val="83248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27194"/>
    <w:multiLevelType w:val="hybridMultilevel"/>
    <w:tmpl w:val="12B4E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07E"/>
    <w:multiLevelType w:val="hybridMultilevel"/>
    <w:tmpl w:val="06426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302C6"/>
    <w:multiLevelType w:val="hybridMultilevel"/>
    <w:tmpl w:val="63400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74429"/>
    <w:multiLevelType w:val="hybridMultilevel"/>
    <w:tmpl w:val="E1DA2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F4A07"/>
    <w:multiLevelType w:val="hybridMultilevel"/>
    <w:tmpl w:val="694E4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46C35"/>
    <w:multiLevelType w:val="hybridMultilevel"/>
    <w:tmpl w:val="ADAC1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358FA"/>
    <w:multiLevelType w:val="hybridMultilevel"/>
    <w:tmpl w:val="859C4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B6418"/>
    <w:multiLevelType w:val="hybridMultilevel"/>
    <w:tmpl w:val="83AE2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16"/>
  </w:num>
  <w:num w:numId="8">
    <w:abstractNumId w:val="10"/>
  </w:num>
  <w:num w:numId="9">
    <w:abstractNumId w:val="15"/>
  </w:num>
  <w:num w:numId="10">
    <w:abstractNumId w:val="7"/>
  </w:num>
  <w:num w:numId="11">
    <w:abstractNumId w:val="11"/>
  </w:num>
  <w:num w:numId="12">
    <w:abstractNumId w:val="3"/>
  </w:num>
  <w:num w:numId="13">
    <w:abstractNumId w:val="14"/>
  </w:num>
  <w:num w:numId="14">
    <w:abstractNumId w:val="4"/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72"/>
    <w:rsid w:val="0000112D"/>
    <w:rsid w:val="00003B4D"/>
    <w:rsid w:val="0000450E"/>
    <w:rsid w:val="00013547"/>
    <w:rsid w:val="000364C7"/>
    <w:rsid w:val="00041B29"/>
    <w:rsid w:val="00051A01"/>
    <w:rsid w:val="00051E14"/>
    <w:rsid w:val="00060D15"/>
    <w:rsid w:val="00066F83"/>
    <w:rsid w:val="0007491D"/>
    <w:rsid w:val="00074D71"/>
    <w:rsid w:val="00077BA1"/>
    <w:rsid w:val="000802AF"/>
    <w:rsid w:val="000848E3"/>
    <w:rsid w:val="000A130F"/>
    <w:rsid w:val="000A151D"/>
    <w:rsid w:val="000A1526"/>
    <w:rsid w:val="000A2439"/>
    <w:rsid w:val="000A2EBA"/>
    <w:rsid w:val="000A6964"/>
    <w:rsid w:val="000B2A90"/>
    <w:rsid w:val="000B6E95"/>
    <w:rsid w:val="000B7AD3"/>
    <w:rsid w:val="000C0F53"/>
    <w:rsid w:val="000C7335"/>
    <w:rsid w:val="000E0812"/>
    <w:rsid w:val="000E7FBD"/>
    <w:rsid w:val="000F6E89"/>
    <w:rsid w:val="001112A1"/>
    <w:rsid w:val="00114EA6"/>
    <w:rsid w:val="00120A8C"/>
    <w:rsid w:val="00123A37"/>
    <w:rsid w:val="0012481F"/>
    <w:rsid w:val="00134015"/>
    <w:rsid w:val="001400F2"/>
    <w:rsid w:val="00145A0C"/>
    <w:rsid w:val="001475EA"/>
    <w:rsid w:val="00150374"/>
    <w:rsid w:val="00177C9C"/>
    <w:rsid w:val="00181C0E"/>
    <w:rsid w:val="00183A22"/>
    <w:rsid w:val="00192BBE"/>
    <w:rsid w:val="00192C0D"/>
    <w:rsid w:val="00192F0E"/>
    <w:rsid w:val="00193C5F"/>
    <w:rsid w:val="001A3A46"/>
    <w:rsid w:val="001A5425"/>
    <w:rsid w:val="001A5A44"/>
    <w:rsid w:val="001A6563"/>
    <w:rsid w:val="001B3366"/>
    <w:rsid w:val="001C1A4A"/>
    <w:rsid w:val="001D6A84"/>
    <w:rsid w:val="001F5596"/>
    <w:rsid w:val="002064E2"/>
    <w:rsid w:val="0021142E"/>
    <w:rsid w:val="002119CF"/>
    <w:rsid w:val="00212EFA"/>
    <w:rsid w:val="002219C3"/>
    <w:rsid w:val="0022357A"/>
    <w:rsid w:val="0022590A"/>
    <w:rsid w:val="00232A8C"/>
    <w:rsid w:val="002344AD"/>
    <w:rsid w:val="00235E23"/>
    <w:rsid w:val="00236756"/>
    <w:rsid w:val="00237488"/>
    <w:rsid w:val="00241F72"/>
    <w:rsid w:val="002531CE"/>
    <w:rsid w:val="00254DC0"/>
    <w:rsid w:val="00263ED2"/>
    <w:rsid w:val="002756AF"/>
    <w:rsid w:val="00280630"/>
    <w:rsid w:val="00281899"/>
    <w:rsid w:val="002915C3"/>
    <w:rsid w:val="002B12B3"/>
    <w:rsid w:val="002C500B"/>
    <w:rsid w:val="002C68AC"/>
    <w:rsid w:val="002E03E7"/>
    <w:rsid w:val="002E4C97"/>
    <w:rsid w:val="003110FB"/>
    <w:rsid w:val="00322E6B"/>
    <w:rsid w:val="003245FB"/>
    <w:rsid w:val="003313D4"/>
    <w:rsid w:val="00334B8D"/>
    <w:rsid w:val="00336EDC"/>
    <w:rsid w:val="00343CEA"/>
    <w:rsid w:val="00354C44"/>
    <w:rsid w:val="00355743"/>
    <w:rsid w:val="00370416"/>
    <w:rsid w:val="003737EB"/>
    <w:rsid w:val="00375657"/>
    <w:rsid w:val="003825C0"/>
    <w:rsid w:val="003859E2"/>
    <w:rsid w:val="00394A9F"/>
    <w:rsid w:val="003A19B8"/>
    <w:rsid w:val="003A6701"/>
    <w:rsid w:val="003B40B8"/>
    <w:rsid w:val="003B7A30"/>
    <w:rsid w:val="003C3ACB"/>
    <w:rsid w:val="003C7E35"/>
    <w:rsid w:val="003D4C7C"/>
    <w:rsid w:val="003E558C"/>
    <w:rsid w:val="003F33EE"/>
    <w:rsid w:val="004015CA"/>
    <w:rsid w:val="00403450"/>
    <w:rsid w:val="00427291"/>
    <w:rsid w:val="004455C8"/>
    <w:rsid w:val="0046545B"/>
    <w:rsid w:val="0046637F"/>
    <w:rsid w:val="00473257"/>
    <w:rsid w:val="00481BAE"/>
    <w:rsid w:val="004869B4"/>
    <w:rsid w:val="00495409"/>
    <w:rsid w:val="004A5965"/>
    <w:rsid w:val="004B197C"/>
    <w:rsid w:val="004B1CFF"/>
    <w:rsid w:val="004B7421"/>
    <w:rsid w:val="004B779F"/>
    <w:rsid w:val="004C38F3"/>
    <w:rsid w:val="004C7A71"/>
    <w:rsid w:val="004F195B"/>
    <w:rsid w:val="004F2369"/>
    <w:rsid w:val="005142B9"/>
    <w:rsid w:val="005244AF"/>
    <w:rsid w:val="00532F65"/>
    <w:rsid w:val="0053494E"/>
    <w:rsid w:val="0054517C"/>
    <w:rsid w:val="00545AC6"/>
    <w:rsid w:val="00552983"/>
    <w:rsid w:val="00560B26"/>
    <w:rsid w:val="005614C6"/>
    <w:rsid w:val="00565DBD"/>
    <w:rsid w:val="00567386"/>
    <w:rsid w:val="0058614E"/>
    <w:rsid w:val="00591FD4"/>
    <w:rsid w:val="0059291E"/>
    <w:rsid w:val="00597585"/>
    <w:rsid w:val="005A0969"/>
    <w:rsid w:val="005A51C2"/>
    <w:rsid w:val="005C29C8"/>
    <w:rsid w:val="005D79B5"/>
    <w:rsid w:val="005E25F5"/>
    <w:rsid w:val="005F606B"/>
    <w:rsid w:val="005F781B"/>
    <w:rsid w:val="00610472"/>
    <w:rsid w:val="00641706"/>
    <w:rsid w:val="0064499D"/>
    <w:rsid w:val="00645A86"/>
    <w:rsid w:val="006553DF"/>
    <w:rsid w:val="00656449"/>
    <w:rsid w:val="00660B56"/>
    <w:rsid w:val="00667380"/>
    <w:rsid w:val="00674F3F"/>
    <w:rsid w:val="00675CAE"/>
    <w:rsid w:val="00682E3D"/>
    <w:rsid w:val="00685614"/>
    <w:rsid w:val="00692F35"/>
    <w:rsid w:val="006A01F7"/>
    <w:rsid w:val="006A5965"/>
    <w:rsid w:val="006A5AE2"/>
    <w:rsid w:val="006B2E61"/>
    <w:rsid w:val="006C2663"/>
    <w:rsid w:val="006D1590"/>
    <w:rsid w:val="006D1BBB"/>
    <w:rsid w:val="006D479E"/>
    <w:rsid w:val="006D7923"/>
    <w:rsid w:val="006E68DE"/>
    <w:rsid w:val="006F00A2"/>
    <w:rsid w:val="006F097B"/>
    <w:rsid w:val="006F5204"/>
    <w:rsid w:val="00703ED9"/>
    <w:rsid w:val="007041CE"/>
    <w:rsid w:val="00706B8F"/>
    <w:rsid w:val="007106BE"/>
    <w:rsid w:val="0071205A"/>
    <w:rsid w:val="007120D9"/>
    <w:rsid w:val="00712C91"/>
    <w:rsid w:val="00713448"/>
    <w:rsid w:val="00714777"/>
    <w:rsid w:val="00722D73"/>
    <w:rsid w:val="00733EC2"/>
    <w:rsid w:val="007365E0"/>
    <w:rsid w:val="00746515"/>
    <w:rsid w:val="00747004"/>
    <w:rsid w:val="007529F5"/>
    <w:rsid w:val="00754CBD"/>
    <w:rsid w:val="0076600F"/>
    <w:rsid w:val="00767DC3"/>
    <w:rsid w:val="007727BA"/>
    <w:rsid w:val="00773D74"/>
    <w:rsid w:val="00792DEC"/>
    <w:rsid w:val="00796C13"/>
    <w:rsid w:val="007972D3"/>
    <w:rsid w:val="007A1A72"/>
    <w:rsid w:val="007A5502"/>
    <w:rsid w:val="007A7C06"/>
    <w:rsid w:val="007B312A"/>
    <w:rsid w:val="007B3F50"/>
    <w:rsid w:val="007C01DD"/>
    <w:rsid w:val="007C5AE1"/>
    <w:rsid w:val="007C6957"/>
    <w:rsid w:val="007D4990"/>
    <w:rsid w:val="007E2F79"/>
    <w:rsid w:val="00802B18"/>
    <w:rsid w:val="00804886"/>
    <w:rsid w:val="00822C30"/>
    <w:rsid w:val="00835C34"/>
    <w:rsid w:val="0084262E"/>
    <w:rsid w:val="008618FD"/>
    <w:rsid w:val="00871645"/>
    <w:rsid w:val="00875420"/>
    <w:rsid w:val="008765E7"/>
    <w:rsid w:val="00877C7E"/>
    <w:rsid w:val="00887AAA"/>
    <w:rsid w:val="008B0134"/>
    <w:rsid w:val="008D076E"/>
    <w:rsid w:val="008D2EA1"/>
    <w:rsid w:val="008E062F"/>
    <w:rsid w:val="008E06A5"/>
    <w:rsid w:val="008F70A6"/>
    <w:rsid w:val="008F7CF4"/>
    <w:rsid w:val="00903D11"/>
    <w:rsid w:val="00914294"/>
    <w:rsid w:val="00916BBE"/>
    <w:rsid w:val="00923692"/>
    <w:rsid w:val="009273C8"/>
    <w:rsid w:val="009277DA"/>
    <w:rsid w:val="009356AD"/>
    <w:rsid w:val="00951507"/>
    <w:rsid w:val="00964A2E"/>
    <w:rsid w:val="00971808"/>
    <w:rsid w:val="00971FBD"/>
    <w:rsid w:val="00980780"/>
    <w:rsid w:val="0098597C"/>
    <w:rsid w:val="00987024"/>
    <w:rsid w:val="00991DB8"/>
    <w:rsid w:val="00992982"/>
    <w:rsid w:val="0099757F"/>
    <w:rsid w:val="009B32B6"/>
    <w:rsid w:val="009B381D"/>
    <w:rsid w:val="009B5403"/>
    <w:rsid w:val="009D2C21"/>
    <w:rsid w:val="009D3632"/>
    <w:rsid w:val="009E16FC"/>
    <w:rsid w:val="009E22CE"/>
    <w:rsid w:val="009E270C"/>
    <w:rsid w:val="009E6947"/>
    <w:rsid w:val="009F0C74"/>
    <w:rsid w:val="00A0006A"/>
    <w:rsid w:val="00A02AD2"/>
    <w:rsid w:val="00A07973"/>
    <w:rsid w:val="00A07D6E"/>
    <w:rsid w:val="00A13103"/>
    <w:rsid w:val="00A213AE"/>
    <w:rsid w:val="00A251C5"/>
    <w:rsid w:val="00A35A88"/>
    <w:rsid w:val="00A36696"/>
    <w:rsid w:val="00A421C4"/>
    <w:rsid w:val="00A5082D"/>
    <w:rsid w:val="00A52842"/>
    <w:rsid w:val="00A56F11"/>
    <w:rsid w:val="00A601F5"/>
    <w:rsid w:val="00A66AB7"/>
    <w:rsid w:val="00A72679"/>
    <w:rsid w:val="00A735A2"/>
    <w:rsid w:val="00A73E55"/>
    <w:rsid w:val="00A77AAF"/>
    <w:rsid w:val="00A8058E"/>
    <w:rsid w:val="00A94625"/>
    <w:rsid w:val="00A9538A"/>
    <w:rsid w:val="00AA70E1"/>
    <w:rsid w:val="00AB35A2"/>
    <w:rsid w:val="00AC3F29"/>
    <w:rsid w:val="00AD6B4B"/>
    <w:rsid w:val="00AF2927"/>
    <w:rsid w:val="00AF2BA3"/>
    <w:rsid w:val="00AF4AC4"/>
    <w:rsid w:val="00B121E0"/>
    <w:rsid w:val="00B12B13"/>
    <w:rsid w:val="00B13C8B"/>
    <w:rsid w:val="00B161A9"/>
    <w:rsid w:val="00B21615"/>
    <w:rsid w:val="00B26F94"/>
    <w:rsid w:val="00B33B71"/>
    <w:rsid w:val="00B3611D"/>
    <w:rsid w:val="00B36130"/>
    <w:rsid w:val="00B403CE"/>
    <w:rsid w:val="00B46A13"/>
    <w:rsid w:val="00B46B07"/>
    <w:rsid w:val="00B50E2E"/>
    <w:rsid w:val="00B522C6"/>
    <w:rsid w:val="00B55334"/>
    <w:rsid w:val="00B558E7"/>
    <w:rsid w:val="00B65345"/>
    <w:rsid w:val="00B659A2"/>
    <w:rsid w:val="00B67B64"/>
    <w:rsid w:val="00B86EC4"/>
    <w:rsid w:val="00B913BA"/>
    <w:rsid w:val="00B95C43"/>
    <w:rsid w:val="00BB5522"/>
    <w:rsid w:val="00BC441D"/>
    <w:rsid w:val="00BC624B"/>
    <w:rsid w:val="00BD0E1E"/>
    <w:rsid w:val="00BD1885"/>
    <w:rsid w:val="00BD76ED"/>
    <w:rsid w:val="00BE5451"/>
    <w:rsid w:val="00BF1309"/>
    <w:rsid w:val="00BF6BEC"/>
    <w:rsid w:val="00BF71A6"/>
    <w:rsid w:val="00C0069E"/>
    <w:rsid w:val="00C1518D"/>
    <w:rsid w:val="00C21226"/>
    <w:rsid w:val="00C22D6F"/>
    <w:rsid w:val="00C273B7"/>
    <w:rsid w:val="00C277B2"/>
    <w:rsid w:val="00C32033"/>
    <w:rsid w:val="00C4206B"/>
    <w:rsid w:val="00C4764B"/>
    <w:rsid w:val="00C60E84"/>
    <w:rsid w:val="00C95F09"/>
    <w:rsid w:val="00C97389"/>
    <w:rsid w:val="00CA2A84"/>
    <w:rsid w:val="00CA3630"/>
    <w:rsid w:val="00CA59F1"/>
    <w:rsid w:val="00CA655C"/>
    <w:rsid w:val="00CB640E"/>
    <w:rsid w:val="00CC4373"/>
    <w:rsid w:val="00CC4B53"/>
    <w:rsid w:val="00CF4E55"/>
    <w:rsid w:val="00CF630B"/>
    <w:rsid w:val="00D064CD"/>
    <w:rsid w:val="00D06ED0"/>
    <w:rsid w:val="00D147B7"/>
    <w:rsid w:val="00D17100"/>
    <w:rsid w:val="00D21D56"/>
    <w:rsid w:val="00D2668A"/>
    <w:rsid w:val="00D26AE3"/>
    <w:rsid w:val="00D34C6A"/>
    <w:rsid w:val="00D4118C"/>
    <w:rsid w:val="00D47745"/>
    <w:rsid w:val="00D63AF7"/>
    <w:rsid w:val="00D6592D"/>
    <w:rsid w:val="00D73FCD"/>
    <w:rsid w:val="00D745DC"/>
    <w:rsid w:val="00D81C55"/>
    <w:rsid w:val="00D83E56"/>
    <w:rsid w:val="00D91224"/>
    <w:rsid w:val="00D94209"/>
    <w:rsid w:val="00D97BC9"/>
    <w:rsid w:val="00DA1DEA"/>
    <w:rsid w:val="00DA7988"/>
    <w:rsid w:val="00DA7C5E"/>
    <w:rsid w:val="00DC2D62"/>
    <w:rsid w:val="00DD3AE4"/>
    <w:rsid w:val="00DE65D5"/>
    <w:rsid w:val="00DE7F4A"/>
    <w:rsid w:val="00DF230C"/>
    <w:rsid w:val="00E24A46"/>
    <w:rsid w:val="00E25AC2"/>
    <w:rsid w:val="00E311A3"/>
    <w:rsid w:val="00E33C92"/>
    <w:rsid w:val="00E34D54"/>
    <w:rsid w:val="00E43061"/>
    <w:rsid w:val="00E57E11"/>
    <w:rsid w:val="00E63401"/>
    <w:rsid w:val="00E64DA0"/>
    <w:rsid w:val="00E653C8"/>
    <w:rsid w:val="00E72BBA"/>
    <w:rsid w:val="00E735E5"/>
    <w:rsid w:val="00E91149"/>
    <w:rsid w:val="00E97932"/>
    <w:rsid w:val="00EA0CB1"/>
    <w:rsid w:val="00EB4D48"/>
    <w:rsid w:val="00EB7DE8"/>
    <w:rsid w:val="00EC62AD"/>
    <w:rsid w:val="00ED150C"/>
    <w:rsid w:val="00ED1E47"/>
    <w:rsid w:val="00ED346E"/>
    <w:rsid w:val="00ED66AE"/>
    <w:rsid w:val="00ED7487"/>
    <w:rsid w:val="00EE2D7D"/>
    <w:rsid w:val="00EE7A88"/>
    <w:rsid w:val="00EE7FE0"/>
    <w:rsid w:val="00EF1489"/>
    <w:rsid w:val="00EF1E65"/>
    <w:rsid w:val="00F00C32"/>
    <w:rsid w:val="00F15B62"/>
    <w:rsid w:val="00F17582"/>
    <w:rsid w:val="00F267FB"/>
    <w:rsid w:val="00F52C6E"/>
    <w:rsid w:val="00F560A9"/>
    <w:rsid w:val="00F564F4"/>
    <w:rsid w:val="00F608EE"/>
    <w:rsid w:val="00F64261"/>
    <w:rsid w:val="00F65628"/>
    <w:rsid w:val="00F72DED"/>
    <w:rsid w:val="00F8082D"/>
    <w:rsid w:val="00F8197B"/>
    <w:rsid w:val="00F93A33"/>
    <w:rsid w:val="00F950C2"/>
    <w:rsid w:val="00F97C66"/>
    <w:rsid w:val="00FA0F51"/>
    <w:rsid w:val="00FD0059"/>
    <w:rsid w:val="00FD3FA1"/>
    <w:rsid w:val="00FD614A"/>
    <w:rsid w:val="00FD7327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37A8B1"/>
  <w15:chartTrackingRefBased/>
  <w15:docId w15:val="{CAEAF140-B00D-4914-9620-5369677A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703ED9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93C5F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2A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3C5F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argrafodaLista">
    <w:name w:val="List Paragraph"/>
    <w:basedOn w:val="Normal"/>
    <w:uiPriority w:val="34"/>
    <w:qFormat/>
    <w:rsid w:val="00713448"/>
    <w:pPr>
      <w:ind w:left="720"/>
      <w:contextualSpacing/>
    </w:pPr>
  </w:style>
  <w:style w:type="table" w:styleId="Tabelacomgrade">
    <w:name w:val="Table Grid"/>
    <w:basedOn w:val="Tabelanormal"/>
    <w:uiPriority w:val="59"/>
    <w:rsid w:val="00E7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6553D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3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3D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4F195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95F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F09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C95F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F09"/>
    <w:rPr>
      <w:rFonts w:ascii="Arial" w:hAnsi="Arial"/>
      <w:sz w:val="24"/>
    </w:rPr>
  </w:style>
  <w:style w:type="character" w:customStyle="1" w:styleId="lrzxr">
    <w:name w:val="lrzxr"/>
    <w:basedOn w:val="Fontepargpadro"/>
    <w:rsid w:val="00C95F09"/>
  </w:style>
  <w:style w:type="character" w:styleId="Hyperlink">
    <w:name w:val="Hyperlink"/>
    <w:basedOn w:val="Fontepargpadro"/>
    <w:uiPriority w:val="99"/>
    <w:unhideWhenUsed/>
    <w:rsid w:val="00C95F09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5F09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9538A"/>
    <w:pPr>
      <w:tabs>
        <w:tab w:val="left" w:pos="851"/>
        <w:tab w:val="right" w:leader="dot" w:pos="8494"/>
      </w:tabs>
      <w:spacing w:after="100"/>
    </w:pPr>
  </w:style>
  <w:style w:type="character" w:customStyle="1" w:styleId="Ttulo2Char">
    <w:name w:val="Título 2 Char"/>
    <w:basedOn w:val="Fontepargpadro"/>
    <w:link w:val="Ttulo2"/>
    <w:uiPriority w:val="9"/>
    <w:semiHidden/>
    <w:rsid w:val="000B2A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20A5-5FE8-4285-B0EC-BA5966ED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18</Pages>
  <Words>3854</Words>
  <Characters>20812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Luiz Santos Bonato</dc:creator>
  <cp:keywords/>
  <dc:description/>
  <cp:lastModifiedBy>Wellington Luiz Santos Bonato</cp:lastModifiedBy>
  <cp:revision>23</cp:revision>
  <cp:lastPrinted>2019-04-23T13:43:00Z</cp:lastPrinted>
  <dcterms:created xsi:type="dcterms:W3CDTF">2019-02-15T15:48:00Z</dcterms:created>
  <dcterms:modified xsi:type="dcterms:W3CDTF">2019-09-13T14:35:00Z</dcterms:modified>
</cp:coreProperties>
</file>