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CB" w:rsidRDefault="005E1FCB" w:rsidP="005E1FCB">
      <w:pPr>
        <w:pStyle w:val="PargrafodaLista"/>
        <w:shd w:val="clear" w:color="auto" w:fill="FFFFFF" w:themeFill="background1"/>
        <w:spacing w:before="200" w:line="240" w:lineRule="auto"/>
        <w:ind w:left="171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>JUSTIFICATIVA</w:t>
      </w:r>
      <w:r>
        <w:rPr>
          <w:rFonts w:ascii="Times New Roman" w:hAnsi="Times New Roman" w:cs="Times New Roman"/>
          <w:b/>
          <w:sz w:val="24"/>
          <w:szCs w:val="24"/>
        </w:rPr>
        <w:t xml:space="preserve"> EM RELAÇÃO AO REGIME DA EMPREITADA, MAIOR DESCONTO UNITÁRIO E ESCOLHA DO RDC.</w:t>
      </w:r>
    </w:p>
    <w:p w:rsidR="005E1FCB" w:rsidRPr="000B6DA3" w:rsidRDefault="005E1FCB" w:rsidP="005E1FC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DA3">
        <w:rPr>
          <w:rFonts w:ascii="Arial" w:hAnsi="Arial" w:cs="Arial"/>
          <w:b/>
          <w:sz w:val="24"/>
          <w:szCs w:val="24"/>
          <w:u w:val="single"/>
        </w:rPr>
        <w:t>Em relação ao regime de empreitada – PREÇO UNITÁRIO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Inicialmente destacamos que o Roteiro de Auditoria de Obras Públicas, cuja segunda revisão foi aprovada pela Portaria-SEGECEX nº 33, de 07 de novembro de 2012, publicada no Boletim do Tribunal de Contas de União de 11 de dezembro de 2013, traz um interessante diagnóstico sobre o tema:</w:t>
      </w:r>
    </w:p>
    <w:p w:rsidR="005E1FCB" w:rsidRPr="000B6DA3" w:rsidRDefault="005E1FCB" w:rsidP="005E1FCB">
      <w:pPr>
        <w:ind w:left="2124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321. As maiores controvérsias quanto à escolha e à operacionalização de determinado regime de execução referem-se às empreitadas. Pela letra da lei, não fica claro como e quando utilizar cada um dos regimes de execução por empreitada definidos pelo legislador.</w:t>
      </w:r>
    </w:p>
    <w:p w:rsidR="005E1FCB" w:rsidRPr="000B6DA3" w:rsidRDefault="005E1FCB" w:rsidP="005E1FCB">
      <w:pPr>
        <w:ind w:left="2124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322. A escolha do regime de execução da obra não é decisão de livre arbítrio do gestor, </w:t>
      </w:r>
      <w:r w:rsidRPr="000B6DA3">
        <w:rPr>
          <w:rFonts w:ascii="Arial" w:hAnsi="Arial" w:cs="Arial"/>
          <w:b/>
          <w:sz w:val="24"/>
          <w:szCs w:val="24"/>
          <w:u w:val="single"/>
        </w:rPr>
        <w:t>visto que deve ser pautada pelo interesse público e estar sempre motivada</w:t>
      </w:r>
      <w:r w:rsidRPr="000B6DA3">
        <w:rPr>
          <w:rFonts w:ascii="Arial" w:hAnsi="Arial" w:cs="Arial"/>
          <w:sz w:val="24"/>
          <w:szCs w:val="24"/>
        </w:rPr>
        <w:t xml:space="preserve">, pois impactará as relações entre contratado e contratante, as medições do contrato firmado, seus aditivos, entre outros fatores relacionados à gestão do empreendimento contratado. </w:t>
      </w:r>
      <w:r w:rsidRPr="000B6DA3">
        <w:rPr>
          <w:rFonts w:ascii="Arial" w:hAnsi="Arial" w:cs="Arial"/>
          <w:b/>
          <w:sz w:val="24"/>
          <w:szCs w:val="24"/>
          <w:u w:val="single"/>
        </w:rPr>
        <w:t>Decorre desse entendimento a constatação de que não existe, em tese, um regime de execução melhor que outro, e sim um regime que, no caso concreto, melhor atende ao interesse público</w:t>
      </w:r>
      <w:r w:rsidRPr="000B6DA3">
        <w:rPr>
          <w:rFonts w:ascii="Arial" w:hAnsi="Arial" w:cs="Arial"/>
          <w:sz w:val="24"/>
          <w:szCs w:val="24"/>
        </w:rPr>
        <w:t>. (TCU, 2012: 76 – sublinhado nosso)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Os “regimes de empreitada” referidos no título nada mais são do que os regimes de execução previstos na Lei nº 8.666/93 (Lei de Licitações e Contratos – LLC). Entende-se por regime de execução “a forma pela qual o objeto do contrato será executado” (TCU, 2010: 674), conforme esteja planejando a administração. A LLC arrola quatro regimes de execução indireta, a saber: a) empreitada por preço global; b) empreitada por preço unitário; c) tarefa e d) empreitada integral.</w:t>
      </w:r>
    </w:p>
    <w:p w:rsidR="005E1FCB" w:rsidRPr="000B6DA3" w:rsidRDefault="005E1FCB" w:rsidP="005E1FCB">
      <w:pPr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ab/>
        <w:t>A opção pelo regime de preço unitário se deu pela característica do objeto e pelo interesse público. Considerando que: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lastRenderedPageBreak/>
        <w:t>Trata-se de uma obra de pequeno valor;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>Trata-se de questões relacionadas ao PPCI;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>A existência de poucos itens envolvidos;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 xml:space="preserve">A destinação de sua execução por empresas de pequeno porte e a condição de caixa destas empresas. 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O entendimento da administração neste caso é que o enquadramento na empreitada por preço unitário é o mais adequando ao caso em tela. Como bem colocam Moreira e Guimarães, “a definição do regime de execução é relevante para definir a disciplina jurídica da remuneração do contratado e as consequências de seu inadimplemento” (2012: 194). Em certa ocasião, o TCU entendeu, assim como a doutrina, que o regime de execução deveria ser escolhido em função da forma de pagamento a ser feita, exarando a seguinte recomendação: “Estabeleça o regime de execução contratual de acordo com o critério de apuração do valor a ser pago ao particular, observando os conceitos fixados no art. 6º, inciso VIII, alíneas a e b, da Lei no 8.666/1993” (Acórdão nº 337/2005 Plenário) – sublinhamos. Na mesma linha de entendimento, </w:t>
      </w:r>
      <w:proofErr w:type="spellStart"/>
      <w:r w:rsidRPr="000B6DA3">
        <w:rPr>
          <w:rFonts w:ascii="Arial" w:hAnsi="Arial" w:cs="Arial"/>
          <w:sz w:val="24"/>
          <w:szCs w:val="24"/>
        </w:rPr>
        <w:t>Altounian</w:t>
      </w:r>
      <w:proofErr w:type="spellEnd"/>
      <w:r w:rsidRPr="000B6DA3">
        <w:rPr>
          <w:rFonts w:ascii="Arial" w:hAnsi="Arial" w:cs="Arial"/>
          <w:sz w:val="24"/>
          <w:szCs w:val="24"/>
        </w:rPr>
        <w:t xml:space="preserve"> assevera que “a diferença básica [entre a empreitada por preço unitário e a empreitada global] está na forma em que os serviços contratados serão medidos e pagos” (2012: 187).</w:t>
      </w:r>
    </w:p>
    <w:p w:rsidR="005E1FCB" w:rsidRPr="000B6DA3" w:rsidRDefault="005E1FCB" w:rsidP="005E1FCB">
      <w:pPr>
        <w:ind w:firstLine="708"/>
        <w:jc w:val="both"/>
        <w:rPr>
          <w:rFonts w:ascii="Arial" w:eastAsia="Times New Roman" w:hAnsi="Arial" w:cs="Arial"/>
          <w:color w:val="103E72"/>
          <w:sz w:val="24"/>
          <w:szCs w:val="24"/>
          <w:lang w:eastAsia="pt-BR"/>
        </w:rPr>
      </w:pPr>
      <w:r w:rsidRPr="000B6DA3">
        <w:rPr>
          <w:rFonts w:ascii="Arial" w:hAnsi="Arial" w:cs="Arial"/>
          <w:sz w:val="24"/>
          <w:szCs w:val="24"/>
        </w:rPr>
        <w:t>Neste sentido não queremos impedir empresas da região de pequeno porte de impedir sua participação, como forma de desenvolver a economia local. Em razão das características da obra e de seu cronograma o pagamento faseado por meio de medições frequentes viabilizará uma competição maior e uma correção entre o executado e pago, mantendo o equilíbrio econômico financeiro, pois a margem de lucro das empresas é pequeno pelo montante envolvido na obra e se não o fizermos por meio de medição, podemos ter uma licitação deserta. Nosso entender coaduna como o que dispõe o art. 14 do Decreto nº 7.983/2013, que estabelece regras e critérios para elaboração do orçamento de referência de obras e serviços de engenharia, contratados e executados com recursos dos orçamentos da União.</w:t>
      </w:r>
    </w:p>
    <w:p w:rsidR="005E1FCB" w:rsidRPr="000B6DA3" w:rsidRDefault="005E1FCB" w:rsidP="005E1FCB">
      <w:pPr>
        <w:ind w:left="1416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Art. 14.  A diferença percentual entre o valor global do contrato e o preço global de referência não poderá ser reduzida em favor do contratado em decorrência de aditamentos que modifiquem a planilha orçamentária.</w:t>
      </w:r>
    </w:p>
    <w:p w:rsidR="005E1FCB" w:rsidRPr="000B6DA3" w:rsidRDefault="005E1FCB" w:rsidP="005E1FCB">
      <w:pPr>
        <w:ind w:left="141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DA3">
        <w:rPr>
          <w:rFonts w:ascii="Arial" w:hAnsi="Arial" w:cs="Arial"/>
          <w:sz w:val="24"/>
          <w:szCs w:val="24"/>
        </w:rPr>
        <w:t xml:space="preserve">Parágrafo único.  </w:t>
      </w:r>
      <w:r w:rsidRPr="000B6DA3">
        <w:rPr>
          <w:rFonts w:ascii="Arial" w:hAnsi="Arial" w:cs="Arial"/>
          <w:b/>
          <w:sz w:val="24"/>
          <w:szCs w:val="24"/>
          <w:u w:val="single"/>
        </w:rPr>
        <w:t xml:space="preserve">Em caso de adoção dos regimes de empreitada por preço unitário e tarefa, a diferença a que se refere o caput poderá ser reduzida para a preservação do </w:t>
      </w:r>
      <w:r w:rsidRPr="000B6DA3">
        <w:rPr>
          <w:rFonts w:ascii="Arial" w:hAnsi="Arial" w:cs="Arial"/>
          <w:b/>
          <w:sz w:val="24"/>
          <w:szCs w:val="24"/>
          <w:u w:val="single"/>
        </w:rPr>
        <w:lastRenderedPageBreak/>
        <w:t>equilíbrio econômico-financeiro do contrato em casos excepcionais e justificados, desde que os custos unitários dos aditivos contratuais não excedam os custos unitários do sistema de referência utilizado na forma deste Decreto, assegurada a manutenção da vantagem da proposta vencedora ante a da segunda colocada na licitação.</w:t>
      </w:r>
    </w:p>
    <w:p w:rsidR="005E1FCB" w:rsidRPr="000B6DA3" w:rsidRDefault="005E1FCB" w:rsidP="005E1FCB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0B6DA3">
        <w:rPr>
          <w:rFonts w:ascii="Arial" w:hAnsi="Arial" w:cs="Arial"/>
          <w:b/>
          <w:sz w:val="24"/>
          <w:szCs w:val="24"/>
        </w:rPr>
        <w:t>Critério de Julgamento da Proposta – Maior desconto unitário</w:t>
      </w:r>
    </w:p>
    <w:p w:rsidR="005E1FCB" w:rsidRPr="000B6DA3" w:rsidRDefault="005E1FCB" w:rsidP="005E1FCB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critério mais comum de julgamento é a avaliação do preço global da proposta. No entanto, ele não é suficiente para garantir a escolha da proposta mais vantajosa para a Administração. Para isso, é necessário que o edital preveja o controle dos preços unitários de cada item da planilha e estabeleça o critério de aceitabilidade desses valores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No caso específico do RDC o artigo 25 do Decreto nº 7.581/2011, estabeleceu:</w:t>
      </w:r>
    </w:p>
    <w:p w:rsidR="005E1FCB" w:rsidRPr="000B6DA3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25.  Poderão ser utilizados como critérios de julgamento:</w:t>
      </w:r>
    </w:p>
    <w:p w:rsidR="005E1FCB" w:rsidRPr="000B6DA3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</w:pPr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>I - </w:t>
      </w:r>
      <w:proofErr w:type="gramStart"/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>menor</w:t>
      </w:r>
      <w:proofErr w:type="gramEnd"/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 xml:space="preserve"> preço ou maior desconto;</w:t>
      </w:r>
    </w:p>
    <w:p w:rsidR="005E1FCB" w:rsidRPr="00544685" w:rsidRDefault="005E1FCB" w:rsidP="005E1FCB">
      <w:pPr>
        <w:spacing w:after="0" w:line="240" w:lineRule="auto"/>
        <w:ind w:left="354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(...)</w:t>
      </w:r>
    </w:p>
    <w:p w:rsidR="005E1FCB" w:rsidRPr="000B6DA3" w:rsidRDefault="005E1FCB" w:rsidP="005E1FCB">
      <w:pPr>
        <w:pStyle w:val="Pargrafoda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Tema ainda foi contemplando nos artigos 26 e 27 do referido decreto:</w:t>
      </w:r>
    </w:p>
    <w:p w:rsidR="005E1FCB" w:rsidRPr="000B6DA3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26.  O critério de julgamento pelo menor preço ou maior desconto considerará o menor dispêndio para a administração pública, atendidos os parâmetros mínimos de qualidade definidos no instrumento convocatório. </w:t>
      </w: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(...)</w:t>
      </w: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bookmarkStart w:id="0" w:name="art27"/>
      <w:bookmarkEnd w:id="0"/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27.  O critério de julgamento por maior desconto utilizará como referência o preço total estimado, fixado pelo instrumento convocatório.  </w:t>
      </w: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Parágrafo único.  No caso de obras ou serviços de engenharia, o percentual de desconto apresentado pelos licitantes incidirá linearmente sobre os preços de todos os itens do orçamento estimado constante do instrumento convocatório</w:t>
      </w:r>
    </w:p>
    <w:p w:rsidR="005E1FCB" w:rsidRPr="000B6DA3" w:rsidRDefault="005E1FCB" w:rsidP="005E1FCB">
      <w:pPr>
        <w:spacing w:before="100" w:beforeAutospacing="1" w:after="12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lastRenderedPageBreak/>
        <w:t>Neste sentido em consonância com a legislação o critério de julgamento será o maior desconto unitário que deverá ser linear em todos os preços de todos os itens do orçamento estimado no ativo convocatório.</w:t>
      </w:r>
    </w:p>
    <w:p w:rsidR="005E1FCB" w:rsidRPr="000B6DA3" w:rsidRDefault="005E1FCB" w:rsidP="005E1FCB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0B6DA3">
        <w:rPr>
          <w:rFonts w:ascii="Arial" w:hAnsi="Arial" w:cs="Arial"/>
          <w:b/>
          <w:sz w:val="24"/>
          <w:szCs w:val="24"/>
        </w:rPr>
        <w:t>Escolha do RDC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Tendo em vista que a Lei nº 12.462, de 04 de agosto de 2011, instituiu o Regime Diferenciado de Contratações e em seu artigo 1º definiu:</w:t>
      </w:r>
    </w:p>
    <w:p w:rsidR="005E1FCB" w:rsidRPr="00D86E99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 1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ª</w:t>
      </w:r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  É</w:t>
      </w:r>
      <w:proofErr w:type="gramEnd"/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instituído o Regime Diferenciado de Contratações Públicas (RDC), aplicável exclusivamente às licitações e contratos necessários à realização: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(...)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§ 3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º  Além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das hipóteses previstas no caput, o RDC também é aplicável às licitações e aos contratos necessários à realização de obras e </w:t>
      </w:r>
      <w:r w:rsidRPr="000B6DA3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serviços de engenharia no âmbito dos sistemas públicos de ensino e de pesquisa, ciência e tecnologia.</w:t>
      </w: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       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IFRS é uma autarquia do Governo Federal destinada ao ensino, pesquisa e extensão criado pela Lei nº 11.892, de 29 de dezembro de 2008, que i</w:t>
      </w:r>
      <w:r w:rsidRPr="00D86E99">
        <w:rPr>
          <w:rFonts w:ascii="Arial" w:hAnsi="Arial" w:cs="Arial"/>
          <w:sz w:val="24"/>
          <w:szCs w:val="24"/>
        </w:rPr>
        <w:t>nstitui</w:t>
      </w:r>
      <w:r w:rsidRPr="000B6DA3">
        <w:rPr>
          <w:rFonts w:ascii="Arial" w:hAnsi="Arial" w:cs="Arial"/>
          <w:sz w:val="24"/>
          <w:szCs w:val="24"/>
        </w:rPr>
        <w:t>u</w:t>
      </w:r>
      <w:r w:rsidRPr="00D86E99">
        <w:rPr>
          <w:rFonts w:ascii="Arial" w:hAnsi="Arial" w:cs="Arial"/>
          <w:sz w:val="24"/>
          <w:szCs w:val="24"/>
        </w:rPr>
        <w:t xml:space="preserve"> a Rede Federal de Educação Profissional, Científica e Tecnológica</w:t>
      </w:r>
      <w:r w:rsidRPr="000B6DA3">
        <w:rPr>
          <w:rFonts w:ascii="Arial" w:hAnsi="Arial" w:cs="Arial"/>
          <w:sz w:val="24"/>
          <w:szCs w:val="24"/>
        </w:rPr>
        <w:t xml:space="preserve"> com</w:t>
      </w:r>
      <w:r w:rsidRPr="000B6DA3">
        <w:rPr>
          <w:rFonts w:ascii="Arial" w:hAnsi="Arial" w:cs="Arial"/>
          <w:color w:val="000000"/>
          <w:sz w:val="24"/>
          <w:szCs w:val="24"/>
        </w:rPr>
        <w:t xml:space="preserve"> natureza jurídica de autarquia, detentoras de autonomia administrativa, patrimonial, financeira, didático-pedagógica e disciplinar e que tem por finalidade e característica, conforme seu artigo 6º: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 6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º  Os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Institutos Federais têm por finalidades e características: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ofertar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educação profissional e tecnológica, em todos os seus níveis e modalidades, formando e qualificando cidadãos com vistas na atuação profissional nos diversos setores da economia, com ênfase no desenvolvimento socioeconômico local, regional e nacional;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II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desenvolver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a educação profissional e tecnológica como processo educativo e investigativo de geração e adaptação de soluções técnicas e tecnológicas às demandas sociais e peculiaridades regionais;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III - promover a integração e a verticalização da educação básica à educação profissional e educação </w:t>
      </w: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lastRenderedPageBreak/>
        <w:t xml:space="preserve">superior, otimizando a </w:t>
      </w:r>
      <w:proofErr w:type="spell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infra-estrutura</w:t>
      </w:r>
      <w:proofErr w:type="spell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física, os quadros de pessoal e os recursos de gestão;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IV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orientar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sua oferta formativa em benefício da consolidação e fortalecimento dos arranjos produtivos, sociais e culturais locais, identificados com base no mapeamento das potencialidades de desenvolvimento socioeconômico e cultural no âmbito de atuação do Instituto Federal;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V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constituir-se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em centro de excelência na oferta do ensino de ciências, em geral, e de ciências aplicadas, em particular, estimulando o desenvolvimento de espírito crítico, voltado à investigação empírica;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VI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qualificar-se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como centro de referência no apoio à oferta do ensino de ciências nas instituições públicas de ensino, oferecendo capacitação técnica e atualização pedagógica aos docentes das redes públicas de ensino;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VII - desenvolver programas de extensão e de divulgação científica e tecnológica;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VIII - realizar e estimular a pesquisa aplicada, a produção cultural, o empreendedorismo, o cooperativismo e o desenvolvimento científico e tecnológico;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IX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promover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a produção, o desenvolvimento e a transferência de tecnologias sociais, notadamente as voltadas à preservação do meio ambiente.</w:t>
      </w:r>
    </w:p>
    <w:p w:rsidR="005E1FCB" w:rsidRPr="000B6DA3" w:rsidRDefault="005E1FCB" w:rsidP="005E1FC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6DA3">
        <w:rPr>
          <w:rFonts w:ascii="Arial" w:hAnsi="Arial" w:cs="Arial"/>
          <w:sz w:val="24"/>
          <w:szCs w:val="24"/>
        </w:rPr>
        <w:t xml:space="preserve">Neste sentido objetivando </w:t>
      </w:r>
      <w:r w:rsidRPr="000B6D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ampliar a eficiência nas contratações públicas e a competitividade entre os licitantes</w:t>
      </w:r>
      <w:bookmarkStart w:id="1" w:name="art1§1iv"/>
      <w:bookmarkEnd w:id="1"/>
      <w:r w:rsidRPr="000B6D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assegurar tratamento isonômico entre os licitantes e a seleção da proposta mais vantajosa para a administração pública optamos neste caso pelo RDC para a licitação em questão.</w:t>
      </w:r>
    </w:p>
    <w:p w:rsidR="005E1FCB" w:rsidRPr="000B6DA3" w:rsidRDefault="005E1FCB" w:rsidP="005E1FCB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E1FCB" w:rsidRPr="000B6DA3" w:rsidRDefault="005E1FCB" w:rsidP="005E1F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 Gonçalves</w:t>
      </w:r>
      <w:r w:rsidRPr="000B6DA3">
        <w:rPr>
          <w:rFonts w:ascii="Arial" w:hAnsi="Arial" w:cs="Arial"/>
          <w:sz w:val="24"/>
          <w:szCs w:val="24"/>
        </w:rPr>
        <w:t xml:space="preserve">, </w:t>
      </w:r>
      <w:r w:rsidR="00332241">
        <w:rPr>
          <w:rFonts w:ascii="Arial" w:hAnsi="Arial" w:cs="Arial"/>
          <w:sz w:val="24"/>
          <w:szCs w:val="24"/>
        </w:rPr>
        <w:t>06</w:t>
      </w:r>
      <w:r w:rsidRPr="000B6DA3">
        <w:rPr>
          <w:rFonts w:ascii="Arial" w:hAnsi="Arial" w:cs="Arial"/>
          <w:sz w:val="24"/>
          <w:szCs w:val="24"/>
        </w:rPr>
        <w:t xml:space="preserve"> de </w:t>
      </w:r>
      <w:r w:rsidR="00332241">
        <w:rPr>
          <w:rFonts w:ascii="Arial" w:hAnsi="Arial" w:cs="Arial"/>
          <w:sz w:val="24"/>
          <w:szCs w:val="24"/>
        </w:rPr>
        <w:t>setembro</w:t>
      </w:r>
      <w:bookmarkStart w:id="2" w:name="_GoBack"/>
      <w:bookmarkEnd w:id="2"/>
      <w:r w:rsidRPr="000B6DA3">
        <w:rPr>
          <w:rFonts w:ascii="Arial" w:hAnsi="Arial" w:cs="Arial"/>
          <w:sz w:val="24"/>
          <w:szCs w:val="24"/>
        </w:rPr>
        <w:t xml:space="preserve"> de 2019.</w:t>
      </w:r>
    </w:p>
    <w:p w:rsidR="005E1FCB" w:rsidRDefault="005E1FCB" w:rsidP="005E1FCB">
      <w:pPr>
        <w:jc w:val="center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jc w:val="center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Renato Pereira Monteiro</w:t>
      </w:r>
    </w:p>
    <w:p w:rsidR="00886485" w:rsidRDefault="005E1FCB" w:rsidP="00E16F7D">
      <w:pPr>
        <w:jc w:val="center"/>
      </w:pPr>
      <w:r w:rsidRPr="000B6DA3">
        <w:rPr>
          <w:rFonts w:ascii="Arial" w:hAnsi="Arial" w:cs="Arial"/>
          <w:sz w:val="24"/>
          <w:szCs w:val="24"/>
        </w:rPr>
        <w:t>Diretor de Planejamento e Obras</w:t>
      </w:r>
    </w:p>
    <w:sectPr w:rsidR="008864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4A" w:rsidRDefault="000F0B4A" w:rsidP="000F0B4A">
      <w:pPr>
        <w:spacing w:after="0" w:line="240" w:lineRule="auto"/>
      </w:pPr>
      <w:r>
        <w:separator/>
      </w:r>
    </w:p>
  </w:endnote>
  <w:endnote w:type="continuationSeparator" w:id="0">
    <w:p w:rsidR="000F0B4A" w:rsidRDefault="000F0B4A" w:rsidP="000F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4A" w:rsidRDefault="000F0B4A" w:rsidP="000F0B4A">
      <w:pPr>
        <w:spacing w:after="0" w:line="240" w:lineRule="auto"/>
      </w:pPr>
      <w:r>
        <w:separator/>
      </w:r>
    </w:p>
  </w:footnote>
  <w:footnote w:type="continuationSeparator" w:id="0">
    <w:p w:rsidR="000F0B4A" w:rsidRDefault="000F0B4A" w:rsidP="000F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08" w:type="dxa"/>
      <w:tblLook w:val="04A0" w:firstRow="1" w:lastRow="0" w:firstColumn="1" w:lastColumn="0" w:noHBand="0" w:noVBand="1"/>
    </w:tblPr>
    <w:tblGrid>
      <w:gridCol w:w="2763"/>
      <w:gridCol w:w="4110"/>
      <w:gridCol w:w="2835"/>
    </w:tblGrid>
    <w:tr w:rsidR="000F0B4A" w:rsidTr="00B3320B">
      <w:tc>
        <w:tcPr>
          <w:tcW w:w="27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0B4A" w:rsidRDefault="000F0B4A" w:rsidP="000F0B4A"/>
        <w:tbl>
          <w:tblPr>
            <w:tblStyle w:val="Tabelacomgrade"/>
            <w:tblW w:w="253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1277"/>
          </w:tblGrid>
          <w:tr w:rsidR="000F0B4A" w:rsidTr="00B3320B">
            <w:tc>
              <w:tcPr>
                <w:tcW w:w="253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0F0B4A" w:rsidRDefault="000F0B4A" w:rsidP="000F0B4A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</w:t>
                </w:r>
              </w:p>
            </w:tc>
          </w:tr>
          <w:tr w:rsidR="000F0B4A" w:rsidTr="00B3320B">
            <w:tc>
              <w:tcPr>
                <w:tcW w:w="1260" w:type="dxa"/>
                <w:shd w:val="clear" w:color="auto" w:fill="auto"/>
                <w:tcMar>
                  <w:left w:w="103" w:type="dxa"/>
                </w:tcMar>
              </w:tcPr>
              <w:p w:rsidR="000F0B4A" w:rsidRDefault="000F0B4A" w:rsidP="000F0B4A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Fls.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nº</w:t>
                </w:r>
                <w:proofErr w:type="gramEnd"/>
              </w:p>
              <w:p w:rsidR="000F0B4A" w:rsidRDefault="000F0B4A" w:rsidP="000F0B4A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  <w:tcMar>
                  <w:left w:w="103" w:type="dxa"/>
                </w:tcMar>
              </w:tcPr>
              <w:p w:rsidR="000F0B4A" w:rsidRDefault="000F0B4A" w:rsidP="000F0B4A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5947A33" wp14:editId="4C20B22B">
                <wp:extent cx="742950" cy="742950"/>
                <wp:effectExtent l="0" t="0" r="0" b="0"/>
                <wp:docPr id="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0B4A" w:rsidRDefault="000F0B4A" w:rsidP="000F0B4A">
          <w:pPr>
            <w:rPr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6985" distL="114300" distR="122555" simplePos="0" relativeHeight="251659264" behindDoc="1" locked="0" layoutInCell="1" allowOverlap="1" wp14:anchorId="1D600BF1" wp14:editId="08B6DABF">
                <wp:simplePos x="0" y="0"/>
                <wp:positionH relativeFrom="margin">
                  <wp:posOffset>514985</wp:posOffset>
                </wp:positionH>
                <wp:positionV relativeFrom="paragraph">
                  <wp:posOffset>26670</wp:posOffset>
                </wp:positionV>
                <wp:extent cx="1249045" cy="678815"/>
                <wp:effectExtent l="0" t="0" r="8255" b="6985"/>
                <wp:wrapSquare wrapText="bothSides"/>
                <wp:docPr id="1" name="image03.png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3.png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F0B4A" w:rsidTr="00B3320B">
      <w:tc>
        <w:tcPr>
          <w:tcW w:w="97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F0B4A" w:rsidRDefault="000F0B4A" w:rsidP="000F0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0F0B4A" w:rsidRDefault="000F0B4A" w:rsidP="000F0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0F0B4A" w:rsidRDefault="000F0B4A" w:rsidP="000F0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Diretoria de Planejamento e Obras</w:t>
          </w:r>
        </w:p>
      </w:tc>
    </w:tr>
  </w:tbl>
  <w:p w:rsidR="000F0B4A" w:rsidRDefault="000F0B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5E0"/>
    <w:multiLevelType w:val="hybridMultilevel"/>
    <w:tmpl w:val="C5C21A44"/>
    <w:lvl w:ilvl="0" w:tplc="34A034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4D7296"/>
    <w:multiLevelType w:val="hybridMultilevel"/>
    <w:tmpl w:val="0338DBB2"/>
    <w:lvl w:ilvl="0" w:tplc="EBAA58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CB"/>
    <w:rsid w:val="000F0B4A"/>
    <w:rsid w:val="00332241"/>
    <w:rsid w:val="005E1FCB"/>
    <w:rsid w:val="006D27A6"/>
    <w:rsid w:val="00886485"/>
    <w:rsid w:val="00DE1099"/>
    <w:rsid w:val="00E16F7D"/>
    <w:rsid w:val="00E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7944"/>
  <w15:chartTrackingRefBased/>
  <w15:docId w15:val="{1841D769-669A-412E-8911-9FB2EF5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E1FCB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E1FCB"/>
  </w:style>
  <w:style w:type="table" w:styleId="Tabelacomgrade">
    <w:name w:val="Table Grid"/>
    <w:basedOn w:val="Tabelanormal"/>
    <w:uiPriority w:val="59"/>
    <w:rsid w:val="005E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E1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E1FCB"/>
  </w:style>
  <w:style w:type="paragraph" w:styleId="Cabealho">
    <w:name w:val="header"/>
    <w:basedOn w:val="Normal"/>
    <w:link w:val="CabealhoChar"/>
    <w:uiPriority w:val="99"/>
    <w:unhideWhenUsed/>
    <w:rsid w:val="000F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B4A"/>
  </w:style>
  <w:style w:type="paragraph" w:styleId="Textodebalo">
    <w:name w:val="Balloon Text"/>
    <w:basedOn w:val="Normal"/>
    <w:link w:val="TextodebaloChar"/>
    <w:uiPriority w:val="99"/>
    <w:semiHidden/>
    <w:unhideWhenUsed/>
    <w:rsid w:val="0033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1437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Pereira Monteiro</dc:creator>
  <cp:keywords/>
  <dc:description/>
  <cp:lastModifiedBy>Renato Pereira Monteiro</cp:lastModifiedBy>
  <cp:revision>4</cp:revision>
  <cp:lastPrinted>2019-09-06T19:50:00Z</cp:lastPrinted>
  <dcterms:created xsi:type="dcterms:W3CDTF">2019-08-21T19:06:00Z</dcterms:created>
  <dcterms:modified xsi:type="dcterms:W3CDTF">2019-09-06T19:50:00Z</dcterms:modified>
</cp:coreProperties>
</file>