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85" w:rsidRDefault="004743F3" w:rsidP="004743F3">
      <w:pPr>
        <w:jc w:val="center"/>
        <w:rPr>
          <w:b/>
        </w:rPr>
      </w:pPr>
      <w:r w:rsidRPr="004743F3">
        <w:rPr>
          <w:b/>
        </w:rPr>
        <w:t>ANEXO – CHEK</w:t>
      </w:r>
      <w:bookmarkStart w:id="0" w:name="_GoBack"/>
      <w:bookmarkEnd w:id="0"/>
      <w:r w:rsidRPr="004743F3">
        <w:rPr>
          <w:b/>
        </w:rPr>
        <w:t>LIST FISCAL ADMINISTRATIVO – DOCUMENTOS MEDIÇÃO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BE9">
        <w:rPr>
          <w:rFonts w:ascii="Times New Roman" w:hAnsi="Times New Roman" w:cs="Times New Roman"/>
          <w:sz w:val="20"/>
          <w:szCs w:val="20"/>
        </w:rPr>
        <w:t>Caberá ao fiscal administrativo do contrato a responsabilidade pela análise do conteúdo destes documentos e, somente após aprovação dos mesmos, o encaminhamento da Nota Fiscal ao gestor do contrato para autorização do pagamento.</w:t>
      </w:r>
    </w:p>
    <w:tbl>
      <w:tblPr>
        <w:tblStyle w:val="Tabelacomgrade"/>
        <w:tblW w:w="8569" w:type="dxa"/>
        <w:tblLook w:val="04A0" w:firstRow="1" w:lastRow="0" w:firstColumn="1" w:lastColumn="0" w:noHBand="0" w:noVBand="1"/>
      </w:tblPr>
      <w:tblGrid>
        <w:gridCol w:w="706"/>
        <w:gridCol w:w="4799"/>
        <w:gridCol w:w="1061"/>
        <w:gridCol w:w="979"/>
        <w:gridCol w:w="958"/>
        <w:gridCol w:w="66"/>
      </w:tblGrid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Processo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Licitação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Contrato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Medição nº</w:t>
            </w: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437BE9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508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DOCUMENTOS VERIFICADOS</w:t>
            </w:r>
          </w:p>
        </w:tc>
        <w:tc>
          <w:tcPr>
            <w:tcW w:w="236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SIM/NÃO</w:t>
            </w:r>
          </w:p>
        </w:tc>
        <w:tc>
          <w:tcPr>
            <w:tcW w:w="1001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1119" w:type="dxa"/>
            <w:gridSpan w:val="2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</w:p>
        </w:tc>
      </w:tr>
      <w:tr w:rsidR="00437BE9" w:rsidRPr="00437BE9" w:rsidTr="00437BE9">
        <w:tc>
          <w:tcPr>
            <w:tcW w:w="705" w:type="dxa"/>
          </w:tcPr>
          <w:p w:rsidR="00CD4045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Documentação hábil de cobrança (Nota Fiscal) devidamente preenchida. Obs.: A CONTRATADA deve informar no documento hábil de cobrança o nome completo da pessoa jurídica ou física, o CNPJ ou CPF, nome do Banco, nº da Agência e nº da conta para depósito, pelo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do crédito a que a CONTRATADA tem direito. Os dados retro mencionados, obrigatoriamente, devem ser da mesma pessoa física ou jurídica CONTRATADA.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Planilha de Medição, conforme modelo do 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contendo todos os serviços executados e assinada pelo Responsável Técnico e pelo representante da Contratada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GFIP – Guia de Recolhimento do Fundo de Garantia por Tempo de Serviço e Informações à Previdência Social completa e quitada, referente a este Contrato e seu respectivo comprovante de entrega, nos termos da legislação vigente.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GPS – Guia da Previdência Social quitada, acompanhada de comprovante de pagamento original ou cópia autenticada, com o valor indicado no relatório da GFIP e indicação da matrícula CEI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guia de recolhimento do Fundo de Garantia por Tempo de Serviço – FGTS do último recolhimento devido, devidamente quitada e autenticada, de conformidade com o demonstrativo de dados referentes ao FGTS/INSS, exclusivo para 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Folha de Pagamento Analítica dos funcionários da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Guia para recolhimento do ISSQN – Imposto sobre serviço de qualquer n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atureza – a ser quitada pelo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Se for dispensada de retenções, declaração a que se refere à IN RFB nº 1.234/2012, em duas vias, assinadas pelo representante legal, informando sua condição no documento fiscal, inclusive o enquadramento legal, sob pena de, se não o fizer, se sujeitar à retenção do imposto de renda e das contribuições sobre o valor total do documento fiscal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Comprovantes da manutenção das mesmas condições de habilitação exigidas na licitação (art. 55, XIII, Lei 8.666/93 e IN 02/10-SLTI).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3F3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Fiscal Administrativo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</w:t>
      </w:r>
    </w:p>
    <w:p w:rsid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Assinatura: ________________________________</w:t>
      </w:r>
    </w:p>
    <w:p w:rsidR="00437BE9" w:rsidRP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_____________________________________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743F3" w:rsidRPr="00437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3"/>
    <w:rsid w:val="00437BE9"/>
    <w:rsid w:val="004743F3"/>
    <w:rsid w:val="00611ABF"/>
    <w:rsid w:val="00886485"/>
    <w:rsid w:val="00CD4045"/>
    <w:rsid w:val="00DE1099"/>
    <w:rsid w:val="00E40A12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A58C-3F12-49BB-855E-125C858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Renato Pereira Monteiro</cp:lastModifiedBy>
  <cp:revision>3</cp:revision>
  <dcterms:created xsi:type="dcterms:W3CDTF">2019-08-21T20:06:00Z</dcterms:created>
  <dcterms:modified xsi:type="dcterms:W3CDTF">2019-08-28T16:41:00Z</dcterms:modified>
</cp:coreProperties>
</file>