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5BF255DD" w14:textId="633D96E8" w:rsidR="00B5370B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2092845" w:history="1">
            <w:r w:rsidR="00B5370B" w:rsidRPr="00BA74F1">
              <w:rPr>
                <w:rStyle w:val="Hyperlink"/>
                <w:noProof/>
              </w:rPr>
              <w:t>CAPÍTULO 11</w:t>
            </w:r>
            <w:r w:rsidR="00B5370B">
              <w:rPr>
                <w:noProof/>
                <w:webHidden/>
              </w:rPr>
              <w:tab/>
            </w:r>
            <w:r w:rsidR="00B5370B">
              <w:rPr>
                <w:noProof/>
                <w:webHidden/>
              </w:rPr>
              <w:fldChar w:fldCharType="begin"/>
            </w:r>
            <w:r w:rsidR="00B5370B">
              <w:rPr>
                <w:noProof/>
                <w:webHidden/>
              </w:rPr>
              <w:instrText xml:space="preserve"> PAGEREF _Toc2092845 \h </w:instrText>
            </w:r>
            <w:r w:rsidR="00B5370B">
              <w:rPr>
                <w:noProof/>
                <w:webHidden/>
              </w:rPr>
            </w:r>
            <w:r w:rsidR="00B5370B">
              <w:rPr>
                <w:noProof/>
                <w:webHidden/>
              </w:rPr>
              <w:fldChar w:fldCharType="separate"/>
            </w:r>
            <w:r w:rsidR="00B5370B">
              <w:rPr>
                <w:noProof/>
                <w:webHidden/>
              </w:rPr>
              <w:t>3</w:t>
            </w:r>
            <w:r w:rsidR="00B5370B">
              <w:rPr>
                <w:noProof/>
                <w:webHidden/>
              </w:rPr>
              <w:fldChar w:fldCharType="end"/>
            </w:r>
          </w:hyperlink>
        </w:p>
        <w:p w14:paraId="7AD4DE37" w14:textId="78210F4D" w:rsidR="00B5370B" w:rsidRDefault="00B5370B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2846" w:history="1">
            <w:r w:rsidRPr="00BA74F1">
              <w:rPr>
                <w:rStyle w:val="Hyperlink"/>
                <w:noProof/>
              </w:rPr>
              <w:t>CAPACIDADE E SUSTENTABILIDADE FINANCEIRA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DE980" w14:textId="004B4994" w:rsidR="00B5370B" w:rsidRDefault="00B5370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2847" w:history="1">
            <w:r w:rsidRPr="00BA74F1">
              <w:rPr>
                <w:rStyle w:val="Hyperlink"/>
                <w:rFonts w:eastAsiaTheme="minorHAnsi"/>
                <w:noProof/>
                <w:lang w:eastAsia="en-US"/>
              </w:rPr>
              <w:t>11.1. Previsão Orçamentária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3C7B6" w14:textId="6BB603DC" w:rsidR="00B5370B" w:rsidRDefault="00B5370B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2848" w:history="1">
            <w:r w:rsidRPr="00BA74F1">
              <w:rPr>
                <w:rStyle w:val="Hyperlink"/>
                <w:rFonts w:eastAsiaTheme="minorHAnsi"/>
                <w:noProof/>
                <w:lang w:eastAsia="en-US"/>
              </w:rPr>
              <w:t>11.2 Escritório de Projetos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7AF674F8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557E9D9B" w14:textId="4F415F6B" w:rsidR="00A47729" w:rsidRDefault="00A47729" w:rsidP="005B524C"/>
    <w:p w14:paraId="19F673F3" w14:textId="1ECAF038" w:rsidR="00E83339" w:rsidRDefault="00E83339" w:rsidP="005B524C"/>
    <w:p w14:paraId="6A6E5DFF" w14:textId="2718EEAF" w:rsidR="00E83339" w:rsidRDefault="00E83339" w:rsidP="005B524C"/>
    <w:p w14:paraId="02896A66" w14:textId="6CC36EB8" w:rsidR="00E83339" w:rsidRDefault="00E83339" w:rsidP="005B524C"/>
    <w:p w14:paraId="207B745F" w14:textId="3B2C1DBB" w:rsidR="00E83339" w:rsidRDefault="00E83339" w:rsidP="005B524C"/>
    <w:p w14:paraId="267D51C6" w14:textId="30B6CD4E" w:rsidR="00E83339" w:rsidRDefault="00E83339" w:rsidP="005B524C"/>
    <w:p w14:paraId="6FEF01E6" w14:textId="3F28C938" w:rsidR="00E83339" w:rsidRDefault="00E83339" w:rsidP="005B524C"/>
    <w:p w14:paraId="1ABC3C24" w14:textId="425BFFE7" w:rsidR="00E83339" w:rsidRDefault="00E83339" w:rsidP="005B524C"/>
    <w:p w14:paraId="5E751E0D" w14:textId="4E0ED075" w:rsidR="00E83339" w:rsidRDefault="00E83339" w:rsidP="005B524C"/>
    <w:p w14:paraId="295FFC63" w14:textId="62621A4F" w:rsidR="00E83339" w:rsidRDefault="00E83339" w:rsidP="005B524C"/>
    <w:p w14:paraId="68983950" w14:textId="32DBB27E" w:rsidR="00E83339" w:rsidRDefault="00E83339" w:rsidP="005B524C"/>
    <w:p w14:paraId="315B4BFD" w14:textId="1DFFC2E1" w:rsidR="00E83339" w:rsidRDefault="00E83339" w:rsidP="005B524C"/>
    <w:p w14:paraId="77E3EF40" w14:textId="16EC567F" w:rsidR="00683EE5" w:rsidRDefault="00683EE5" w:rsidP="005B524C"/>
    <w:p w14:paraId="03BF1304" w14:textId="125FF868" w:rsidR="001955AC" w:rsidRDefault="001955AC" w:rsidP="005B524C"/>
    <w:p w14:paraId="06C974F8" w14:textId="7998F0A2" w:rsidR="001955AC" w:rsidRDefault="001955AC" w:rsidP="005B524C"/>
    <w:p w14:paraId="7B546CEF" w14:textId="70E41737" w:rsidR="001955AC" w:rsidRDefault="001955AC" w:rsidP="005B524C"/>
    <w:p w14:paraId="795B85B3" w14:textId="77777777" w:rsidR="001955AC" w:rsidRDefault="001955AC" w:rsidP="005B524C"/>
    <w:p w14:paraId="65388624" w14:textId="77777777" w:rsidR="00C21009" w:rsidRDefault="00C21009" w:rsidP="00C21009">
      <w:pPr>
        <w:spacing w:line="276" w:lineRule="auto"/>
        <w:jc w:val="center"/>
      </w:pPr>
      <w:r>
        <w:lastRenderedPageBreak/>
        <w:t>Lista de Figuras</w:t>
      </w:r>
    </w:p>
    <w:p w14:paraId="447F1275" w14:textId="77777777" w:rsidR="00C21009" w:rsidRDefault="00C21009" w:rsidP="00C21009">
      <w:pPr>
        <w:spacing w:line="276" w:lineRule="auto"/>
        <w:jc w:val="center"/>
      </w:pPr>
    </w:p>
    <w:p w14:paraId="10850CD5" w14:textId="27781487" w:rsidR="00B5370B" w:rsidRDefault="001D5AC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2092850" w:history="1">
        <w:r w:rsidR="00B5370B" w:rsidRPr="00FE7549">
          <w:rPr>
            <w:rStyle w:val="Hyperlink"/>
            <w:noProof/>
          </w:rPr>
          <w:t>Figura 6 - Ciclo de elaboração da Matriz CONIF</w:t>
        </w:r>
        <w:r w:rsidR="00B5370B">
          <w:rPr>
            <w:noProof/>
            <w:webHidden/>
          </w:rPr>
          <w:tab/>
        </w:r>
        <w:r w:rsidR="00B5370B">
          <w:rPr>
            <w:noProof/>
            <w:webHidden/>
          </w:rPr>
          <w:fldChar w:fldCharType="begin"/>
        </w:r>
        <w:r w:rsidR="00B5370B">
          <w:rPr>
            <w:noProof/>
            <w:webHidden/>
          </w:rPr>
          <w:instrText xml:space="preserve"> PAGEREF _Toc2092850 \h </w:instrText>
        </w:r>
        <w:r w:rsidR="00B5370B">
          <w:rPr>
            <w:noProof/>
            <w:webHidden/>
          </w:rPr>
        </w:r>
        <w:r w:rsidR="00B5370B">
          <w:rPr>
            <w:noProof/>
            <w:webHidden/>
          </w:rPr>
          <w:fldChar w:fldCharType="separate"/>
        </w:r>
        <w:r w:rsidR="00B5370B">
          <w:rPr>
            <w:noProof/>
            <w:webHidden/>
          </w:rPr>
          <w:t>5</w:t>
        </w:r>
        <w:r w:rsidR="00B5370B">
          <w:rPr>
            <w:noProof/>
            <w:webHidden/>
          </w:rPr>
          <w:fldChar w:fldCharType="end"/>
        </w:r>
      </w:hyperlink>
    </w:p>
    <w:p w14:paraId="24B09278" w14:textId="34112354" w:rsidR="005B524C" w:rsidRDefault="001D5ACF" w:rsidP="005B524C">
      <w:pPr>
        <w:spacing w:line="276" w:lineRule="auto"/>
        <w:jc w:val="center"/>
      </w:pPr>
      <w:r>
        <w:fldChar w:fldCharType="end"/>
      </w:r>
    </w:p>
    <w:p w14:paraId="0A618007" w14:textId="3FD2A0B6" w:rsidR="007821D2" w:rsidRDefault="007821D2" w:rsidP="005B524C">
      <w:pPr>
        <w:spacing w:line="276" w:lineRule="auto"/>
        <w:jc w:val="center"/>
      </w:pPr>
      <w:r w:rsidRPr="004725CF">
        <w:t>Lista de Quadros</w:t>
      </w:r>
    </w:p>
    <w:bookmarkStart w:id="1" w:name="_GoBack"/>
    <w:bookmarkEnd w:id="1"/>
    <w:p w14:paraId="039E02F3" w14:textId="6ED7CC0A" w:rsidR="00B5370B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b/>
          <w:sz w:val="32"/>
          <w:szCs w:val="48"/>
        </w:rPr>
        <w:fldChar w:fldCharType="begin"/>
      </w:r>
      <w:r>
        <w:rPr>
          <w:b/>
          <w:sz w:val="32"/>
          <w:szCs w:val="48"/>
        </w:rPr>
        <w:instrText xml:space="preserve"> TOC \h \z \c "Quadro" </w:instrText>
      </w:r>
      <w:r>
        <w:rPr>
          <w:b/>
          <w:sz w:val="32"/>
          <w:szCs w:val="48"/>
        </w:rPr>
        <w:fldChar w:fldCharType="separate"/>
      </w:r>
      <w:hyperlink w:anchor="_Toc2092854" w:history="1">
        <w:r w:rsidR="00B5370B" w:rsidRPr="00A22712">
          <w:rPr>
            <w:rStyle w:val="Hyperlink"/>
            <w:noProof/>
          </w:rPr>
          <w:t>Quadro 146 - Projeção Orçamentária 2019-2023</w:t>
        </w:r>
        <w:r w:rsidR="00B5370B">
          <w:rPr>
            <w:noProof/>
            <w:webHidden/>
          </w:rPr>
          <w:tab/>
        </w:r>
        <w:r w:rsidR="00B5370B">
          <w:rPr>
            <w:noProof/>
            <w:webHidden/>
          </w:rPr>
          <w:fldChar w:fldCharType="begin"/>
        </w:r>
        <w:r w:rsidR="00B5370B">
          <w:rPr>
            <w:noProof/>
            <w:webHidden/>
          </w:rPr>
          <w:instrText xml:space="preserve"> PAGEREF _Toc2092854 \h </w:instrText>
        </w:r>
        <w:r w:rsidR="00B5370B">
          <w:rPr>
            <w:noProof/>
            <w:webHidden/>
          </w:rPr>
        </w:r>
        <w:r w:rsidR="00B5370B">
          <w:rPr>
            <w:noProof/>
            <w:webHidden/>
          </w:rPr>
          <w:fldChar w:fldCharType="separate"/>
        </w:r>
        <w:r w:rsidR="00B5370B">
          <w:rPr>
            <w:noProof/>
            <w:webHidden/>
          </w:rPr>
          <w:t>6</w:t>
        </w:r>
        <w:r w:rsidR="00B5370B">
          <w:rPr>
            <w:noProof/>
            <w:webHidden/>
          </w:rPr>
          <w:fldChar w:fldCharType="end"/>
        </w:r>
      </w:hyperlink>
    </w:p>
    <w:p w14:paraId="5DBAAFD9" w14:textId="16ACF0C9" w:rsidR="00A720FF" w:rsidRDefault="00041A71" w:rsidP="00E32A64">
      <w:pPr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</w:rPr>
        <w:fldChar w:fldCharType="end"/>
      </w:r>
    </w:p>
    <w:p w14:paraId="3E8E562F" w14:textId="2008ACFC" w:rsidR="00FD1F4A" w:rsidRPr="00FD1F4A" w:rsidRDefault="00FD1F4A" w:rsidP="0028547F">
      <w:pPr>
        <w:pStyle w:val="Ttulo1"/>
        <w:jc w:val="center"/>
      </w:pPr>
      <w:bookmarkStart w:id="2" w:name="_Toc2092845"/>
      <w:bookmarkEnd w:id="0"/>
      <w:r w:rsidRPr="00FD1F4A">
        <w:lastRenderedPageBreak/>
        <w:t>CAPÍTULO 11</w:t>
      </w:r>
      <w:bookmarkEnd w:id="2"/>
    </w:p>
    <w:p w14:paraId="758D284E" w14:textId="045E8713" w:rsidR="00C67031" w:rsidRPr="00636978" w:rsidRDefault="00FD1F4A" w:rsidP="0028547F">
      <w:pPr>
        <w:pStyle w:val="Ttulo1"/>
        <w:jc w:val="center"/>
      </w:pPr>
      <w:bookmarkStart w:id="3" w:name="_Toc2092846"/>
      <w:r w:rsidRPr="00636978">
        <w:t xml:space="preserve">CAPACIDADE E </w:t>
      </w:r>
      <w:r w:rsidR="00B245CD">
        <w:t>SUSTENTABILIDADE</w:t>
      </w:r>
      <w:r w:rsidRPr="00636978">
        <w:t xml:space="preserve"> FINANCEIRA</w:t>
      </w:r>
      <w:bookmarkEnd w:id="3"/>
    </w:p>
    <w:p w14:paraId="4350335E" w14:textId="77777777" w:rsidR="00FD1F4A" w:rsidRDefault="00FD1F4A" w:rsidP="0028547F">
      <w:pPr>
        <w:spacing w:before="200"/>
        <w:ind w:firstLine="720"/>
        <w:jc w:val="both"/>
      </w:pPr>
    </w:p>
    <w:p w14:paraId="76CF80E0" w14:textId="2265461B" w:rsidR="00291141" w:rsidRPr="00291141" w:rsidRDefault="00291141" w:rsidP="0028547F">
      <w:pPr>
        <w:ind w:firstLine="720"/>
        <w:jc w:val="both"/>
      </w:pPr>
      <w:r w:rsidRPr="00291141">
        <w:t xml:space="preserve">O IFRS é uma Autarquia Federal, vinculada ao </w:t>
      </w:r>
      <w:r w:rsidR="00EC695D">
        <w:t>MEC</w:t>
      </w:r>
      <w:r w:rsidRPr="00291141">
        <w:t xml:space="preserve">, e, como tal, sua </w:t>
      </w:r>
      <w:r w:rsidR="00B245CD">
        <w:t>Sustentabilidade</w:t>
      </w:r>
      <w:r w:rsidRPr="00291141">
        <w:t xml:space="preserve"> financeira é viabilizada com recursos repassados pelo Tesouro Nacional. Assim, os recursos necessários para arcar com as despesas de custeio, investimentos, pessoal ativo, inativos e pensionistas são consignados anualmente no orçamento da Instituição.</w:t>
      </w:r>
    </w:p>
    <w:p w14:paraId="11900884" w14:textId="223F318F" w:rsidR="00291141" w:rsidRPr="00291141" w:rsidRDefault="00291141" w:rsidP="0028547F">
      <w:pPr>
        <w:ind w:firstLine="720"/>
        <w:jc w:val="both"/>
      </w:pPr>
      <w:r w:rsidRPr="00291141">
        <w:t xml:space="preserve">O orçamento público é composto por três instrumentos de planejamento previstos na Constituição Federal: o plano plurianual (PPA), de nível estratégico, que estabelece a estratégia de desenvolvimento do país e possui vigência de quatro anos, sendo construído no primeiro ano de cada governo eleito; a Lei de Diretrizes Orçamentárias, de nível tático, que é o norteador das prioridades anuais; </w:t>
      </w:r>
      <w:r w:rsidR="00EC695D">
        <w:t xml:space="preserve"> </w:t>
      </w:r>
      <w:r w:rsidRPr="00291141">
        <w:t xml:space="preserve">a Lei Orçamentária Anual (LOA), de nível operacional, que estima a receita e fixa a despesa da União para cada exercício financeiro, que tem duração de 12 meses e coincide com o ano civil. O IFRS é parte integrante do Orçamento Geral da União e, assim, </w:t>
      </w:r>
      <w:proofErr w:type="spellStart"/>
      <w:r w:rsidRPr="00291141">
        <w:t>obedece</w:t>
      </w:r>
      <w:proofErr w:type="spellEnd"/>
      <w:r w:rsidRPr="00291141">
        <w:t xml:space="preserve"> às regras impostas pela legislação pertinente.</w:t>
      </w:r>
    </w:p>
    <w:p w14:paraId="5DA35C3C" w14:textId="385F4DD5" w:rsidR="00291141" w:rsidRPr="00291141" w:rsidRDefault="00291141" w:rsidP="0028547F">
      <w:pPr>
        <w:ind w:firstLine="720"/>
        <w:jc w:val="both"/>
      </w:pPr>
      <w:r w:rsidRPr="00291141">
        <w:t>As despesas do IFRS previstos na Lei Orçamentária Anual estão classificadas em três grupos de natureza de despesa: Pessoal e Encargos Sociais, Investimentos e Outras Despesas Correntes. O orçamento para despesas de pessoal é definido a partir de projeções realizadas pela Subsecretaria de Planejamento e Orçamento do Ministério da Educação (SPO/MEC). O valor disponível para as despesas de investimento t</w:t>
      </w:r>
      <w:r w:rsidR="00EC695D">
        <w:t>e</w:t>
      </w:r>
      <w:r w:rsidR="00FF7E89">
        <w:t>m sido definido</w:t>
      </w:r>
      <w:r w:rsidRPr="00291141">
        <w:t xml:space="preserve"> pela SETEC/MEC. Já o valor disponível para as outras despesas correntes, de custeio da </w:t>
      </w:r>
      <w:r w:rsidR="00EC695D">
        <w:t>I</w:t>
      </w:r>
      <w:r w:rsidRPr="00291141">
        <w:t>nstituição, é definido a partir da Matriz Orçamentária do Conselho Nacional das Instituições da Rede Federal de Educação Profissional, Científica e Tecnológica (</w:t>
      </w:r>
      <w:r w:rsidR="00EC695D" w:rsidRPr="00291141">
        <w:t>CONIF</w:t>
      </w:r>
      <w:r w:rsidRPr="00291141">
        <w:t>).</w:t>
      </w:r>
    </w:p>
    <w:p w14:paraId="5F16510C" w14:textId="41579AC0" w:rsidR="00291141" w:rsidRPr="00291141" w:rsidRDefault="00291141" w:rsidP="0028547F">
      <w:pPr>
        <w:ind w:firstLine="720"/>
        <w:jc w:val="both"/>
      </w:pPr>
      <w:r w:rsidRPr="00291141">
        <w:t xml:space="preserve">A Matriz </w:t>
      </w:r>
      <w:r w:rsidR="00EC695D" w:rsidRPr="00291141">
        <w:t>CONIF</w:t>
      </w:r>
      <w:r w:rsidRPr="00291141">
        <w:t xml:space="preserve"> é a regra para a divisão do orçamento previsto para a Rede Federal de Educação Profissional e Tecnológica entre os </w:t>
      </w:r>
      <w:proofErr w:type="spellStart"/>
      <w:r w:rsidR="00EC695D">
        <w:t>IFs</w:t>
      </w:r>
      <w:proofErr w:type="spellEnd"/>
      <w:r w:rsidRPr="00291141">
        <w:t xml:space="preserve">, </w:t>
      </w:r>
      <w:proofErr w:type="spellStart"/>
      <w:r w:rsidR="00EC695D" w:rsidRPr="00291141">
        <w:t>C</w:t>
      </w:r>
      <w:r w:rsidR="00EC695D">
        <w:t>EFET</w:t>
      </w:r>
      <w:r w:rsidR="00EC695D" w:rsidRPr="00291141">
        <w:t>s</w:t>
      </w:r>
      <w:proofErr w:type="spellEnd"/>
      <w:r w:rsidR="00EC695D" w:rsidRPr="00291141">
        <w:t xml:space="preserve"> </w:t>
      </w:r>
      <w:r w:rsidRPr="00291141">
        <w:t>e Colégio Pedro II. A estrutura des</w:t>
      </w:r>
      <w:r w:rsidR="00EC695D">
        <w:t>s</w:t>
      </w:r>
      <w:r w:rsidRPr="00291141">
        <w:t>a matriz é composta por blocos, com montantes previamente definidos para cada bloco:</w:t>
      </w:r>
    </w:p>
    <w:p w14:paraId="76301EBC" w14:textId="77777777" w:rsidR="00291141" w:rsidRPr="00291141" w:rsidRDefault="00291141" w:rsidP="0028547F">
      <w:pPr>
        <w:ind w:firstLine="720"/>
        <w:jc w:val="both"/>
      </w:pPr>
      <w:r w:rsidRPr="00291141">
        <w:t xml:space="preserve">- </w:t>
      </w:r>
      <w:proofErr w:type="gramStart"/>
      <w:r w:rsidRPr="00291141">
        <w:rPr>
          <w:i/>
          <w:iCs/>
        </w:rPr>
        <w:t>campi</w:t>
      </w:r>
      <w:r w:rsidRPr="00291141">
        <w:t xml:space="preserve"> </w:t>
      </w:r>
      <w:proofErr w:type="spellStart"/>
      <w:r w:rsidRPr="00291141">
        <w:t>pré</w:t>
      </w:r>
      <w:proofErr w:type="spellEnd"/>
      <w:r w:rsidRPr="00291141">
        <w:t>-expansão</w:t>
      </w:r>
      <w:proofErr w:type="gramEnd"/>
      <w:r w:rsidRPr="00291141">
        <w:t xml:space="preserve"> (com mais de cinco anos de funcionamento autorizado pelo MEC);</w:t>
      </w:r>
    </w:p>
    <w:p w14:paraId="2F180949" w14:textId="77777777" w:rsidR="00291141" w:rsidRPr="00291141" w:rsidRDefault="00291141" w:rsidP="0028547F">
      <w:pPr>
        <w:ind w:firstLine="720"/>
        <w:jc w:val="both"/>
      </w:pPr>
      <w:r w:rsidRPr="00291141">
        <w:t xml:space="preserve">- </w:t>
      </w:r>
      <w:proofErr w:type="gramStart"/>
      <w:r w:rsidRPr="00291141">
        <w:rPr>
          <w:i/>
          <w:iCs/>
        </w:rPr>
        <w:t>campi</w:t>
      </w:r>
      <w:proofErr w:type="gramEnd"/>
      <w:r w:rsidRPr="00291141">
        <w:t xml:space="preserve"> expansão (com menos de cinco anos de funcionamento autorizado pelo MEC);</w:t>
      </w:r>
    </w:p>
    <w:p w14:paraId="4828FA14" w14:textId="58D887B3" w:rsidR="00291141" w:rsidRPr="00291141" w:rsidRDefault="00291141" w:rsidP="0028547F">
      <w:pPr>
        <w:ind w:firstLine="720"/>
        <w:jc w:val="both"/>
      </w:pPr>
      <w:r w:rsidRPr="00291141">
        <w:lastRenderedPageBreak/>
        <w:t xml:space="preserve">- </w:t>
      </w:r>
      <w:r w:rsidR="00EC695D">
        <w:t>R</w:t>
      </w:r>
      <w:r w:rsidRPr="00291141">
        <w:t>eitoria;</w:t>
      </w:r>
    </w:p>
    <w:p w14:paraId="670EB2D2" w14:textId="05DAB09A" w:rsidR="00291141" w:rsidRPr="00291141" w:rsidRDefault="00291141" w:rsidP="0028547F">
      <w:pPr>
        <w:ind w:firstLine="720"/>
        <w:jc w:val="both"/>
      </w:pPr>
      <w:r w:rsidRPr="00291141">
        <w:t xml:space="preserve">- </w:t>
      </w:r>
      <w:r w:rsidR="00EC695D">
        <w:t>AE</w:t>
      </w:r>
      <w:r w:rsidRPr="00291141">
        <w:t>;</w:t>
      </w:r>
    </w:p>
    <w:p w14:paraId="39EF0F29" w14:textId="2441B0C9" w:rsidR="00291141" w:rsidRPr="00291141" w:rsidRDefault="00291141" w:rsidP="0028547F">
      <w:pPr>
        <w:ind w:firstLine="720"/>
        <w:jc w:val="both"/>
      </w:pPr>
      <w:r w:rsidRPr="00291141">
        <w:t xml:space="preserve">- </w:t>
      </w:r>
      <w:proofErr w:type="spellStart"/>
      <w:r w:rsidR="00EC695D">
        <w:t>EaD</w:t>
      </w:r>
      <w:proofErr w:type="spellEnd"/>
      <w:r w:rsidRPr="00291141">
        <w:t>;</w:t>
      </w:r>
    </w:p>
    <w:p w14:paraId="23256ED0" w14:textId="77777777" w:rsidR="00291141" w:rsidRPr="00291141" w:rsidRDefault="00291141" w:rsidP="0028547F">
      <w:pPr>
        <w:ind w:firstLine="720"/>
        <w:jc w:val="both"/>
      </w:pPr>
      <w:r w:rsidRPr="00291141">
        <w:t>- Pesquisa Aplicada, Inovação Tecnológica e Extensão Tecnológica.</w:t>
      </w:r>
    </w:p>
    <w:p w14:paraId="6E18F003" w14:textId="58614113" w:rsidR="00291141" w:rsidRPr="00291141" w:rsidRDefault="00291141" w:rsidP="0028547F">
      <w:pPr>
        <w:ind w:firstLine="720"/>
        <w:jc w:val="both"/>
      </w:pPr>
      <w:r w:rsidRPr="00291141">
        <w:t xml:space="preserve">Para a definição do orçamento dos </w:t>
      </w:r>
      <w:r w:rsidRPr="003202A3">
        <w:rPr>
          <w:i/>
        </w:rPr>
        <w:t>campi</w:t>
      </w:r>
      <w:r w:rsidRPr="00291141">
        <w:t xml:space="preserve">, são utilizadas, como base, informações referentes a matrículas, cursos e </w:t>
      </w:r>
      <w:r w:rsidRPr="003202A3">
        <w:rPr>
          <w:i/>
        </w:rPr>
        <w:t>campi</w:t>
      </w:r>
      <w:r w:rsidRPr="00291141">
        <w:t xml:space="preserve"> extraídos do Sistema Nacional de Informações da Educação Profissional e Tecnológica. A partir des</w:t>
      </w:r>
      <w:r w:rsidR="00EC695D">
        <w:t>s</w:t>
      </w:r>
      <w:r w:rsidRPr="00291141">
        <w:t xml:space="preserve">e sistema são extraídos o número de matrículas de cada instituição, que, posteriormente, passam por equalização, ponderação e bonificação, chegando a uma variável chamada Matrículas Totais, conforme pode ser verificado na </w:t>
      </w:r>
      <w:r w:rsidRPr="00571437">
        <w:t xml:space="preserve">Figura </w:t>
      </w:r>
      <w:r w:rsidR="00571437" w:rsidRPr="00571437">
        <w:t>6</w:t>
      </w:r>
    </w:p>
    <w:p w14:paraId="4DBC83BF" w14:textId="77777777" w:rsidR="00291141" w:rsidRPr="00291141" w:rsidRDefault="00291141" w:rsidP="0028547F">
      <w:pPr>
        <w:ind w:firstLine="720"/>
        <w:jc w:val="both"/>
      </w:pPr>
      <w:r w:rsidRPr="00291141">
        <w:t>A equalização é realizada para equiparar todos os ciclos de matrículas de acordo com suas respectivas cargas horárias em relação à carga horária padrão de 800 horas anuais e 200 dias ativos do ciclo no período analisado.</w:t>
      </w:r>
    </w:p>
    <w:p w14:paraId="54171C83" w14:textId="3AB6A4A7" w:rsidR="00291141" w:rsidRPr="00291141" w:rsidRDefault="00291141" w:rsidP="0028547F">
      <w:pPr>
        <w:ind w:firstLine="720"/>
        <w:jc w:val="both"/>
      </w:pPr>
      <w:r w:rsidRPr="00291141">
        <w:t>Na ponderação são aplicados pesos atribuídos a cada curso sobre as matrículas equalizadas. Es</w:t>
      </w:r>
      <w:r w:rsidR="00EC695D">
        <w:t>s</w:t>
      </w:r>
      <w:r w:rsidRPr="00291141">
        <w:t xml:space="preserve">es pesos dependem do número de laboratórios profissionalizantes previstos para cada curso conforme a última versão do Catálogo Nacional de Cursos Técnicos e o Catálogo Nacional de Cursos Superiores de Tecnologia. Para cursos que possuem um laboratório é atribuído peso 1,0; dois laboratórios, peso 1,5; três laboratórios, peso 2,0; quatro ou mais laboratórios, peso 2,5. Além disso, foi estipulado que todos os cursos de </w:t>
      </w:r>
      <w:r w:rsidR="00AC562F">
        <w:t>FIC</w:t>
      </w:r>
      <w:r w:rsidRPr="00291141">
        <w:t xml:space="preserve"> possuem peso 1,0</w:t>
      </w:r>
      <w:r w:rsidR="00AC562F">
        <w:t>;</w:t>
      </w:r>
      <w:r w:rsidRPr="00291141">
        <w:t xml:space="preserve"> Cursos de Licenciatura e P</w:t>
      </w:r>
      <w:r w:rsidR="00AC562F" w:rsidRPr="00291141">
        <w:t>ROEJA</w:t>
      </w:r>
      <w:r w:rsidRPr="00291141">
        <w:t xml:space="preserve"> possuem peso 2,5</w:t>
      </w:r>
      <w:r w:rsidR="00AC562F">
        <w:t>;</w:t>
      </w:r>
      <w:r w:rsidRPr="00291141">
        <w:t xml:space="preserve"> cursos de pós-graduação </w:t>
      </w:r>
      <w:r w:rsidRPr="00291141">
        <w:rPr>
          <w:i/>
          <w:iCs/>
        </w:rPr>
        <w:t>stricto sensu</w:t>
      </w:r>
      <w:r w:rsidRPr="00291141">
        <w:t>, peso 3,75.</w:t>
      </w:r>
    </w:p>
    <w:p w14:paraId="15ADBD89" w14:textId="77777777" w:rsidR="00291141" w:rsidRPr="00291141" w:rsidRDefault="00291141" w:rsidP="0028547F">
      <w:pPr>
        <w:ind w:firstLine="720"/>
        <w:jc w:val="both"/>
      </w:pPr>
      <w:r w:rsidRPr="00291141">
        <w:t>Como última etapa, é aplicada uma bonificação de 50%, após equalização e ponderação, para cursos da área agropecuária, devido à necessidade de manutenção em condições de fazenda.</w:t>
      </w:r>
    </w:p>
    <w:p w14:paraId="454CF27B" w14:textId="77777777" w:rsidR="00291141" w:rsidRPr="00291141" w:rsidRDefault="00291141" w:rsidP="0028547F">
      <w:pPr>
        <w:ind w:firstLine="720"/>
        <w:jc w:val="both"/>
      </w:pPr>
      <w:r w:rsidRPr="00291141">
        <w:t xml:space="preserve">Para os </w:t>
      </w:r>
      <w:r w:rsidRPr="003202A3">
        <w:rPr>
          <w:i/>
        </w:rPr>
        <w:t>campi</w:t>
      </w:r>
      <w:r w:rsidRPr="00291141">
        <w:t xml:space="preserve"> </w:t>
      </w:r>
      <w:proofErr w:type="spellStart"/>
      <w:r w:rsidRPr="00291141">
        <w:t>pré</w:t>
      </w:r>
      <w:proofErr w:type="spellEnd"/>
      <w:r w:rsidRPr="00291141">
        <w:t xml:space="preserve">-expansão, o valor do orçamento é proporcional às matrículas totais e para os </w:t>
      </w:r>
      <w:r w:rsidRPr="003202A3">
        <w:rPr>
          <w:i/>
        </w:rPr>
        <w:t xml:space="preserve">campi </w:t>
      </w:r>
      <w:r w:rsidRPr="00291141">
        <w:t>expansão, há um piso orçamentário e um complemento por matrícula total.</w:t>
      </w:r>
    </w:p>
    <w:p w14:paraId="33FF3DFD" w14:textId="0BD771F7" w:rsidR="00291141" w:rsidRPr="00291141" w:rsidRDefault="00291141" w:rsidP="0028547F">
      <w:pPr>
        <w:ind w:firstLine="720"/>
        <w:jc w:val="both"/>
      </w:pPr>
      <w:r w:rsidRPr="00291141">
        <w:t xml:space="preserve">O orçamento das reitorias é definido a partir do número de </w:t>
      </w:r>
      <w:r w:rsidRPr="003202A3">
        <w:rPr>
          <w:i/>
        </w:rPr>
        <w:t>campi</w:t>
      </w:r>
      <w:r w:rsidRPr="00291141">
        <w:t xml:space="preserve"> do </w:t>
      </w:r>
      <w:r w:rsidR="00AC562F">
        <w:t>I</w:t>
      </w:r>
      <w:r w:rsidRPr="00291141">
        <w:t xml:space="preserve">nstituto. </w:t>
      </w:r>
    </w:p>
    <w:p w14:paraId="61F9DC90" w14:textId="77777777" w:rsidR="00291141" w:rsidRPr="00291141" w:rsidRDefault="00291141" w:rsidP="0028547F">
      <w:pPr>
        <w:ind w:firstLine="720"/>
        <w:jc w:val="both"/>
      </w:pPr>
      <w:r w:rsidRPr="00291141">
        <w:rPr>
          <w:noProof/>
        </w:rPr>
        <w:lastRenderedPageBreak/>
        <w:drawing>
          <wp:inline distT="0" distB="0" distL="0" distR="0" wp14:anchorId="6EB03CBF" wp14:editId="7A175748">
            <wp:extent cx="5734050" cy="3057525"/>
            <wp:effectExtent l="0" t="0" r="0" b="9525"/>
            <wp:docPr id="6" name="Imagem 6" descr="https://lh5.googleusercontent.com/2UfgwrlWw73MQTuQje5ge5d1gc1j7Kb4gzV70wOoodzWBlaF9qgkBEAKfYT7Poudfb68LtOeShg3RiRwk1Fv2y9GSBKcBxRtzmvuHXzqbGaz6gplazTBdIC11bkOcJ7fDcfYz4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UfgwrlWw73MQTuQje5ge5d1gc1j7Kb4gzV70wOoodzWBlaF9qgkBEAKfYT7Poudfb68LtOeShg3RiRwk1Fv2y9GSBKcBxRtzmvuHXzqbGaz6gplazTBdIC11bkOcJ7fDcfYz47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6F5B" w14:textId="65A23F24" w:rsidR="00291141" w:rsidRPr="00291141" w:rsidRDefault="00291141" w:rsidP="0028547F">
      <w:pPr>
        <w:pStyle w:val="Legenda"/>
        <w:ind w:left="284"/>
      </w:pPr>
      <w:r w:rsidRPr="00291141">
        <w:t xml:space="preserve"> </w:t>
      </w:r>
      <w:bookmarkStart w:id="4" w:name="_Toc2092850"/>
      <w:r w:rsidR="00B0196B">
        <w:t xml:space="preserve">Figura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Figura \* ARABIC </w:instrText>
      </w:r>
      <w:r w:rsidR="00A2189E">
        <w:rPr>
          <w:noProof/>
        </w:rPr>
        <w:fldChar w:fldCharType="separate"/>
      </w:r>
      <w:r w:rsidR="00B5370B">
        <w:rPr>
          <w:noProof/>
        </w:rPr>
        <w:t>1</w:t>
      </w:r>
      <w:r w:rsidR="00A2189E">
        <w:rPr>
          <w:noProof/>
        </w:rPr>
        <w:fldChar w:fldCharType="end"/>
      </w:r>
      <w:r w:rsidR="00B0196B">
        <w:t xml:space="preserve"> - </w:t>
      </w:r>
      <w:r w:rsidR="0043576D">
        <w:t>C</w:t>
      </w:r>
      <w:r w:rsidR="00B0196B" w:rsidRPr="00B00D4B">
        <w:t>iclo de elaboração da Matriz CONIF</w:t>
      </w:r>
      <w:bookmarkEnd w:id="4"/>
    </w:p>
    <w:p w14:paraId="1EAFD73E" w14:textId="77777777" w:rsidR="00291141" w:rsidRDefault="00291141" w:rsidP="0028547F">
      <w:pPr>
        <w:ind w:firstLine="720"/>
        <w:jc w:val="both"/>
      </w:pPr>
    </w:p>
    <w:p w14:paraId="5AE12F8D" w14:textId="1AFE204A" w:rsidR="00291141" w:rsidRPr="00291141" w:rsidRDefault="00291141" w:rsidP="0028547F">
      <w:pPr>
        <w:ind w:firstLine="720"/>
        <w:jc w:val="both"/>
      </w:pPr>
      <w:r w:rsidRPr="00291141">
        <w:t>Além do orçamento disponibilizado pelo Tesouro Nacional, o IFRS também possui fontes de receita própria, provenientes de aluguéis de espaços para cantinas, multas de bibliotecas, inscrições em concursos e processos seletivos e receita agropecuária. Es</w:t>
      </w:r>
      <w:r w:rsidR="00AC562F">
        <w:t>s</w:t>
      </w:r>
      <w:r w:rsidRPr="00291141">
        <w:t xml:space="preserve">e orçamento é estimado por cada </w:t>
      </w:r>
      <w:r w:rsidRPr="003202A3">
        <w:rPr>
          <w:i/>
        </w:rPr>
        <w:t>campus</w:t>
      </w:r>
      <w:r w:rsidRPr="00291141">
        <w:t xml:space="preserve"> e pela </w:t>
      </w:r>
      <w:r w:rsidR="00AC562F">
        <w:t>R</w:t>
      </w:r>
      <w:r w:rsidRPr="00291141">
        <w:t xml:space="preserve">eitoria para cada exercício financeiro e também consta na </w:t>
      </w:r>
      <w:r w:rsidR="00AC562F">
        <w:t>LOA</w:t>
      </w:r>
      <w:r w:rsidRPr="00291141">
        <w:t>.</w:t>
      </w:r>
    </w:p>
    <w:p w14:paraId="0BEA1FC0" w14:textId="7B6A66C7" w:rsidR="00291141" w:rsidRPr="00291141" w:rsidRDefault="00291141" w:rsidP="0028547F">
      <w:pPr>
        <w:ind w:firstLine="720"/>
        <w:jc w:val="both"/>
      </w:pPr>
      <w:r w:rsidRPr="00291141">
        <w:t xml:space="preserve">Por fim, para além do orçamento previsto na LOA, há possibilidade de receita </w:t>
      </w:r>
      <w:proofErr w:type="spellStart"/>
      <w:r w:rsidRPr="00291141">
        <w:t>extraorçamentária</w:t>
      </w:r>
      <w:proofErr w:type="spellEnd"/>
      <w:r w:rsidRPr="00291141">
        <w:t xml:space="preserve">, que pode ser proveniente de fomento externo obtido a partir de projetos de ensino, pesquisa, extensão e desenvolvimento institucional. Um dos objetivos estratégicos constantes neste </w:t>
      </w:r>
      <w:r w:rsidR="00AC562F">
        <w:t>PDI</w:t>
      </w:r>
      <w:r w:rsidRPr="00291141">
        <w:t xml:space="preserve"> é justamente ampliar a captação de recursos </w:t>
      </w:r>
      <w:proofErr w:type="spellStart"/>
      <w:r w:rsidRPr="00291141">
        <w:t>extraorçamentários</w:t>
      </w:r>
      <w:proofErr w:type="spellEnd"/>
      <w:r w:rsidRPr="00291141">
        <w:t>. De modo a aumentar es</w:t>
      </w:r>
      <w:r w:rsidR="00AC562F">
        <w:t>s</w:t>
      </w:r>
      <w:r w:rsidRPr="00291141">
        <w:t xml:space="preserve">e tipo de receita, foi criado o </w:t>
      </w:r>
      <w:r w:rsidR="00932B43">
        <w:t>Escritório de Projetos (</w:t>
      </w:r>
      <w:r w:rsidR="00794288">
        <w:t>EP</w:t>
      </w:r>
      <w:r w:rsidR="00932B43">
        <w:t>)</w:t>
      </w:r>
      <w:r w:rsidRPr="00291141">
        <w:t>, que atua como articulador entre o IFRS e organizações públicas e privadas para execução de projetos desses projetos.</w:t>
      </w:r>
    </w:p>
    <w:p w14:paraId="2FD0AEF7" w14:textId="77777777" w:rsidR="00291141" w:rsidRPr="00291141" w:rsidRDefault="00291141" w:rsidP="0028547F">
      <w:pPr>
        <w:spacing w:before="200"/>
        <w:ind w:firstLine="720"/>
        <w:jc w:val="both"/>
      </w:pPr>
      <w:r w:rsidRPr="00291141">
        <w:rPr>
          <w:rFonts w:cs="Arial"/>
        </w:rPr>
        <w:t xml:space="preserve"> </w:t>
      </w:r>
    </w:p>
    <w:p w14:paraId="73D505A1" w14:textId="77777777" w:rsidR="00FD1F4A" w:rsidRDefault="00FD1F4A" w:rsidP="0028547F">
      <w:pPr>
        <w:spacing w:before="200"/>
        <w:ind w:firstLine="720"/>
        <w:jc w:val="both"/>
        <w:sectPr w:rsidR="00FD1F4A" w:rsidSect="004336FE">
          <w:footerReference w:type="default" r:id="rId13"/>
          <w:pgSz w:w="11906" w:h="16838"/>
          <w:pgMar w:top="1418" w:right="1133" w:bottom="1701" w:left="1701" w:header="709" w:footer="709" w:gutter="0"/>
          <w:cols w:space="720"/>
          <w:docGrid w:linePitch="299"/>
        </w:sectPr>
      </w:pPr>
    </w:p>
    <w:tbl>
      <w:tblPr>
        <w:tblpPr w:leftFromText="141" w:rightFromText="141" w:tblpY="915"/>
        <w:tblW w:w="133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4"/>
        <w:gridCol w:w="2174"/>
        <w:gridCol w:w="2174"/>
        <w:gridCol w:w="2174"/>
        <w:gridCol w:w="2174"/>
        <w:gridCol w:w="2067"/>
      </w:tblGrid>
      <w:tr w:rsidR="00907C64" w14:paraId="6C58C4D7" w14:textId="77777777" w:rsidTr="00D603AE">
        <w:trPr>
          <w:trHeight w:val="440"/>
        </w:trPr>
        <w:tc>
          <w:tcPr>
            <w:tcW w:w="13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45F1C4" w14:textId="77777777" w:rsidR="00907C64" w:rsidRPr="00AD386D" w:rsidRDefault="00907C64" w:rsidP="0028547F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lastRenderedPageBreak/>
              <w:t>PROJEÇÃO ORÇAMENTÁRIA</w:t>
            </w:r>
          </w:p>
        </w:tc>
      </w:tr>
      <w:tr w:rsidR="00907C64" w:rsidRPr="00AD386D" w14:paraId="4AA7885A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8467BD" w14:textId="77777777" w:rsidR="00907C64" w:rsidRPr="00AD386D" w:rsidRDefault="00907C64" w:rsidP="0028547F">
            <w:pPr>
              <w:spacing w:before="200"/>
            </w:pPr>
            <w:r w:rsidRPr="00AD386D"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8C8C6A" w14:textId="77777777" w:rsidR="00907C64" w:rsidRPr="00AD386D" w:rsidRDefault="00907C64" w:rsidP="0028547F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F36E50" w14:textId="77777777" w:rsidR="00907C64" w:rsidRPr="00AD386D" w:rsidRDefault="00907C64" w:rsidP="0028547F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DBC88F" w14:textId="77777777" w:rsidR="00907C64" w:rsidRPr="00AD386D" w:rsidRDefault="00907C64" w:rsidP="0028547F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A9D317" w14:textId="77777777" w:rsidR="00907C64" w:rsidRPr="00AD386D" w:rsidRDefault="00907C64" w:rsidP="0028547F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13FB96" w14:textId="77777777" w:rsidR="00907C64" w:rsidRPr="00AD386D" w:rsidRDefault="00907C64" w:rsidP="0028547F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2023</w:t>
            </w:r>
          </w:p>
        </w:tc>
      </w:tr>
      <w:tr w:rsidR="00907C64" w:rsidRPr="00AD386D" w14:paraId="17CF703B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6BCE3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Ativos e benefícios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29224A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R$ 349.132.578,00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1531D9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R$ 365.711.686,96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2617D1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R$ 383.584.797,57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6C796D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R$ 399.515.613,75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7B35E5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R$ 415.406.186,88</w:t>
            </w:r>
          </w:p>
        </w:tc>
      </w:tr>
      <w:tr w:rsidR="00907C64" w:rsidRPr="00AD386D" w14:paraId="75FEBFA5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113957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Inativos e pensionistas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D17109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R$ 23.921.144,00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EA231C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R$ 24.638.778,32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51D5E5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R$ 25.377.941,67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877B40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R$ 26.139.279,92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8FFD8B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R$ 26.923.458,32</w:t>
            </w:r>
          </w:p>
        </w:tc>
      </w:tr>
      <w:tr w:rsidR="00907C64" w:rsidRPr="00AD386D" w14:paraId="0BF28D3B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0B0A69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Despesas Correntes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9B4685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R$ 56.389.757,00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D3722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R$ 58.419.788,25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68CC85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R$ 60.522.900,63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7AFADB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R$ 62.701.725,05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F69D05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R$ 64.958.987,15</w:t>
            </w:r>
          </w:p>
        </w:tc>
      </w:tr>
      <w:tr w:rsidR="00907C64" w:rsidRPr="00AD386D" w14:paraId="1C271B8E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20BDB0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Despesas de Capital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19FE0D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40EF7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2EF632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A7952F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130EAE" w14:textId="77777777" w:rsidR="00907C64" w:rsidRPr="00AD386D" w:rsidRDefault="00907C64" w:rsidP="0028547F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</w:tr>
      <w:tr w:rsidR="00907C64" w:rsidRPr="00AD386D" w14:paraId="2F9A5254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58D11B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Total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5ACD54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R$ 434.886.902,00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3E529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R$ 454.213.676,53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FB20F8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R$ 474.929.062,87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2CCA72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R$ 493.800.041,72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5F5706" w14:textId="77777777" w:rsidR="00907C64" w:rsidRPr="00AD386D" w:rsidRDefault="00907C64" w:rsidP="0028547F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R$ 512.732.055,35</w:t>
            </w:r>
          </w:p>
        </w:tc>
      </w:tr>
    </w:tbl>
    <w:p w14:paraId="4E552F7D" w14:textId="77777777" w:rsidR="00D603AE" w:rsidRPr="00D603AE" w:rsidRDefault="00D603AE" w:rsidP="0028547F">
      <w:pPr>
        <w:pStyle w:val="Srgio3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5" w:name="_Toc2092847"/>
      <w:r w:rsidRPr="00D603AE">
        <w:rPr>
          <w:rFonts w:eastAsiaTheme="minorHAnsi" w:cstheme="minorBidi"/>
          <w:bCs w:val="0"/>
          <w:sz w:val="24"/>
          <w:szCs w:val="36"/>
          <w:lang w:eastAsia="en-US"/>
        </w:rPr>
        <w:t>11.1. Previsão Orçamentária</w:t>
      </w:r>
      <w:bookmarkEnd w:id="5"/>
    </w:p>
    <w:p w14:paraId="350BB97C" w14:textId="09E34A4D" w:rsidR="00FD1F4A" w:rsidRDefault="00E32A64" w:rsidP="0028547F">
      <w:pPr>
        <w:pStyle w:val="Legenda"/>
      </w:pPr>
      <w:bookmarkStart w:id="6" w:name="_Toc2092854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B5370B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Projeção Orçamentária 2019-2023</w:t>
      </w:r>
      <w:bookmarkEnd w:id="6"/>
    </w:p>
    <w:p w14:paraId="1DD7932E" w14:textId="77777777" w:rsidR="00D603AE" w:rsidRDefault="00D603AE" w:rsidP="0028547F">
      <w:pPr>
        <w:spacing w:before="200"/>
        <w:ind w:firstLine="720"/>
        <w:jc w:val="both"/>
      </w:pPr>
    </w:p>
    <w:p w14:paraId="1E29937D" w14:textId="77777777" w:rsidR="00FD1F4A" w:rsidRDefault="00FD1F4A" w:rsidP="0028547F">
      <w:pPr>
        <w:spacing w:before="200"/>
        <w:ind w:firstLine="720"/>
        <w:jc w:val="both"/>
        <w:sectPr w:rsidR="00FD1F4A" w:rsidSect="004336FE">
          <w:footerReference w:type="default" r:id="rId14"/>
          <w:pgSz w:w="16838" w:h="11906" w:orient="landscape"/>
          <w:pgMar w:top="1701" w:right="1418" w:bottom="1133" w:left="1701" w:header="709" w:footer="709" w:gutter="0"/>
          <w:cols w:space="720"/>
          <w:docGrid w:linePitch="326"/>
        </w:sectPr>
      </w:pPr>
    </w:p>
    <w:p w14:paraId="3C0BE9F8" w14:textId="77777777" w:rsidR="00291141" w:rsidRPr="00291141" w:rsidRDefault="00291141" w:rsidP="0028547F">
      <w:pPr>
        <w:ind w:firstLine="720"/>
        <w:jc w:val="both"/>
      </w:pPr>
      <w:r w:rsidRPr="00291141">
        <w:lastRenderedPageBreak/>
        <w:t>A projeção orçamentária para 2019 das despesas com pessoal ativos, inativos, pensionistas e benefícios levou em consideração o valor constante na proposta orçamentária para 2019.</w:t>
      </w:r>
    </w:p>
    <w:p w14:paraId="301B947B" w14:textId="2DB4350F" w:rsidR="00291141" w:rsidRPr="00291141" w:rsidRDefault="00291141" w:rsidP="0028547F">
      <w:pPr>
        <w:ind w:firstLine="720"/>
        <w:jc w:val="both"/>
      </w:pPr>
      <w:r w:rsidRPr="00291141">
        <w:t>Para melhor demonstrar os gastos totais de pessoal, os benefícios obrigatórios (auxílio alimentação, auxílio funeral, auxílio natalidade, auxílio transporte, auxílio</w:t>
      </w:r>
      <w:r w:rsidR="00AC562F">
        <w:t xml:space="preserve"> </w:t>
      </w:r>
      <w:r w:rsidRPr="00291141">
        <w:t>creche) e assistência médica e odontológica foram incluídos na projeção de despesas de pessoal ativo, porém, sua contabilização é realizada como despesas correntes.   </w:t>
      </w:r>
      <w:r w:rsidRPr="00291141">
        <w:tab/>
      </w:r>
    </w:p>
    <w:p w14:paraId="2D1BEDCE" w14:textId="693F591B" w:rsidR="00291141" w:rsidRPr="00291141" w:rsidRDefault="00291141" w:rsidP="0028547F">
      <w:pPr>
        <w:ind w:firstLine="720"/>
        <w:jc w:val="both"/>
      </w:pPr>
      <w:r w:rsidRPr="00291141">
        <w:t>Com o orçamento de 2019 e o quantitativo de pessoal projetado, foi calculado o salário médio anual de cada servidor, sobre o qual foi aplicado um percentual de 3% (obtido através do comparativo entre o orçamento 2018 e 2019). O resultado foi multiplicado pelo quantitativo de pessoal estimado, com base na projeção de pessoal docente e técnico administrativo para 2020, gerando a estimativa orçamentária para esse ano, e</w:t>
      </w:r>
      <w:r w:rsidR="00AC562F">
        <w:t>,</w:t>
      </w:r>
      <w:r w:rsidRPr="00291141">
        <w:t xml:space="preserve"> assim</w:t>
      </w:r>
      <w:r w:rsidR="00AC562F">
        <w:t>,</w:t>
      </w:r>
      <w:r w:rsidRPr="00291141">
        <w:t xml:space="preserve"> sucessivamente até o ano de 2023.</w:t>
      </w:r>
    </w:p>
    <w:p w14:paraId="237EB761" w14:textId="3C05E6CF" w:rsidR="00291141" w:rsidRDefault="00291141" w:rsidP="0028547F">
      <w:pPr>
        <w:ind w:firstLine="720"/>
        <w:jc w:val="both"/>
      </w:pPr>
      <w:r w:rsidRPr="00291141">
        <w:t>Para projeção de despesas correntes, foi levada em consideração a variação percentual da LOA 2018 para o PLOA 2019, que foi de 3,6%. Para as despesas de capital, foi considerado o mesmo valor para todos os anos, tendo em vista que há expectativa de acréscimo das despesas correntes em função do aumento dos gastos com terceirizados e consumíveis, sendo difícil a alocação de recursos de investimentos além desse montante. Poderá haver alteração, caso haja aporte orçamentário de investimento por parte da SETEC/MEC.</w:t>
      </w:r>
    </w:p>
    <w:p w14:paraId="49745775" w14:textId="77777777" w:rsidR="001B1138" w:rsidRPr="00291141" w:rsidRDefault="001B1138" w:rsidP="0028547F">
      <w:pPr>
        <w:ind w:firstLine="720"/>
        <w:jc w:val="both"/>
      </w:pPr>
    </w:p>
    <w:p w14:paraId="4F4DB8EA" w14:textId="12429DC2" w:rsidR="001549B9" w:rsidRPr="00E13301" w:rsidRDefault="001549B9" w:rsidP="0028547F">
      <w:pPr>
        <w:pStyle w:val="Srgio3"/>
        <w:spacing w:before="0" w:after="0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7" w:name="_Toc2092848"/>
      <w:r w:rsidRPr="00E13301">
        <w:rPr>
          <w:rFonts w:eastAsiaTheme="minorHAnsi" w:cstheme="minorBidi"/>
          <w:bCs w:val="0"/>
          <w:sz w:val="24"/>
          <w:szCs w:val="36"/>
          <w:lang w:eastAsia="en-US"/>
        </w:rPr>
        <w:t xml:space="preserve">11.2 </w:t>
      </w:r>
      <w:r w:rsidR="00794288">
        <w:rPr>
          <w:rFonts w:eastAsiaTheme="minorHAnsi" w:cstheme="minorBidi"/>
          <w:bCs w:val="0"/>
          <w:sz w:val="24"/>
          <w:szCs w:val="36"/>
          <w:lang w:eastAsia="en-US"/>
        </w:rPr>
        <w:t>E</w:t>
      </w:r>
      <w:r w:rsidR="00953761">
        <w:rPr>
          <w:rFonts w:eastAsiaTheme="minorHAnsi" w:cstheme="minorBidi"/>
          <w:bCs w:val="0"/>
          <w:sz w:val="24"/>
          <w:szCs w:val="36"/>
          <w:lang w:eastAsia="en-US"/>
        </w:rPr>
        <w:t xml:space="preserve">scritório de </w:t>
      </w:r>
      <w:r w:rsidR="00794288">
        <w:rPr>
          <w:rFonts w:eastAsiaTheme="minorHAnsi" w:cstheme="minorBidi"/>
          <w:bCs w:val="0"/>
          <w:sz w:val="24"/>
          <w:szCs w:val="36"/>
          <w:lang w:eastAsia="en-US"/>
        </w:rPr>
        <w:t>P</w:t>
      </w:r>
      <w:r w:rsidR="00953761">
        <w:rPr>
          <w:rFonts w:eastAsiaTheme="minorHAnsi" w:cstheme="minorBidi"/>
          <w:bCs w:val="0"/>
          <w:sz w:val="24"/>
          <w:szCs w:val="36"/>
          <w:lang w:eastAsia="en-US"/>
        </w:rPr>
        <w:t>rojetos</w:t>
      </w:r>
      <w:bookmarkEnd w:id="7"/>
      <w:r w:rsidRPr="00E13301">
        <w:rPr>
          <w:rFonts w:eastAsiaTheme="minorHAnsi" w:cstheme="minorBidi"/>
          <w:bCs w:val="0"/>
          <w:sz w:val="24"/>
          <w:szCs w:val="36"/>
          <w:lang w:eastAsia="en-US"/>
        </w:rPr>
        <w:t xml:space="preserve"> </w:t>
      </w:r>
    </w:p>
    <w:p w14:paraId="73BBB715" w14:textId="77777777" w:rsidR="001549B9" w:rsidRPr="00AD386D" w:rsidRDefault="001549B9" w:rsidP="0028547F">
      <w:pPr>
        <w:spacing w:after="0"/>
        <w:jc w:val="both"/>
      </w:pPr>
    </w:p>
    <w:p w14:paraId="036B84D0" w14:textId="77777777" w:rsidR="001549B9" w:rsidRPr="00AD386D" w:rsidRDefault="001549B9" w:rsidP="0028547F">
      <w:pPr>
        <w:spacing w:after="0"/>
        <w:ind w:firstLine="709"/>
        <w:jc w:val="both"/>
      </w:pPr>
      <w:r w:rsidRPr="00AD386D">
        <w:t xml:space="preserve">No intuito de estruturar e sistematizar o funcionamento do EP deverão ser consideradas as características funcionais e estruturais do IFRS, que possui 17 </w:t>
      </w:r>
      <w:r w:rsidRPr="003202A3">
        <w:rPr>
          <w:i/>
        </w:rPr>
        <w:t>campi</w:t>
      </w:r>
      <w:r w:rsidRPr="00AD386D">
        <w:t xml:space="preserve"> no Rio Grande do Sul, e a sua estrutura administrativa organizada na Reitoria e </w:t>
      </w:r>
      <w:proofErr w:type="spellStart"/>
      <w:r w:rsidRPr="00AD386D">
        <w:t>Pró-reitorias</w:t>
      </w:r>
      <w:proofErr w:type="spellEnd"/>
      <w:r w:rsidRPr="00AD386D">
        <w:t xml:space="preserve"> que atendem as áreas de Ensino, Pesquisa, Extensão, Desenvolvimento Institucional e Administração.</w:t>
      </w:r>
    </w:p>
    <w:p w14:paraId="4ED2CD7E" w14:textId="603DC426" w:rsidR="001549B9" w:rsidRPr="00AD386D" w:rsidRDefault="001549B9" w:rsidP="0028547F">
      <w:pPr>
        <w:ind w:firstLine="709"/>
        <w:jc w:val="both"/>
      </w:pPr>
      <w:r w:rsidRPr="00AD386D">
        <w:t>Considerando es</w:t>
      </w:r>
      <w:r w:rsidR="00AC562F">
        <w:t>s</w:t>
      </w:r>
      <w:r w:rsidRPr="00AD386D">
        <w:t>a estrutura, o EP deve ser um instrumento que atue de forma sistematizada na prospecção e percepção das necessidades da comunidade e apresente de forma articulada e sistêmica soluções que atendam a es</w:t>
      </w:r>
      <w:r w:rsidR="00210B6E">
        <w:t>s</w:t>
      </w:r>
      <w:r w:rsidRPr="00AD386D">
        <w:t>as demandas.</w:t>
      </w:r>
    </w:p>
    <w:p w14:paraId="082241E1" w14:textId="185227A2" w:rsidR="001549B9" w:rsidRPr="001549B9" w:rsidRDefault="001549B9" w:rsidP="0028547F">
      <w:pPr>
        <w:spacing w:before="200"/>
        <w:ind w:firstLine="709"/>
        <w:jc w:val="both"/>
      </w:pPr>
      <w:r w:rsidRPr="00AD386D">
        <w:t>Des</w:t>
      </w:r>
      <w:r w:rsidR="00210B6E">
        <w:t>s</w:t>
      </w:r>
      <w:r w:rsidRPr="00AD386D">
        <w:t xml:space="preserve">a forma, a concepção de um </w:t>
      </w:r>
      <w:r w:rsidR="00794288">
        <w:t>EP</w:t>
      </w:r>
      <w:r w:rsidRPr="00AD386D">
        <w:t xml:space="preserve"> deve pressupor a estruturação de práticas, metodologias, técnicas e ferramentas para sistematizar os principais processos que </w:t>
      </w:r>
      <w:r w:rsidRPr="00AD386D">
        <w:lastRenderedPageBreak/>
        <w:t>caracterizam os objetivos de um EP, que envolvem desde a prospecção, captação, definição de escopo, planejamento, execução, controle, encerramento e transferência de conhecimentos de um projeto</w:t>
      </w:r>
      <w:r w:rsidR="00210B6E">
        <w:t>.</w:t>
      </w:r>
    </w:p>
    <w:p w14:paraId="254605D1" w14:textId="22C72C86" w:rsidR="001549B9" w:rsidRPr="00AD386D" w:rsidRDefault="001549B9" w:rsidP="0028547F">
      <w:pPr>
        <w:ind w:firstLine="709"/>
        <w:jc w:val="both"/>
      </w:pPr>
      <w:r w:rsidRPr="00AD386D">
        <w:t xml:space="preserve">O </w:t>
      </w:r>
      <w:r>
        <w:t xml:space="preserve">EP apresenta-se como uma forma </w:t>
      </w:r>
      <w:r w:rsidRPr="00AD386D">
        <w:t>de articulação das diversas instâncias e representações do IFRS, percebendo as necessidades da comunidade e apresentando a esta, de forma sistêmica, soluções inovadoras em pesquisa aplicada, produção cultural, empreendedorismo, cooperativismo, no âmbito da ciência e da tecnologia para o desenvolvimento integrado e sustentável dos diferentes territórios em que estão inseridas suas unidades (</w:t>
      </w:r>
      <w:r w:rsidR="00210B6E">
        <w:rPr>
          <w:i/>
        </w:rPr>
        <w:t>c</w:t>
      </w:r>
      <w:r w:rsidRPr="00E13301">
        <w:rPr>
          <w:i/>
        </w:rPr>
        <w:t>ampi</w:t>
      </w:r>
      <w:r w:rsidRPr="00AD386D">
        <w:t>).</w:t>
      </w:r>
      <w:r>
        <w:t xml:space="preserve"> O objetivo geral do EP é a</w:t>
      </w:r>
      <w:r w:rsidRPr="00AD386D">
        <w:t>rticular iniciativas e projetos com potencial de inovação tecnológica e social, bem como recursos técnicos, humanos e financeiros internos e externos ao IFRS, fomentando parcerias com instituições públicas e privadas para cooperação em projetos, programas e políticas de inovação para o desenvolvimento integrado em territórios locais, nacionais e internacionais.</w:t>
      </w:r>
      <w:r>
        <w:t xml:space="preserve"> Como objetivos específicos</w:t>
      </w:r>
      <w:r w:rsidR="00210B6E">
        <w:t>,</w:t>
      </w:r>
      <w:r>
        <w:t xml:space="preserve"> o EP busca:</w:t>
      </w:r>
    </w:p>
    <w:p w14:paraId="0A59FBCB" w14:textId="4E03CCC6" w:rsidR="001549B9" w:rsidRPr="00306E98" w:rsidRDefault="00210B6E" w:rsidP="0028547F">
      <w:pPr>
        <w:pStyle w:val="PargrafodaLista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rFonts w:eastAsia="Times New Roman"/>
        </w:rPr>
      </w:pPr>
      <w:proofErr w:type="gramStart"/>
      <w:r w:rsidRPr="00306E98">
        <w:rPr>
          <w:rFonts w:eastAsia="Times New Roman"/>
        </w:rPr>
        <w:t>d</w:t>
      </w:r>
      <w:r w:rsidR="001549B9" w:rsidRPr="00306E98">
        <w:rPr>
          <w:rFonts w:eastAsia="Times New Roman"/>
        </w:rPr>
        <w:t>esenvolver</w:t>
      </w:r>
      <w:proofErr w:type="gramEnd"/>
      <w:r w:rsidR="001549B9" w:rsidRPr="00306E98">
        <w:rPr>
          <w:rFonts w:eastAsia="Times New Roman"/>
        </w:rPr>
        <w:t xml:space="preserve"> uma estrutura organizacional no IFRS que funcione como articuladora das interações institucionais e interinstitucionais no âmbito da ciência, tecnologia e inovação;</w:t>
      </w:r>
    </w:p>
    <w:p w14:paraId="391D5E8F" w14:textId="02D39556" w:rsidR="001549B9" w:rsidRPr="00306E98" w:rsidRDefault="00210B6E" w:rsidP="0028547F">
      <w:pPr>
        <w:pStyle w:val="PargrafodaLista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rFonts w:eastAsia="Times New Roman"/>
        </w:rPr>
      </w:pPr>
      <w:proofErr w:type="gramStart"/>
      <w:r w:rsidRPr="00306E98">
        <w:rPr>
          <w:rFonts w:eastAsia="Times New Roman"/>
        </w:rPr>
        <w:t>v</w:t>
      </w:r>
      <w:r w:rsidR="001549B9" w:rsidRPr="00306E98">
        <w:rPr>
          <w:rFonts w:eastAsia="Times New Roman"/>
        </w:rPr>
        <w:t>alorizar</w:t>
      </w:r>
      <w:proofErr w:type="gramEnd"/>
      <w:r w:rsidR="001549B9" w:rsidRPr="00306E98">
        <w:rPr>
          <w:rFonts w:eastAsia="Times New Roman"/>
        </w:rPr>
        <w:t xml:space="preserve"> e articular as principais iniciativas que estabeleçam relações com a comunidade interna e externa para cooperação em projetos que almejam o desenvolvimento integrado em territórios locais, nacionais e internacionais;</w:t>
      </w:r>
    </w:p>
    <w:p w14:paraId="36C15630" w14:textId="0A14A9B6" w:rsidR="001549B9" w:rsidRPr="00306E98" w:rsidRDefault="00210B6E" w:rsidP="0028547F">
      <w:pPr>
        <w:pStyle w:val="PargrafodaLista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rFonts w:eastAsia="Times New Roman"/>
        </w:rPr>
      </w:pPr>
      <w:proofErr w:type="gramStart"/>
      <w:r w:rsidRPr="00306E98">
        <w:rPr>
          <w:rFonts w:eastAsia="Times New Roman"/>
        </w:rPr>
        <w:t>i</w:t>
      </w:r>
      <w:r w:rsidR="001549B9" w:rsidRPr="00306E98">
        <w:rPr>
          <w:rFonts w:eastAsia="Times New Roman"/>
        </w:rPr>
        <w:t>ncentivar</w:t>
      </w:r>
      <w:proofErr w:type="gramEnd"/>
      <w:r w:rsidR="001549B9" w:rsidRPr="00306E98">
        <w:rPr>
          <w:rFonts w:eastAsia="Times New Roman"/>
        </w:rPr>
        <w:t xml:space="preserve"> a criação nos </w:t>
      </w:r>
      <w:r w:rsidR="001549B9" w:rsidRPr="00306E98">
        <w:rPr>
          <w:rFonts w:eastAsia="Times New Roman"/>
          <w:i/>
        </w:rPr>
        <w:t>campi</w:t>
      </w:r>
      <w:r w:rsidR="001549B9" w:rsidRPr="00306E98">
        <w:rPr>
          <w:rFonts w:eastAsia="Times New Roman"/>
        </w:rPr>
        <w:t xml:space="preserve"> de núcleos de empreendedorismo e inovação tecnológica e social;</w:t>
      </w:r>
    </w:p>
    <w:p w14:paraId="321438CB" w14:textId="55BF57B3" w:rsidR="001549B9" w:rsidRPr="00306E98" w:rsidRDefault="00210B6E" w:rsidP="0028547F">
      <w:pPr>
        <w:pStyle w:val="PargrafodaLista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rFonts w:eastAsia="Times New Roman"/>
        </w:rPr>
      </w:pPr>
      <w:proofErr w:type="gramStart"/>
      <w:r w:rsidRPr="00306E98">
        <w:rPr>
          <w:rFonts w:eastAsia="Times New Roman"/>
        </w:rPr>
        <w:t>p</w:t>
      </w:r>
      <w:r w:rsidR="001549B9" w:rsidRPr="00306E98">
        <w:rPr>
          <w:rFonts w:eastAsia="Times New Roman"/>
        </w:rPr>
        <w:t>ropor</w:t>
      </w:r>
      <w:proofErr w:type="gramEnd"/>
      <w:r w:rsidR="001549B9" w:rsidRPr="00306E98">
        <w:rPr>
          <w:rFonts w:eastAsia="Times New Roman"/>
        </w:rPr>
        <w:t xml:space="preserve"> a criação de fóruns interinstitucionais de empreendedorismo e inovação tecnológica e social preocupados com o avanço das políticas de desenvolvimento integrado em seus territórios;</w:t>
      </w:r>
    </w:p>
    <w:p w14:paraId="4CD396EB" w14:textId="289461C9" w:rsidR="001549B9" w:rsidRPr="00306E98" w:rsidRDefault="00210B6E" w:rsidP="0028547F">
      <w:pPr>
        <w:pStyle w:val="PargrafodaLista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rFonts w:eastAsia="Times New Roman"/>
        </w:rPr>
      </w:pPr>
      <w:proofErr w:type="gramStart"/>
      <w:r w:rsidRPr="00306E98">
        <w:rPr>
          <w:rFonts w:eastAsia="Times New Roman"/>
        </w:rPr>
        <w:t>a</w:t>
      </w:r>
      <w:r w:rsidR="001549B9" w:rsidRPr="00306E98">
        <w:rPr>
          <w:rFonts w:eastAsia="Times New Roman"/>
        </w:rPr>
        <w:t>poiar</w:t>
      </w:r>
      <w:proofErr w:type="gramEnd"/>
      <w:r w:rsidR="001549B9" w:rsidRPr="00306E98">
        <w:rPr>
          <w:rFonts w:eastAsia="Times New Roman"/>
        </w:rPr>
        <w:t xml:space="preserve"> a captação e prospecção de recursos e oportunidades, articulando parcerias com instituições públicas e privadas;</w:t>
      </w:r>
    </w:p>
    <w:p w14:paraId="6C5180AC" w14:textId="5F78188F" w:rsidR="001549B9" w:rsidRPr="00306E98" w:rsidRDefault="00210B6E" w:rsidP="0028547F">
      <w:pPr>
        <w:pStyle w:val="PargrafodaLista"/>
        <w:widowControl/>
        <w:numPr>
          <w:ilvl w:val="0"/>
          <w:numId w:val="67"/>
        </w:numPr>
        <w:autoSpaceDE/>
        <w:autoSpaceDN/>
        <w:spacing w:before="0"/>
        <w:contextualSpacing/>
        <w:jc w:val="both"/>
        <w:rPr>
          <w:rFonts w:eastAsia="Times New Roman"/>
        </w:rPr>
      </w:pPr>
      <w:proofErr w:type="gramStart"/>
      <w:r w:rsidRPr="00306E98">
        <w:rPr>
          <w:rFonts w:eastAsia="Times New Roman"/>
        </w:rPr>
        <w:t>d</w:t>
      </w:r>
      <w:r w:rsidR="001549B9" w:rsidRPr="00306E98">
        <w:rPr>
          <w:rFonts w:eastAsia="Times New Roman"/>
        </w:rPr>
        <w:t>esenvolver</w:t>
      </w:r>
      <w:proofErr w:type="gramEnd"/>
      <w:r w:rsidR="001549B9" w:rsidRPr="00306E98">
        <w:rPr>
          <w:rFonts w:eastAsia="Times New Roman"/>
        </w:rPr>
        <w:t xml:space="preserve"> um conjunto de conhecimentos para planejamento, implantação, acompanhamento e prestação de contas de projetos.</w:t>
      </w:r>
    </w:p>
    <w:p w14:paraId="0DC23562" w14:textId="77777777" w:rsidR="00FD1F4A" w:rsidRDefault="00FD1F4A" w:rsidP="0028547F">
      <w:pPr>
        <w:spacing w:before="200"/>
        <w:jc w:val="both"/>
      </w:pPr>
    </w:p>
    <w:p w14:paraId="6E869D7B" w14:textId="77777777" w:rsidR="001549B9" w:rsidRDefault="001549B9" w:rsidP="0028547F">
      <w:pPr>
        <w:spacing w:before="200"/>
        <w:jc w:val="both"/>
      </w:pPr>
    </w:p>
    <w:p w14:paraId="3D547052" w14:textId="77777777" w:rsidR="001549B9" w:rsidRDefault="001549B9" w:rsidP="0028547F">
      <w:pPr>
        <w:spacing w:before="200"/>
        <w:jc w:val="both"/>
      </w:pPr>
    </w:p>
    <w:p w14:paraId="20ECB175" w14:textId="75948386" w:rsidR="008F43BF" w:rsidRPr="008F43BF" w:rsidRDefault="008F43BF" w:rsidP="001955AC">
      <w:pPr>
        <w:pStyle w:val="Ttulo1"/>
        <w:jc w:val="center"/>
      </w:pPr>
    </w:p>
    <w:sectPr w:rsidR="008F43BF" w:rsidRPr="008F43BF" w:rsidSect="004336FE">
      <w:footerReference w:type="default" r:id="rId15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5C00" w14:textId="77777777" w:rsidR="001973E9" w:rsidRDefault="001973E9">
      <w:r>
        <w:separator/>
      </w:r>
    </w:p>
  </w:endnote>
  <w:endnote w:type="continuationSeparator" w:id="0">
    <w:p w14:paraId="35CC2943" w14:textId="77777777" w:rsidR="001973E9" w:rsidRDefault="0019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2F40" w14:textId="53A51920" w:rsidR="00AD4274" w:rsidRDefault="00AD4274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1A0A1EE9" wp14:editId="2C2C6CCA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3C59948F" w:rsidR="00891836" w:rsidRDefault="00891836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6F0BFEE2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93EF" w14:textId="711A4AA2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08416" behindDoc="0" locked="0" layoutInCell="1" allowOverlap="1" wp14:anchorId="18AE21CA" wp14:editId="1D28B589">
          <wp:simplePos x="0" y="0"/>
          <wp:positionH relativeFrom="page">
            <wp:posOffset>-40640</wp:posOffset>
          </wp:positionH>
          <wp:positionV relativeFrom="paragraph">
            <wp:posOffset>-104775</wp:posOffset>
          </wp:positionV>
          <wp:extent cx="7578762" cy="976989"/>
          <wp:effectExtent l="0" t="0" r="317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E55D" w14:textId="6FD9ABA0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A0D7E" wp14:editId="6FB55343">
          <wp:simplePos x="0" y="0"/>
          <wp:positionH relativeFrom="page">
            <wp:align>right</wp:align>
          </wp:positionH>
          <wp:positionV relativeFrom="paragraph">
            <wp:posOffset>-124460</wp:posOffset>
          </wp:positionV>
          <wp:extent cx="10763250" cy="92202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10763250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4560" behindDoc="0" locked="0" layoutInCell="1" allowOverlap="1" wp14:anchorId="1E6660F4" wp14:editId="51829947">
          <wp:simplePos x="0" y="0"/>
          <wp:positionH relativeFrom="page">
            <wp:posOffset>-141605</wp:posOffset>
          </wp:positionH>
          <wp:positionV relativeFrom="paragraph">
            <wp:posOffset>-161925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DE80" w14:textId="77777777" w:rsidR="001973E9" w:rsidRDefault="001973E9">
      <w:r>
        <w:separator/>
      </w:r>
    </w:p>
  </w:footnote>
  <w:footnote w:type="continuationSeparator" w:id="0">
    <w:p w14:paraId="1CE40E10" w14:textId="77777777" w:rsidR="001973E9" w:rsidRDefault="0019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2D42" w14:textId="5F6E45DA" w:rsidR="00AD4274" w:rsidRDefault="00AD4274">
    <w:pPr>
      <w:pStyle w:val="Cabealho"/>
    </w:pPr>
    <w:r>
      <w:rPr>
        <w:noProof/>
      </w:rPr>
      <w:drawing>
        <wp:anchor distT="0" distB="0" distL="114300" distR="114300" simplePos="0" relativeHeight="251726848" behindDoc="0" locked="0" layoutInCell="1" allowOverlap="1" wp14:anchorId="6E9B4E2F" wp14:editId="61D626D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1020301" cy="567055"/>
          <wp:effectExtent l="0" t="0" r="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11028482" cy="567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77777777" w:rsidR="00891836" w:rsidRDefault="00891836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458B599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77777777" w:rsidR="00891836" w:rsidRDefault="00891836" w:rsidP="000D5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E5C"/>
    <w:rsid w:val="00063CF4"/>
    <w:rsid w:val="00064F4A"/>
    <w:rsid w:val="000675D2"/>
    <w:rsid w:val="00067F30"/>
    <w:rsid w:val="00070188"/>
    <w:rsid w:val="00071375"/>
    <w:rsid w:val="0007434D"/>
    <w:rsid w:val="0007517C"/>
    <w:rsid w:val="00076096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47CD"/>
    <w:rsid w:val="000A6FCC"/>
    <w:rsid w:val="000A700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5AC"/>
    <w:rsid w:val="00195E3C"/>
    <w:rsid w:val="001968C1"/>
    <w:rsid w:val="001971A8"/>
    <w:rsid w:val="001973E9"/>
    <w:rsid w:val="00197893"/>
    <w:rsid w:val="001A0491"/>
    <w:rsid w:val="001A0D33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679A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B7C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0F93"/>
    <w:rsid w:val="004054E5"/>
    <w:rsid w:val="00405947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1776"/>
    <w:rsid w:val="004B2F05"/>
    <w:rsid w:val="004B3286"/>
    <w:rsid w:val="004B49D4"/>
    <w:rsid w:val="004B5072"/>
    <w:rsid w:val="004B6B38"/>
    <w:rsid w:val="004C0455"/>
    <w:rsid w:val="004C370A"/>
    <w:rsid w:val="004C6723"/>
    <w:rsid w:val="004C7395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25B"/>
    <w:rsid w:val="005A3C05"/>
    <w:rsid w:val="005A4ABF"/>
    <w:rsid w:val="005A4EE9"/>
    <w:rsid w:val="005A7774"/>
    <w:rsid w:val="005A7FCE"/>
    <w:rsid w:val="005B05FF"/>
    <w:rsid w:val="005B0F24"/>
    <w:rsid w:val="005B32BA"/>
    <w:rsid w:val="005B524C"/>
    <w:rsid w:val="005B6D66"/>
    <w:rsid w:val="005B7897"/>
    <w:rsid w:val="005C2E07"/>
    <w:rsid w:val="005C46FE"/>
    <w:rsid w:val="005C51B3"/>
    <w:rsid w:val="005C567C"/>
    <w:rsid w:val="005D1BB6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2A40"/>
    <w:rsid w:val="00683EE5"/>
    <w:rsid w:val="00686B08"/>
    <w:rsid w:val="006914AE"/>
    <w:rsid w:val="00692772"/>
    <w:rsid w:val="00693F9C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0FB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8A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27C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4274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370B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4CF6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17BE1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6E6E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274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547"/>
    <w:rsid w:val="00FA6979"/>
    <w:rsid w:val="00FA7A9F"/>
    <w:rsid w:val="00FB0F40"/>
    <w:rsid w:val="00FB1E6A"/>
    <w:rsid w:val="00FB31C0"/>
    <w:rsid w:val="00FB3BFC"/>
    <w:rsid w:val="00FB47D5"/>
    <w:rsid w:val="00FB7687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6FDB-7DA8-4A41-A029-AA91924B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3</TotalTime>
  <Pages>1</Pages>
  <Words>1666</Words>
  <Characters>8998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4</cp:revision>
  <cp:lastPrinted>2019-02-26T20:01:00Z</cp:lastPrinted>
  <dcterms:created xsi:type="dcterms:W3CDTF">2019-02-26T19:59:00Z</dcterms:created>
  <dcterms:modified xsi:type="dcterms:W3CDTF">2019-02-26T20:01:00Z</dcterms:modified>
</cp:coreProperties>
</file>