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8"/>
        <w:gridCol w:w="6883"/>
        <w:gridCol w:w="850"/>
        <w:gridCol w:w="951"/>
      </w:tblGrid>
      <w:tr w:rsidR="00567B33" w:rsidRPr="00A817D2" w:rsidTr="00186CCD">
        <w:trPr>
          <w:trHeight w:val="20"/>
        </w:trPr>
        <w:tc>
          <w:tcPr>
            <w:tcW w:w="9312" w:type="dxa"/>
            <w:gridSpan w:val="4"/>
          </w:tcPr>
          <w:p w:rsidR="00E932F2" w:rsidRPr="007E0E20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7E0E20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7047" w:rsidRPr="007E0E20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08018A" w:rsidRPr="007E0E20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5023E" w:rsidRPr="007E0E20" w:rsidRDefault="0055023E" w:rsidP="0055023E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ADESÃO A SISTEMA DE REGISTRO DE PREÇOS</w:t>
            </w:r>
          </w:p>
          <w:p w:rsidR="00BF5953" w:rsidRPr="007E0E20" w:rsidRDefault="0055023E" w:rsidP="0055023E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“CARONA”</w:t>
            </w:r>
          </w:p>
          <w:p w:rsidR="00BF5953" w:rsidRPr="007E0E20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 w:rsidRPr="007E0E2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:rsidR="00567B33" w:rsidRPr="007E0E20" w:rsidRDefault="0055023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E20">
              <w:rPr>
                <w:rFonts w:ascii="Arial" w:hAnsi="Arial" w:cs="Arial"/>
                <w:b/>
                <w:sz w:val="20"/>
                <w:szCs w:val="20"/>
              </w:rPr>
              <w:t>CARONA</w:t>
            </w:r>
            <w:r w:rsidR="001441F4" w:rsidRPr="007E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7E0E20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7E0E20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:rsidR="00567B33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7E0E20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7E0E20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7E0E20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7E0E20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7E0E20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7E0E20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7E0E20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:rsidTr="00BB0CE8">
        <w:trPr>
          <w:trHeight w:val="397"/>
        </w:trPr>
        <w:tc>
          <w:tcPr>
            <w:tcW w:w="628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83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1" w:type="dxa"/>
            <w:shd w:val="clear" w:color="auto" w:fill="D6E3BC" w:themeFill="accent3" w:themeFillTint="66"/>
            <w:vAlign w:val="center"/>
          </w:tcPr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:rsidTr="00BB0CE8">
        <w:trPr>
          <w:trHeight w:val="283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EAF1DD" w:themeFill="accent3" w:themeFillTint="33"/>
            <w:vAlign w:val="bottom"/>
          </w:tcPr>
          <w:p w:rsidR="0002109E" w:rsidRPr="007E0E20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bottom"/>
          </w:tcPr>
          <w:p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:rsidTr="00BB0CE8">
        <w:trPr>
          <w:trHeight w:val="284"/>
        </w:trPr>
        <w:tc>
          <w:tcPr>
            <w:tcW w:w="628" w:type="dxa"/>
            <w:vAlign w:val="center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3" w:type="dxa"/>
            <w:vAlign w:val="bottom"/>
          </w:tcPr>
          <w:p w:rsidR="00F530E6" w:rsidRPr="007E0E20" w:rsidRDefault="00F530E6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 w:rsidRPr="007E0E20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7E0E2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:rsidTr="00BB0CE8">
        <w:trPr>
          <w:trHeight w:val="730"/>
        </w:trPr>
        <w:tc>
          <w:tcPr>
            <w:tcW w:w="628" w:type="dxa"/>
            <w:vAlign w:val="center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3" w:type="dxa"/>
            <w:vAlign w:val="bottom"/>
          </w:tcPr>
          <w:p w:rsidR="00F530E6" w:rsidRPr="007E0E20" w:rsidRDefault="006435E5" w:rsidP="00F20E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Documento de Formalização de Demanda, elaborado pelo agente ou setor competente</w:t>
            </w:r>
            <w:r w:rsidR="00AB191D" w:rsidRPr="007E0E20">
              <w:rPr>
                <w:rFonts w:ascii="Arial" w:hAnsi="Arial" w:cs="Arial"/>
                <w:sz w:val="20"/>
                <w:szCs w:val="20"/>
              </w:rPr>
              <w:t xml:space="preserve">? (Acórdão 254/2004-Segunda Câmara-TCU, art. 3º, I da Lei nº 10.520/02, </w:t>
            </w:r>
            <w:proofErr w:type="spellStart"/>
            <w:r w:rsidR="00AB191D"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AB191D" w:rsidRPr="007E0E20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="00AB191D" w:rsidRPr="007E0E20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="00AB191D" w:rsidRPr="007E0E20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850" w:type="dxa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7E0E20" w:rsidTr="00BB0CE8">
        <w:trPr>
          <w:trHeight w:val="730"/>
        </w:trPr>
        <w:tc>
          <w:tcPr>
            <w:tcW w:w="628" w:type="dxa"/>
            <w:vAlign w:val="center"/>
          </w:tcPr>
          <w:p w:rsidR="00AB191D" w:rsidRPr="007E0E20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83" w:type="dxa"/>
            <w:vAlign w:val="bottom"/>
          </w:tcPr>
          <w:p w:rsidR="00AB191D" w:rsidRPr="007E0E20" w:rsidRDefault="00AB19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50" w:type="dxa"/>
          </w:tcPr>
          <w:p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730"/>
        </w:trPr>
        <w:tc>
          <w:tcPr>
            <w:tcW w:w="628" w:type="dxa"/>
            <w:vAlign w:val="center"/>
          </w:tcPr>
          <w:p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3" w:type="dxa"/>
            <w:vAlign w:val="bottom"/>
          </w:tcPr>
          <w:p w:rsidR="0055023E" w:rsidRPr="007E0E20" w:rsidRDefault="0055023E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1º, e 22, § 8º, do Decreto nº 7.892/13)?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321"/>
        </w:trPr>
        <w:tc>
          <w:tcPr>
            <w:tcW w:w="628" w:type="dxa"/>
            <w:vAlign w:val="center"/>
          </w:tcPr>
          <w:p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83" w:type="dxa"/>
            <w:vAlign w:val="bottom"/>
          </w:tcPr>
          <w:p w:rsidR="0055023E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edital realizado para o registro de preços admite a adesão à Ata?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578"/>
        </w:trPr>
        <w:tc>
          <w:tcPr>
            <w:tcW w:w="628" w:type="dxa"/>
            <w:vAlign w:val="center"/>
          </w:tcPr>
          <w:p w:rsidR="0055023E" w:rsidRPr="007E0E20" w:rsidRDefault="0059704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83" w:type="dxa"/>
            <w:vAlign w:val="bottom"/>
          </w:tcPr>
          <w:p w:rsidR="004702DB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no edital realizado para o registro de preços, o quantitativo reservado para as aquisições pelo órgão gerenciador, órgãos participantes e, também, pelos órgãos não participantes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55023E" w:rsidRPr="00515762" w:rsidRDefault="00597047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(Decreto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5762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 22 § 4º) O instrumento convocatório preverá que o quantitativo decorrente das adesões à ata de registro de preços não poderá exceder, na totalidade, ao dobro do quantitativo de cada item registrado na ata de registro de preços para o órgão gerenciador e para os órgãos participantes, independentemente do número de órgãos não participantes que aderirem. 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639" w:rsidRPr="007E0E20" w:rsidTr="00BB0CE8">
        <w:trPr>
          <w:trHeight w:val="578"/>
        </w:trPr>
        <w:tc>
          <w:tcPr>
            <w:tcW w:w="628" w:type="dxa"/>
            <w:vAlign w:val="center"/>
          </w:tcPr>
          <w:p w:rsidR="004F2639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3" w:type="dxa"/>
            <w:vAlign w:val="bottom"/>
          </w:tcPr>
          <w:p w:rsidR="00170AE6" w:rsidRPr="007E0E20" w:rsidRDefault="00170AE6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  <w:u w:val="single"/>
              </w:rPr>
              <w:t>Se a carona for para contratação de serviço acima de R$ 17.600,00: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0AE6" w:rsidRPr="007E0E20" w:rsidRDefault="00170AE6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639" w:rsidRPr="007E0E20" w:rsidRDefault="004F2639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 Membros do setor requisitante</w:t>
            </w:r>
            <w:r w:rsidR="007E0E20">
              <w:rPr>
                <w:rFonts w:ascii="Arial" w:hAnsi="Arial" w:cs="Arial"/>
                <w:sz w:val="20"/>
                <w:szCs w:val="20"/>
              </w:rPr>
              <w:t>,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850" w:type="dxa"/>
          </w:tcPr>
          <w:p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:rsidTr="00BB0CE8">
        <w:trPr>
          <w:trHeight w:val="578"/>
        </w:trPr>
        <w:tc>
          <w:tcPr>
            <w:tcW w:w="628" w:type="dxa"/>
            <w:vAlign w:val="center"/>
          </w:tcPr>
          <w:p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83" w:type="dxa"/>
            <w:vAlign w:val="bottom"/>
          </w:tcPr>
          <w:p w:rsidR="00C54DD2" w:rsidRPr="007E0E20" w:rsidRDefault="004F2639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850" w:type="dxa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:rsidTr="004F2639">
        <w:trPr>
          <w:trHeight w:val="434"/>
        </w:trPr>
        <w:tc>
          <w:tcPr>
            <w:tcW w:w="628" w:type="dxa"/>
            <w:vAlign w:val="center"/>
          </w:tcPr>
          <w:p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83" w:type="dxa"/>
            <w:vAlign w:val="bottom"/>
          </w:tcPr>
          <w:p w:rsidR="00C54DD2" w:rsidRPr="007E0E20" w:rsidRDefault="004F2639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850" w:type="dxa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:rsidTr="00BB0CE8">
        <w:trPr>
          <w:trHeight w:val="578"/>
        </w:trPr>
        <w:tc>
          <w:tcPr>
            <w:tcW w:w="628" w:type="dxa"/>
            <w:vAlign w:val="center"/>
          </w:tcPr>
          <w:p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3" w:type="dxa"/>
            <w:vAlign w:val="bottom"/>
          </w:tcPr>
          <w:p w:rsidR="00CE5785" w:rsidRPr="007E0E20" w:rsidRDefault="00CE5785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ampla pesquisa de preços do objeto da licitação baseada na forma prevista na </w:t>
            </w:r>
            <w:proofErr w:type="gram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  nº</w:t>
            </w:r>
            <w:proofErr w:type="gram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03, de 20 de abril de 2017, priorizando os parâmetros previstos nos incisos I (Painel de Preços) e II (contratações similares de outros entes públicos) do art. 2°?</w:t>
            </w:r>
          </w:p>
          <w:p w:rsidR="00CE5785" w:rsidRPr="007E0E20" w:rsidRDefault="00CE5785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Necessário no mínimo mais 2 atas além daquela 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está sendo aderida que comprovem a </w:t>
            </w:r>
            <w:proofErr w:type="spell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spell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carona. Caso não for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encontradas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mesmo objeto, incluir orçamentos da internet ou fornecedores.</w:t>
            </w:r>
          </w:p>
        </w:tc>
        <w:tc>
          <w:tcPr>
            <w:tcW w:w="850" w:type="dxa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Quando da utilização de método de pesquisa diverso do disposto no § 3º do art. 2º da IN 03/2017, foi tal situação justificada?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(Item/ objeto/ fornecedor - CNPJ / 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demonstração da metodologia utilizada para obtenção do preço de referência?</w:t>
            </w:r>
          </w:p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Existe justificativa sobre a EXATA IDENTID</w:t>
            </w:r>
            <w:r w:rsidR="007E0E20">
              <w:rPr>
                <w:rFonts w:ascii="Arial" w:hAnsi="Arial" w:cs="Arial"/>
                <w:sz w:val="20"/>
                <w:szCs w:val="20"/>
              </w:rPr>
              <w:t>ADE do objeto de que necessita a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administração àquele registrado na ata, bem como sobre a VANTAJOSIDADE da adesão pretendida, mediante consulta aos preços de mercado, incluindo os custos de logística (art. 22, </w:t>
            </w:r>
            <w:r w:rsidRPr="007E0E20">
              <w:rPr>
                <w:rFonts w:ascii="Arial" w:hAnsi="Arial" w:cs="Arial"/>
                <w:i/>
                <w:sz w:val="20"/>
                <w:szCs w:val="20"/>
              </w:rPr>
              <w:t xml:space="preserve">caput </w:t>
            </w:r>
            <w:r w:rsidRPr="007E0E20">
              <w:rPr>
                <w:rFonts w:ascii="Arial" w:hAnsi="Arial" w:cs="Arial"/>
                <w:sz w:val="20"/>
                <w:szCs w:val="20"/>
              </w:rPr>
              <w:t>, Decreto nº 7.892/13)?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1D" w:rsidRPr="007E0E20" w:rsidTr="00170AE6">
        <w:trPr>
          <w:trHeight w:val="400"/>
        </w:trPr>
        <w:tc>
          <w:tcPr>
            <w:tcW w:w="628" w:type="dxa"/>
            <w:vAlign w:val="center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883" w:type="dxa"/>
            <w:vAlign w:val="bottom"/>
          </w:tcPr>
          <w:p w:rsidR="007E331D" w:rsidRDefault="007E33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estudo de viabilidade conforme Art. 22, </w:t>
            </w:r>
            <w:r w:rsidRPr="007E331D">
              <w:rPr>
                <w:rFonts w:ascii="Arial" w:hAnsi="Arial" w:cs="Arial"/>
                <w:sz w:val="20"/>
                <w:szCs w:val="20"/>
              </w:rPr>
              <w:t>§ 1º-A</w:t>
            </w:r>
            <w:r>
              <w:rPr>
                <w:rFonts w:ascii="Arial" w:hAnsi="Arial" w:cs="Arial"/>
                <w:sz w:val="20"/>
                <w:szCs w:val="20"/>
              </w:rPr>
              <w:t xml:space="preserve"> e 1-B?</w:t>
            </w:r>
          </w:p>
          <w:p w:rsidR="007E331D" w:rsidRP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>“Art. 22, § 1º-A A manifestação do órgão gerenciador de que trata o § 1º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 Gestão.</w:t>
            </w:r>
          </w:p>
          <w:p w:rsid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§ 1º-B O estudo de que trata o § 1º-A, após aprovação pelo órgão gerenciador, será divulgado no Portal de Compras do Governo </w:t>
            </w:r>
            <w:proofErr w:type="gramStart"/>
            <w:r w:rsidRPr="007E331D">
              <w:rPr>
                <w:rFonts w:ascii="Arial" w:hAnsi="Arial" w:cs="Arial"/>
                <w:i/>
                <w:sz w:val="20"/>
                <w:szCs w:val="20"/>
              </w:rPr>
              <w:t>federal.”</w:t>
            </w:r>
            <w:proofErr w:type="gramEnd"/>
          </w:p>
          <w:p w:rsidR="00124A7A" w:rsidRPr="00124A7A" w:rsidRDefault="00124A7A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7A">
              <w:rPr>
                <w:rFonts w:ascii="Arial" w:hAnsi="Arial" w:cs="Arial"/>
                <w:b/>
                <w:sz w:val="20"/>
                <w:szCs w:val="20"/>
              </w:rPr>
              <w:t>O sistema de Compras Governamentais ainda não está adequado para recebimento deste documento, mas o órgão gerenciador poderá solicitar.</w:t>
            </w:r>
          </w:p>
        </w:tc>
        <w:tc>
          <w:tcPr>
            <w:tcW w:w="850" w:type="dxa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170AE6">
        <w:trPr>
          <w:trHeight w:val="400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fornecedor (art. 22, §2°, Decreto nº 7.892/13)?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Órgão Gerenciador da Ata de Registro de Preços que se pretende aderir, informando os quantitativos pretendidos através do Sistema SIASG – Gestão de Ata?</w:t>
            </w:r>
          </w:p>
          <w:p w:rsidR="00F46C13" w:rsidRPr="007E331D" w:rsidRDefault="00F46C13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7E331D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 22, §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º, 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515762" w:rsidRPr="00515762">
              <w:rPr>
                <w:rFonts w:ascii="Arial" w:hAnsi="Arial" w:cs="Arial"/>
                <w:i/>
                <w:sz w:val="20"/>
                <w:szCs w:val="20"/>
              </w:rPr>
              <w:t>§ 3º As aquisições ou as contratações adicionais de que trata este artigo não poderão exceder, por órgão ou entidade, a cinquenta por cento dos quantitativos dos itens do instrumento convocatório e registrados na ata de registro de p</w:t>
            </w:r>
            <w:bookmarkStart w:id="0" w:name="_GoBack"/>
            <w:bookmarkEnd w:id="0"/>
            <w:r w:rsidR="00515762" w:rsidRPr="00515762">
              <w:rPr>
                <w:rFonts w:ascii="Arial" w:hAnsi="Arial" w:cs="Arial"/>
                <w:i/>
                <w:sz w:val="20"/>
                <w:szCs w:val="20"/>
              </w:rPr>
              <w:t>reços para o órgão gerenciador e para os órgãos participantes.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BB0CE8">
        <w:trPr>
          <w:trHeight w:val="578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7º, § 2º, III, 14 e 38, caput, da Lei nº 8.666/93)? (Documento de disponibilidade orçamentária)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:rsidTr="00F46C13">
        <w:trPr>
          <w:trHeight w:val="361"/>
        </w:trPr>
        <w:tc>
          <w:tcPr>
            <w:tcW w:w="628" w:type="dxa"/>
            <w:vAlign w:val="center"/>
          </w:tcPr>
          <w:p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10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-empenho</w:t>
            </w:r>
          </w:p>
        </w:tc>
        <w:tc>
          <w:tcPr>
            <w:tcW w:w="850" w:type="dxa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:rsidTr="00BB0CE8">
        <w:trPr>
          <w:trHeight w:val="578"/>
        </w:trPr>
        <w:tc>
          <w:tcPr>
            <w:tcW w:w="628" w:type="dxa"/>
            <w:vAlign w:val="center"/>
          </w:tcPr>
          <w:p w:rsidR="0055023E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83" w:type="dxa"/>
            <w:vAlign w:val="bottom"/>
          </w:tcPr>
          <w:p w:rsidR="0055023E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Juntadas, no processo, cópia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>s da ata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, edital da licitação, termo de referência, </w:t>
            </w:r>
            <w:r w:rsidRPr="007E0E20">
              <w:rPr>
                <w:rFonts w:ascii="Arial" w:hAnsi="Arial" w:cs="Arial"/>
                <w:sz w:val="20"/>
                <w:szCs w:val="20"/>
              </w:rPr>
              <w:t>termo de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 contrato (quando este existir) e termo de homologação, </w:t>
            </w:r>
            <w:r w:rsidRPr="007E0E20">
              <w:rPr>
                <w:rFonts w:ascii="Arial" w:hAnsi="Arial" w:cs="Arial"/>
                <w:sz w:val="20"/>
                <w:szCs w:val="20"/>
              </w:rPr>
              <w:t>referentes à licitação realizada e ao objeto que se pretende aderir para verificação da validade da ata, limites para as contratações pelos caronas e certificação do objeto registrado e das condições para sua execução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9º, III, e 22, §§  3º e 4º, do Decreto nº 7.892/13)?</w:t>
            </w:r>
          </w:p>
        </w:tc>
        <w:tc>
          <w:tcPr>
            <w:tcW w:w="850" w:type="dxa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:rsidTr="00BB0CE8">
        <w:trPr>
          <w:trHeight w:val="578"/>
        </w:trPr>
        <w:tc>
          <w:tcPr>
            <w:tcW w:w="628" w:type="dxa"/>
            <w:vAlign w:val="center"/>
          </w:tcPr>
          <w:p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83" w:type="dxa"/>
            <w:vAlign w:val="bottom"/>
          </w:tcPr>
          <w:p w:rsidR="00B038E4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que respeita as mesmas condições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postas no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da licitação e, ainda, devidamente aprovado pela autoridade competente (art. 9º, II, § 1º do Decreto nº 5.450/05 ou art. 7º, § 2º, I da Lei nº 8.666/93)?</w:t>
            </w:r>
            <w:r w:rsidR="00B038E4" w:rsidRPr="007E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7E0E20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7E0E20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Autorização e aprovação motivada da autoridade competente, 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>para que a aquisição se dê por meio de adesão à Ata de Registro de Preços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:rsidR="00D850B2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7E0E20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7E0E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A minuta de termo de contrato, se houver, obedece as mesmas cláusulas do termo de contrato decorrente da licitação, ressalvando-se condições </w:t>
            </w: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peculiares à administração aderente, tais como: qualificação, data de início da execução, local onde será entregue ou executado o objeto e quantidade?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:rsidTr="00BB0CE8">
        <w:trPr>
          <w:trHeight w:val="578"/>
        </w:trPr>
        <w:tc>
          <w:tcPr>
            <w:tcW w:w="628" w:type="dxa"/>
            <w:vAlign w:val="center"/>
          </w:tcPr>
          <w:p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83" w:type="dxa"/>
            <w:vAlign w:val="bottom"/>
          </w:tcPr>
          <w:p w:rsidR="00D850B2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 aquisição ou contratação está sendo efetivada em até 90 (noventa) dias após a autorização do órgão gerenciador, observado o prazo de vigência da Ata (art. 22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6°, do Decreto nº 7.892/13)?</w:t>
            </w:r>
          </w:p>
        </w:tc>
        <w:tc>
          <w:tcPr>
            <w:tcW w:w="850" w:type="dxa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fornecedor registrado na ata de registro de preços mantém as mesmas condições de habilitação exigidas no edital da licitação (art. 55, XIII, da Lei nº 8.666/93)?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:rsidTr="00BB0CE8">
        <w:trPr>
          <w:trHeight w:val="578"/>
        </w:trPr>
        <w:tc>
          <w:tcPr>
            <w:tcW w:w="628" w:type="dxa"/>
            <w:vAlign w:val="center"/>
          </w:tcPr>
          <w:p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Consta algum registro de sanção aplicada ao fornecedor registrado na ata, cujos efeitos torne-o proibido de celebrar contrato administrativo e alcance a Administração contratante? </w:t>
            </w:r>
          </w:p>
          <w:p w:rsidR="00CF03A4" w:rsidRPr="007E0E20" w:rsidRDefault="00CF03A4" w:rsidP="00F2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São sistemas de consulta de registro de penalidades: 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(d) Cadastro Informativo de créditos não quitados do setor público federal – CADIN (ADI n° 1454/DF); e</w:t>
            </w:r>
          </w:p>
          <w:p w:rsidR="00CF03A4" w:rsidRPr="007E0E20" w:rsidRDefault="00CE5785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</w:tc>
        <w:tc>
          <w:tcPr>
            <w:tcW w:w="850" w:type="dxa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:rsidTr="00BB0CE8">
        <w:trPr>
          <w:trHeight w:val="578"/>
        </w:trPr>
        <w:tc>
          <w:tcPr>
            <w:tcW w:w="628" w:type="dxa"/>
            <w:vAlign w:val="center"/>
          </w:tcPr>
          <w:p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Declaração para fins do disposto no inciso V do art. 27 da Lei nº 8.666, de 21 de junho de 1993, acrescido pela Lei nº 9.854, de 27 de outubro de 1999, que não emprega menor, impressa em Declarações do Pregão do 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Comprasnet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3"/>
        </w:trPr>
        <w:tc>
          <w:tcPr>
            <w:tcW w:w="628" w:type="dxa"/>
            <w:vAlign w:val="center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83" w:type="dxa"/>
            <w:vAlign w:val="center"/>
          </w:tcPr>
          <w:p w:rsidR="00B038E4" w:rsidRPr="007E0E20" w:rsidRDefault="00B038E4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3"/>
        </w:trPr>
        <w:tc>
          <w:tcPr>
            <w:tcW w:w="628" w:type="dxa"/>
            <w:vAlign w:val="center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83" w:type="dxa"/>
            <w:vAlign w:val="center"/>
          </w:tcPr>
          <w:p w:rsidR="00B038E4" w:rsidRPr="007E0E20" w:rsidRDefault="00B038E4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(conforme parecer referencial) assinado pelo Ordenador de Despesas 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4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:rsidTr="00BB0CE8">
        <w:trPr>
          <w:trHeight w:val="284"/>
        </w:trPr>
        <w:tc>
          <w:tcPr>
            <w:tcW w:w="628" w:type="dxa"/>
            <w:vAlign w:val="bottom"/>
          </w:tcPr>
          <w:p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83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850" w:type="dxa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Pr="007E0E20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b/>
          <w:sz w:val="20"/>
          <w:szCs w:val="20"/>
        </w:rPr>
        <w:t>Visto</w:t>
      </w:r>
      <w:r w:rsidR="00E6548F" w:rsidRPr="007E0E20">
        <w:rPr>
          <w:rFonts w:ascii="Arial" w:hAnsi="Arial" w:cs="Arial"/>
          <w:b/>
          <w:sz w:val="20"/>
          <w:szCs w:val="20"/>
        </w:rPr>
        <w:t xml:space="preserve"> da chefia:</w:t>
      </w:r>
      <w:r w:rsidR="00E6548F" w:rsidRPr="007E0E20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sz w:val="20"/>
          <w:szCs w:val="20"/>
        </w:rPr>
        <w:t>Data: ___________</w:t>
      </w:r>
    </w:p>
    <w:sectPr w:rsidR="00E6548F" w:rsidRPr="007E0E20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C9" w:rsidRDefault="00D431C9" w:rsidP="00227D18">
      <w:r>
        <w:separator/>
      </w:r>
    </w:p>
  </w:endnote>
  <w:endnote w:type="continuationSeparator" w:id="0">
    <w:p w:rsidR="00D431C9" w:rsidRDefault="00D431C9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597047">
      <w:rPr>
        <w:rFonts w:ascii="Times New Roman" w:hAnsi="Times New Roman" w:cs="Times New Roman"/>
        <w:sz w:val="16"/>
        <w:szCs w:val="16"/>
      </w:rPr>
      <w:t>DEZEMBRO</w:t>
    </w:r>
    <w:proofErr w:type="gramEnd"/>
    <w:r w:rsidR="00912302">
      <w:rPr>
        <w:rFonts w:ascii="Times New Roman" w:hAnsi="Times New Roman" w:cs="Times New Roman"/>
        <w:sz w:val="16"/>
        <w:szCs w:val="16"/>
      </w:rPr>
      <w:t>/2018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20E8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20E8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C9" w:rsidRDefault="00D431C9" w:rsidP="00227D18">
      <w:r>
        <w:separator/>
      </w:r>
    </w:p>
  </w:footnote>
  <w:footnote w:type="continuationSeparator" w:id="0">
    <w:p w:rsidR="00D431C9" w:rsidRDefault="00D431C9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Default="00452D15">
    <w:pPr>
      <w:pStyle w:val="Cabealho"/>
    </w:pPr>
  </w:p>
  <w:p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4A7A"/>
    <w:rsid w:val="00126725"/>
    <w:rsid w:val="001441F4"/>
    <w:rsid w:val="00144E74"/>
    <w:rsid w:val="00152CBE"/>
    <w:rsid w:val="0016366E"/>
    <w:rsid w:val="00170AE6"/>
    <w:rsid w:val="00175C88"/>
    <w:rsid w:val="001824AA"/>
    <w:rsid w:val="001864BF"/>
    <w:rsid w:val="00186CCD"/>
    <w:rsid w:val="00190309"/>
    <w:rsid w:val="00195B0C"/>
    <w:rsid w:val="001A6AFA"/>
    <w:rsid w:val="001C33AB"/>
    <w:rsid w:val="001D26C0"/>
    <w:rsid w:val="001E669E"/>
    <w:rsid w:val="001F0775"/>
    <w:rsid w:val="001F0FFB"/>
    <w:rsid w:val="001F1CD4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B77B5"/>
    <w:rsid w:val="002C73FB"/>
    <w:rsid w:val="002D668B"/>
    <w:rsid w:val="002F3ECB"/>
    <w:rsid w:val="002F5B45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02DB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D2129"/>
    <w:rsid w:val="004E0596"/>
    <w:rsid w:val="004F1447"/>
    <w:rsid w:val="004F2639"/>
    <w:rsid w:val="00515762"/>
    <w:rsid w:val="0051756D"/>
    <w:rsid w:val="00521386"/>
    <w:rsid w:val="00526F53"/>
    <w:rsid w:val="00530F59"/>
    <w:rsid w:val="0053718C"/>
    <w:rsid w:val="0055012B"/>
    <w:rsid w:val="0055023E"/>
    <w:rsid w:val="00550BFF"/>
    <w:rsid w:val="00550E2C"/>
    <w:rsid w:val="00567B33"/>
    <w:rsid w:val="0057162D"/>
    <w:rsid w:val="00581A9C"/>
    <w:rsid w:val="005870EA"/>
    <w:rsid w:val="00590EFF"/>
    <w:rsid w:val="00592348"/>
    <w:rsid w:val="00597047"/>
    <w:rsid w:val="005C3779"/>
    <w:rsid w:val="005C6A1F"/>
    <w:rsid w:val="005D4397"/>
    <w:rsid w:val="005D516E"/>
    <w:rsid w:val="005D6D4F"/>
    <w:rsid w:val="005E1EB1"/>
    <w:rsid w:val="005E62DA"/>
    <w:rsid w:val="005F2D59"/>
    <w:rsid w:val="005F673F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0E20"/>
    <w:rsid w:val="007E331D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B25A1"/>
    <w:rsid w:val="008C53A1"/>
    <w:rsid w:val="008C6AF5"/>
    <w:rsid w:val="008E46D6"/>
    <w:rsid w:val="008F00C4"/>
    <w:rsid w:val="00912302"/>
    <w:rsid w:val="00916E6C"/>
    <w:rsid w:val="00923845"/>
    <w:rsid w:val="0093307D"/>
    <w:rsid w:val="009377E2"/>
    <w:rsid w:val="00944DB7"/>
    <w:rsid w:val="00964873"/>
    <w:rsid w:val="00964A11"/>
    <w:rsid w:val="00966661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038E4"/>
    <w:rsid w:val="00B31F79"/>
    <w:rsid w:val="00B3390E"/>
    <w:rsid w:val="00B506D3"/>
    <w:rsid w:val="00B610B5"/>
    <w:rsid w:val="00B6253C"/>
    <w:rsid w:val="00B63DD7"/>
    <w:rsid w:val="00B863AF"/>
    <w:rsid w:val="00B871A5"/>
    <w:rsid w:val="00B87F51"/>
    <w:rsid w:val="00B92A05"/>
    <w:rsid w:val="00B942A0"/>
    <w:rsid w:val="00BA6B81"/>
    <w:rsid w:val="00BB0CE8"/>
    <w:rsid w:val="00BB2F90"/>
    <w:rsid w:val="00BC2398"/>
    <w:rsid w:val="00BC583E"/>
    <w:rsid w:val="00BD6EA1"/>
    <w:rsid w:val="00BE54B2"/>
    <w:rsid w:val="00BF5953"/>
    <w:rsid w:val="00C471A3"/>
    <w:rsid w:val="00C54DD2"/>
    <w:rsid w:val="00C67885"/>
    <w:rsid w:val="00C72089"/>
    <w:rsid w:val="00C8698D"/>
    <w:rsid w:val="00CA47F6"/>
    <w:rsid w:val="00CC3814"/>
    <w:rsid w:val="00CD7F05"/>
    <w:rsid w:val="00CE5785"/>
    <w:rsid w:val="00CF03A4"/>
    <w:rsid w:val="00CF2E65"/>
    <w:rsid w:val="00D16F88"/>
    <w:rsid w:val="00D400AF"/>
    <w:rsid w:val="00D431C9"/>
    <w:rsid w:val="00D4734F"/>
    <w:rsid w:val="00D571AF"/>
    <w:rsid w:val="00D57D95"/>
    <w:rsid w:val="00D64968"/>
    <w:rsid w:val="00D66D1F"/>
    <w:rsid w:val="00D81BAF"/>
    <w:rsid w:val="00D850B2"/>
    <w:rsid w:val="00DB28E8"/>
    <w:rsid w:val="00DB50DD"/>
    <w:rsid w:val="00DB5ABC"/>
    <w:rsid w:val="00DC0FC2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0E88"/>
    <w:rsid w:val="00F221BB"/>
    <w:rsid w:val="00F321FE"/>
    <w:rsid w:val="00F357E1"/>
    <w:rsid w:val="00F46C13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97B79D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1880-307C-418A-8F70-6E8691E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19</cp:revision>
  <cp:lastPrinted>2018-12-03T11:09:00Z</cp:lastPrinted>
  <dcterms:created xsi:type="dcterms:W3CDTF">2018-12-10T12:02:00Z</dcterms:created>
  <dcterms:modified xsi:type="dcterms:W3CDTF">2018-12-13T11:12:00Z</dcterms:modified>
</cp:coreProperties>
</file>