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caps/>
          <w:sz w:val="32"/>
          <w:szCs w:val="32"/>
        </w:rPr>
      </w:pPr>
      <w:r w:rsidRPr="005B44FF">
        <w:rPr>
          <w:rFonts w:ascii="Arial" w:hAnsi="Arial" w:cs="Arial"/>
          <w:b/>
          <w:caps/>
          <w:sz w:val="32"/>
          <w:szCs w:val="32"/>
        </w:rPr>
        <w:t>Relatório</w:t>
      </w: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caps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caps/>
          <w:sz w:val="32"/>
          <w:szCs w:val="32"/>
        </w:rPr>
      </w:pPr>
      <w:r w:rsidRPr="005B44FF">
        <w:rPr>
          <w:rFonts w:ascii="Arial" w:hAnsi="Arial" w:cs="Arial"/>
          <w:b/>
          <w:caps/>
          <w:sz w:val="32"/>
          <w:szCs w:val="32"/>
        </w:rPr>
        <w:t>Pesquisa “Atuação do IFRS”</w:t>
      </w: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5B44FF">
        <w:rPr>
          <w:rFonts w:ascii="Arial" w:hAnsi="Arial" w:cs="Arial"/>
          <w:b/>
          <w:sz w:val="32"/>
          <w:szCs w:val="32"/>
        </w:rPr>
        <w:t>PDI 2019-2023</w:t>
      </w: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5B44FF">
        <w:rPr>
          <w:rFonts w:ascii="Arial" w:hAnsi="Arial" w:cs="Arial"/>
          <w:sz w:val="28"/>
          <w:szCs w:val="28"/>
        </w:rPr>
        <w:t>Maio, 2018</w:t>
      </w:r>
    </w:p>
    <w:p w:rsidR="005B44FF" w:rsidRPr="005B44FF" w:rsidRDefault="005B44FF" w:rsidP="005B44FF">
      <w:pPr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br w:type="page"/>
      </w:r>
    </w:p>
    <w:p w:rsidR="002742B7" w:rsidRDefault="002742B7" w:rsidP="002742B7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742B7" w:rsidRDefault="002742B7" w:rsidP="002742B7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742B7" w:rsidRDefault="002742B7" w:rsidP="002742B7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433DAE" w:rsidRDefault="00433DAE" w:rsidP="002742B7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433DAE" w:rsidRDefault="00433DAE" w:rsidP="002742B7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433DAE" w:rsidRDefault="00433DAE" w:rsidP="002742B7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2742B7" w:rsidRPr="002742B7" w:rsidRDefault="002742B7" w:rsidP="002742B7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2742B7">
        <w:rPr>
          <w:rFonts w:ascii="Arial" w:hAnsi="Arial" w:cs="Arial"/>
          <w:b/>
          <w:sz w:val="24"/>
          <w:szCs w:val="24"/>
        </w:rPr>
        <w:t>Comissão de Perfil Institucional e Planejamento Estratégico</w:t>
      </w:r>
    </w:p>
    <w:p w:rsidR="005B44FF" w:rsidRDefault="002742B7" w:rsidP="002742B7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2742B7">
        <w:rPr>
          <w:rFonts w:ascii="Arial" w:hAnsi="Arial" w:cs="Arial"/>
          <w:b/>
          <w:sz w:val="24"/>
          <w:szCs w:val="24"/>
        </w:rPr>
        <w:t>PDI 2019-2023</w:t>
      </w:r>
    </w:p>
    <w:p w:rsidR="002742B7" w:rsidRPr="002742B7" w:rsidRDefault="002742B7" w:rsidP="002742B7">
      <w:pPr>
        <w:spacing w:after="0"/>
        <w:ind w:firstLine="708"/>
        <w:jc w:val="center"/>
        <w:rPr>
          <w:rFonts w:ascii="Arial" w:hAnsi="Arial" w:cs="Arial"/>
          <w:i/>
          <w:sz w:val="16"/>
          <w:szCs w:val="16"/>
        </w:rPr>
      </w:pPr>
      <w:r w:rsidRPr="002742B7">
        <w:rPr>
          <w:rFonts w:ascii="Arial" w:hAnsi="Arial" w:cs="Arial"/>
          <w:i/>
          <w:sz w:val="16"/>
          <w:szCs w:val="16"/>
        </w:rPr>
        <w:t>Portaria IFRS nº 438/2018</w:t>
      </w:r>
    </w:p>
    <w:p w:rsidR="002742B7" w:rsidRDefault="002742B7" w:rsidP="002742B7">
      <w:pPr>
        <w:spacing w:after="0"/>
        <w:ind w:firstLine="708"/>
        <w:jc w:val="center"/>
        <w:rPr>
          <w:rFonts w:ascii="Arial" w:hAnsi="Arial" w:cs="Arial"/>
          <w:sz w:val="24"/>
          <w:szCs w:val="24"/>
        </w:rPr>
      </w:pPr>
    </w:p>
    <w:p w:rsidR="002742B7" w:rsidRDefault="002742B7" w:rsidP="002742B7">
      <w:pPr>
        <w:spacing w:after="0"/>
        <w:ind w:firstLine="708"/>
        <w:jc w:val="center"/>
        <w:rPr>
          <w:rFonts w:ascii="Arial" w:hAnsi="Arial" w:cs="Arial"/>
          <w:sz w:val="24"/>
          <w:szCs w:val="24"/>
        </w:rPr>
      </w:pPr>
    </w:p>
    <w:p w:rsidR="002742B7" w:rsidRDefault="002742B7" w:rsidP="002742B7">
      <w:pPr>
        <w:spacing w:after="0" w:line="480" w:lineRule="auto"/>
        <w:ind w:firstLine="708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Shana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Sabbado</w:t>
      </w:r>
      <w:proofErr w:type="spellEnd"/>
      <w:r>
        <w:rPr>
          <w:rFonts w:ascii="Arial" w:hAnsi="Arial" w:cs="Arial"/>
          <w:sz w:val="24"/>
          <w:szCs w:val="24"/>
        </w:rPr>
        <w:t xml:space="preserve"> Flores</w:t>
      </w:r>
      <w:r w:rsidR="00433DAE">
        <w:rPr>
          <w:rFonts w:ascii="Arial" w:hAnsi="Arial" w:cs="Arial"/>
          <w:sz w:val="24"/>
          <w:szCs w:val="24"/>
        </w:rPr>
        <w:t xml:space="preserve"> - Prodi</w:t>
      </w:r>
      <w:r>
        <w:rPr>
          <w:rFonts w:ascii="Arial" w:hAnsi="Arial" w:cs="Arial"/>
          <w:sz w:val="24"/>
          <w:szCs w:val="24"/>
        </w:rPr>
        <w:t xml:space="preserve"> (Coordenadora)</w:t>
      </w:r>
    </w:p>
    <w:p w:rsidR="002742B7" w:rsidRDefault="002742B7" w:rsidP="002742B7">
      <w:pPr>
        <w:spacing w:after="0" w:line="48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Adriana </w:t>
      </w:r>
      <w:proofErr w:type="spellStart"/>
      <w:r>
        <w:rPr>
          <w:rFonts w:ascii="Arial" w:hAnsi="Arial" w:cs="Arial"/>
          <w:sz w:val="24"/>
          <w:szCs w:val="24"/>
        </w:rPr>
        <w:t>Troczinski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Storti</w:t>
      </w:r>
      <w:proofErr w:type="spellEnd"/>
      <w:r w:rsidR="00433DAE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433DAE">
        <w:rPr>
          <w:rFonts w:ascii="Arial" w:hAnsi="Arial" w:cs="Arial"/>
          <w:sz w:val="24"/>
          <w:szCs w:val="24"/>
        </w:rPr>
        <w:t>Coppi</w:t>
      </w:r>
      <w:proofErr w:type="spellEnd"/>
    </w:p>
    <w:p w:rsidR="002742B7" w:rsidRDefault="002742B7" w:rsidP="002742B7">
      <w:pPr>
        <w:spacing w:after="0" w:line="48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Bruno Diniz Machado</w:t>
      </w:r>
      <w:r w:rsidR="00433DAE">
        <w:rPr>
          <w:rFonts w:ascii="Arial" w:hAnsi="Arial" w:cs="Arial"/>
          <w:sz w:val="24"/>
          <w:szCs w:val="24"/>
        </w:rPr>
        <w:t xml:space="preserve"> -  Prodi</w:t>
      </w:r>
    </w:p>
    <w:p w:rsidR="002742B7" w:rsidRDefault="002742B7" w:rsidP="002742B7">
      <w:pPr>
        <w:spacing w:after="0" w:line="48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Carolina </w:t>
      </w:r>
      <w:proofErr w:type="spellStart"/>
      <w:r>
        <w:rPr>
          <w:rFonts w:ascii="Arial" w:hAnsi="Arial" w:cs="Arial"/>
          <w:sz w:val="24"/>
          <w:szCs w:val="24"/>
        </w:rPr>
        <w:t>Wiedemann</w:t>
      </w:r>
      <w:proofErr w:type="spellEnd"/>
      <w:r>
        <w:rPr>
          <w:rFonts w:ascii="Arial" w:hAnsi="Arial" w:cs="Arial"/>
          <w:sz w:val="24"/>
          <w:szCs w:val="24"/>
        </w:rPr>
        <w:t xml:space="preserve"> Chaves</w:t>
      </w:r>
      <w:r w:rsidR="00433DAE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433DAE">
        <w:rPr>
          <w:rFonts w:ascii="Arial" w:hAnsi="Arial" w:cs="Arial"/>
          <w:sz w:val="24"/>
          <w:szCs w:val="24"/>
        </w:rPr>
        <w:t>Codi</w:t>
      </w:r>
      <w:proofErr w:type="spellEnd"/>
    </w:p>
    <w:p w:rsidR="002742B7" w:rsidRDefault="002742B7" w:rsidP="002742B7">
      <w:pPr>
        <w:spacing w:after="0" w:line="48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Claudio </w:t>
      </w:r>
      <w:proofErr w:type="spellStart"/>
      <w:r>
        <w:rPr>
          <w:rFonts w:ascii="Arial" w:hAnsi="Arial" w:cs="Arial"/>
          <w:sz w:val="24"/>
          <w:szCs w:val="24"/>
        </w:rPr>
        <w:t>Fioreze</w:t>
      </w:r>
      <w:proofErr w:type="spellEnd"/>
      <w:r w:rsidR="00433DAE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433DAE">
        <w:rPr>
          <w:rFonts w:ascii="Arial" w:hAnsi="Arial" w:cs="Arial"/>
          <w:sz w:val="24"/>
          <w:szCs w:val="24"/>
        </w:rPr>
        <w:t>Coex</w:t>
      </w:r>
      <w:proofErr w:type="spellEnd"/>
    </w:p>
    <w:p w:rsidR="002742B7" w:rsidRDefault="002742B7" w:rsidP="002742B7">
      <w:pPr>
        <w:spacing w:after="0" w:line="48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Fabrício </w:t>
      </w:r>
      <w:proofErr w:type="spellStart"/>
      <w:r>
        <w:rPr>
          <w:rFonts w:ascii="Arial" w:hAnsi="Arial" w:cs="Arial"/>
          <w:sz w:val="24"/>
          <w:szCs w:val="24"/>
        </w:rPr>
        <w:t>Sobrosa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Affeldt</w:t>
      </w:r>
      <w:proofErr w:type="spellEnd"/>
      <w:r w:rsidR="00433DAE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433DAE">
        <w:rPr>
          <w:rFonts w:ascii="Arial" w:hAnsi="Arial" w:cs="Arial"/>
          <w:sz w:val="24"/>
          <w:szCs w:val="24"/>
        </w:rPr>
        <w:t>Coad</w:t>
      </w:r>
      <w:proofErr w:type="spellEnd"/>
    </w:p>
    <w:p w:rsidR="002742B7" w:rsidRDefault="002742B7" w:rsidP="002742B7">
      <w:pPr>
        <w:spacing w:after="0" w:line="48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Lucas </w:t>
      </w:r>
      <w:proofErr w:type="spellStart"/>
      <w:r>
        <w:rPr>
          <w:rFonts w:ascii="Arial" w:hAnsi="Arial" w:cs="Arial"/>
          <w:sz w:val="24"/>
          <w:szCs w:val="24"/>
        </w:rPr>
        <w:t>Coradini</w:t>
      </w:r>
      <w:proofErr w:type="spellEnd"/>
      <w:r w:rsidR="00433DAE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433DAE">
        <w:rPr>
          <w:rFonts w:ascii="Arial" w:hAnsi="Arial" w:cs="Arial"/>
          <w:sz w:val="24"/>
          <w:szCs w:val="24"/>
        </w:rPr>
        <w:t>Coen</w:t>
      </w:r>
      <w:proofErr w:type="spellEnd"/>
    </w:p>
    <w:p w:rsidR="002742B7" w:rsidRDefault="002742B7" w:rsidP="002742B7">
      <w:pPr>
        <w:spacing w:before="240" w:after="0" w:line="480" w:lineRule="auto"/>
        <w:ind w:firstLine="708"/>
        <w:rPr>
          <w:rFonts w:ascii="Arial" w:hAnsi="Arial" w:cs="Arial"/>
          <w:sz w:val="24"/>
          <w:szCs w:val="24"/>
        </w:rPr>
      </w:pPr>
    </w:p>
    <w:p w:rsidR="002742B7" w:rsidRDefault="002742B7" w:rsidP="002742B7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2742B7" w:rsidRPr="005B44FF" w:rsidRDefault="002742B7" w:rsidP="002742B7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br w:type="page"/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B44FF">
        <w:rPr>
          <w:rFonts w:ascii="Arial" w:hAnsi="Arial" w:cs="Arial"/>
          <w:b/>
          <w:sz w:val="24"/>
          <w:szCs w:val="24"/>
        </w:rPr>
        <w:t>APRESENTAÇÃO</w:t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>O presente relatório pauta a pesquisa “Atuação do IFRS”, proposta pela Comissão Temática “Perfil Institucional e Planejamento Estratégico” (CT PIPE), como ferramenta de diagnóstico para apoiar as discussões para elaboração do PDI 2019-2023. Muito a comissão discutiu sobre qual seria a abordagem mais adequada para construir a etapa de “diagnóstico” do planejamento estratégico do IFRS. Deveríamos fazer encontros presenciais? Seminários de desenvolvimento? Partir para a matriz SWOT (ou FOFA</w:t>
      </w:r>
      <w:r w:rsidRPr="005B44FF"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Pr="005B44FF">
        <w:rPr>
          <w:rFonts w:ascii="Arial" w:hAnsi="Arial" w:cs="Arial"/>
          <w:sz w:val="24"/>
          <w:szCs w:val="24"/>
        </w:rPr>
        <w:t>)? Quem deveria participar? A Comissão também observou experiências de outras unidades da Rede Federal e também o que foi realizado no último PDI e o que já estava em processo a partir da Comissão Central e Comitê de Desenvolvimento Institucional (</w:t>
      </w:r>
      <w:proofErr w:type="spellStart"/>
      <w:r w:rsidRPr="005B44FF">
        <w:rPr>
          <w:rFonts w:ascii="Arial" w:hAnsi="Arial" w:cs="Arial"/>
          <w:sz w:val="24"/>
          <w:szCs w:val="24"/>
        </w:rPr>
        <w:t>Codi</w:t>
      </w:r>
      <w:proofErr w:type="spellEnd"/>
      <w:r w:rsidRPr="005B44FF">
        <w:rPr>
          <w:rFonts w:ascii="Arial" w:hAnsi="Arial" w:cs="Arial"/>
          <w:sz w:val="24"/>
          <w:szCs w:val="24"/>
        </w:rPr>
        <w:t>).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>Para o PDI 2014-2018, a principal ferramenta de diagnóstico foi a matriz SWOT, realizada a partir de Seminários de Planejamento nos campi, que tinham o intuito de apresentar a metodologia do PDI, tirar dúvidas e também coletar informações. No caso do PDI 2019-2023, a CT PIPE entendeu que, em um ano no qual a Rede Federal completa 10 anos, seria importante uma reflexão sobre a atuação do IFRS, com a participação de comunidade interna e externa. Assim, foi escolhida uma pesquisa aberta, que pudesse ser amplamente acessada e permitisse lançar luz sobre o que marcou até o momento o IFRS, o que precisa ser fortalecido e o que ainda precisamos desenvolver enquanto instituição.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A pesquisa ficou disponível por cerca de 3 semanas e contou com 566 respondentes dos 17 </w:t>
      </w:r>
      <w:proofErr w:type="spellStart"/>
      <w:r w:rsidRPr="005B44FF">
        <w:rPr>
          <w:rFonts w:ascii="Arial" w:hAnsi="Arial" w:cs="Arial"/>
          <w:i/>
          <w:sz w:val="24"/>
          <w:szCs w:val="24"/>
        </w:rPr>
        <w:t>campi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do IFRS e Reitoria, incluindo servidores, alunos e comunidade externa. Cabe destacar que o objetivo não foi realizar um levantamento exaustivo, com amostragem definida e validade científica; apesar disso o diagnóstico teve procedimentos de coleta e análise de dados definidos e embasados na literatura e dados que podem ser validados por outros instrumentos, utilizando triangulação. Os resultados estão expressos nesse relatório sob forma de texto e também se apoiando na ferramenta do mapa de palavras.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>Assim, o relatório está dividido em 4 partes, iniciando com uma visão geral que dá conta da caracterização e procedimentos da pesquisa, passando por uma análise separada das 3 perguntas propostas: O que fizemos? O que estamos fazendo? O que precisamos fazer?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>Boa leitura!</w:t>
      </w:r>
    </w:p>
    <w:p w:rsidR="005B44FF" w:rsidRPr="005B44FF" w:rsidRDefault="005B44FF" w:rsidP="005B44FF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B44FF">
        <w:rPr>
          <w:rFonts w:ascii="Arial" w:hAnsi="Arial" w:cs="Arial"/>
          <w:b/>
          <w:sz w:val="24"/>
          <w:szCs w:val="24"/>
        </w:rPr>
        <w:br w:type="page"/>
      </w:r>
      <w:r w:rsidRPr="005B44FF">
        <w:rPr>
          <w:rFonts w:ascii="Arial" w:hAnsi="Arial" w:cs="Arial"/>
          <w:b/>
          <w:sz w:val="24"/>
          <w:szCs w:val="24"/>
        </w:rPr>
        <w:lastRenderedPageBreak/>
        <w:t>VISÃO GERAL E PROCEDIMENTOS DE PESQUISA</w:t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A pesquisa foi delineada em uma abordagem qualitativa, predominantemente exploratória, apesar de se tratar de um “diagnóstico”. Isso se justifica pelas características do objetivo de “compreender a percepção da comunidade interna e externa sobre a atuação do IFRS”.  O instrumento de coleta de dados foi um formulário digital, da ferramenta </w:t>
      </w:r>
      <w:proofErr w:type="spellStart"/>
      <w:r w:rsidRPr="005B44FF">
        <w:rPr>
          <w:rFonts w:ascii="Arial" w:hAnsi="Arial" w:cs="Arial"/>
          <w:sz w:val="24"/>
          <w:szCs w:val="24"/>
        </w:rPr>
        <w:t>GoogleForms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(Anexo), dividido em 4 partes: identificação e 3 questões. O formulário não obrigava a identificação do respondente, mas se era comunidade interna ou externa, o segmento e a unidade de origem. 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Ao todo, a pesquisa contou com 566 respondentes, com representantes da comunidade interna e externa, todos os segmentos e unidades do IFRS. A meta inicial da pesquisa era de 300 respondentes, uma vez que a pesquisa realizada no âmbito do PDI 2014-2018 contou com 202 participantes e o </w:t>
      </w:r>
      <w:r w:rsidRPr="005B44FF">
        <w:rPr>
          <w:rFonts w:ascii="Arial" w:hAnsi="Arial" w:cs="Arial"/>
          <w:i/>
          <w:sz w:val="24"/>
          <w:szCs w:val="24"/>
        </w:rPr>
        <w:t xml:space="preserve">benchmarking </w:t>
      </w:r>
      <w:r w:rsidRPr="005B44FF">
        <w:rPr>
          <w:rFonts w:ascii="Arial" w:hAnsi="Arial" w:cs="Arial"/>
          <w:sz w:val="24"/>
          <w:szCs w:val="24"/>
        </w:rPr>
        <w:t>avaliado trabalhou com 240 respostas. A participação superou bastante a expectativa inicial, o que muito se deve ao engajamento das comissões locais na divulgação, que contou, inclusive, com mídia externa.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>Gráfico 1 – Perfil dos respondentes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4F97AD" wp14:editId="5E7AA0C9">
            <wp:extent cx="3863340" cy="275082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O procedimento de tabulação e análise de dados foi o da Análise de Conteúdo, um conjunto de técnicas que permitem a análise das comunicações. Os procedimentos utilizaram o indicado por </w:t>
      </w:r>
      <w:proofErr w:type="spellStart"/>
      <w:r w:rsidRPr="005B44FF">
        <w:rPr>
          <w:rFonts w:ascii="Arial" w:hAnsi="Arial" w:cs="Arial"/>
          <w:sz w:val="24"/>
          <w:szCs w:val="24"/>
        </w:rPr>
        <w:t>Bardin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(2011)</w:t>
      </w:r>
      <w:r w:rsidRPr="005B44FF"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Pr="005B44FF">
        <w:rPr>
          <w:rFonts w:ascii="Arial" w:hAnsi="Arial" w:cs="Arial"/>
          <w:sz w:val="24"/>
          <w:szCs w:val="24"/>
        </w:rPr>
        <w:t xml:space="preserve">, seguindo análise temática, que busca identificar os “núcleos de sentido”, ou temas, no discurso, avaliando o significado de sua presença ou frequência. A escolha da análise temática é adequada para questões abertas, sobretudo quando se busca </w:t>
      </w:r>
      <w:r w:rsidRPr="005B44FF">
        <w:rPr>
          <w:rFonts w:ascii="Arial" w:hAnsi="Arial" w:cs="Arial"/>
          <w:sz w:val="24"/>
          <w:szCs w:val="24"/>
        </w:rPr>
        <w:lastRenderedPageBreak/>
        <w:t xml:space="preserve">compreender motivações, tendências, valores ou atitudes. Os procedimentos foram divididos em: (1) </w:t>
      </w:r>
      <w:proofErr w:type="spellStart"/>
      <w:r w:rsidRPr="005B44FF">
        <w:rPr>
          <w:rFonts w:ascii="Arial" w:hAnsi="Arial" w:cs="Arial"/>
          <w:sz w:val="24"/>
          <w:szCs w:val="24"/>
        </w:rPr>
        <w:t>pré-análise</w:t>
      </w:r>
      <w:proofErr w:type="spellEnd"/>
      <w:r w:rsidRPr="005B44FF">
        <w:rPr>
          <w:rFonts w:ascii="Arial" w:hAnsi="Arial" w:cs="Arial"/>
          <w:sz w:val="24"/>
          <w:szCs w:val="24"/>
        </w:rPr>
        <w:t>, (2) codificação, (3) análise quantitativa e (4) análise qualitativa e mapa de palavras.</w:t>
      </w:r>
    </w:p>
    <w:p w:rsidR="005B44FF" w:rsidRPr="005B44FF" w:rsidRDefault="005B44FF" w:rsidP="005B44FF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5B44FF">
        <w:rPr>
          <w:rFonts w:ascii="Arial" w:hAnsi="Arial" w:cs="Arial"/>
          <w:sz w:val="24"/>
          <w:szCs w:val="24"/>
        </w:rPr>
        <w:t>pré-análise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iniciou com a “leitura flutuante”, na qual todo o material foi lido, com o intuito de definir as categorias e palavras-chave (ou </w:t>
      </w:r>
      <w:proofErr w:type="spellStart"/>
      <w:r w:rsidRPr="005B44FF">
        <w:rPr>
          <w:rFonts w:ascii="Arial" w:hAnsi="Arial" w:cs="Arial"/>
          <w:i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), em um total de 67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agrupadas em 4 categorias. As categorias faziam referência às dimensões do BSC, ferramenta que será utilizada no planejamento estratégico do PDI 2019-2023, a saber, atuação institucional, processos, pessoas e tecnologia e orçamento. Na etapa de codificação as respostas foram lidas individualmente e enquadradas em 1 ou mais categorias e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, conforme </w:t>
      </w:r>
      <w:proofErr w:type="gramStart"/>
      <w:r w:rsidRPr="005B44FF">
        <w:rPr>
          <w:rFonts w:ascii="Arial" w:hAnsi="Arial" w:cs="Arial"/>
          <w:sz w:val="24"/>
          <w:szCs w:val="24"/>
        </w:rPr>
        <w:t>ideia(</w:t>
      </w:r>
      <w:proofErr w:type="gramEnd"/>
      <w:r w:rsidRPr="005B44FF">
        <w:rPr>
          <w:rFonts w:ascii="Arial" w:hAnsi="Arial" w:cs="Arial"/>
          <w:sz w:val="24"/>
          <w:szCs w:val="24"/>
        </w:rPr>
        <w:t>s) central(</w:t>
      </w:r>
      <w:proofErr w:type="spellStart"/>
      <w:r w:rsidRPr="005B44FF">
        <w:rPr>
          <w:rFonts w:ascii="Arial" w:hAnsi="Arial" w:cs="Arial"/>
          <w:sz w:val="24"/>
          <w:szCs w:val="24"/>
        </w:rPr>
        <w:t>is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) identificadas. Nessa abordagem, é privilegiado o entendimento da ideia central e não das especificidades, de modo a identificar a convergência de temas e ideias; por exemplo, se a resposta fala de um projeto de extensão no campus XX, a categoria será “atuação institucional” e a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“projetos de ensino, pesquisa e extensão (</w:t>
      </w:r>
      <w:proofErr w:type="gramStart"/>
      <w:r w:rsidRPr="005B44FF">
        <w:rPr>
          <w:rFonts w:ascii="Arial" w:hAnsi="Arial" w:cs="Arial"/>
          <w:sz w:val="24"/>
          <w:szCs w:val="24"/>
        </w:rPr>
        <w:t>EPE)”</w:t>
      </w:r>
      <w:proofErr w:type="gramEnd"/>
      <w:r w:rsidRPr="005B44FF">
        <w:rPr>
          <w:rFonts w:ascii="Arial" w:hAnsi="Arial" w:cs="Arial"/>
          <w:sz w:val="24"/>
          <w:szCs w:val="24"/>
        </w:rPr>
        <w:t>.</w:t>
      </w:r>
    </w:p>
    <w:p w:rsidR="005B44FF" w:rsidRPr="005B44FF" w:rsidRDefault="005B44FF" w:rsidP="005B44FF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>Após a codificação foi realizada uma análise quantitativa simples, para identificar ocorrência e frequência. A categoria de atuação institucional foi a que teve maior frequência, e diz respeito às atividades finalísticas do IFRS, assim como algumas questões de caracterização, como por exemplo “qualidade” ou “gratuito”. Os processos refletem atividades meios e questões mais vinculadas a fluxos internos, enquanto a categoria de pessoas e tecnologia sistematiza questões referentes a infraestrutura física e digital, capacitação e gestão de pessoas. Por fim o orçamento foi a menos citada e se refere aos recursos financeiros necessários ao funcionamento da instituição.</w:t>
      </w:r>
    </w:p>
    <w:p w:rsidR="005B44FF" w:rsidRPr="005B44FF" w:rsidRDefault="005B44FF" w:rsidP="005B44FF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A análise qualitativa buscou evidenciar o encadeamento das ideias e contexto na qual eram apresentadas. Essa etapa, na verdade, foi feita ao longo de toda a leitura, na qual eram tomadas notas. O procedimento foi sistematizado em mapas de palavras, utilizando a ferramenta on-line gratuita </w:t>
      </w:r>
      <w:proofErr w:type="spellStart"/>
      <w:r w:rsidRPr="005B44FF">
        <w:rPr>
          <w:rFonts w:ascii="Arial" w:hAnsi="Arial" w:cs="Arial"/>
          <w:sz w:val="24"/>
          <w:szCs w:val="24"/>
        </w:rPr>
        <w:t>WordArt</w:t>
      </w:r>
      <w:proofErr w:type="spellEnd"/>
      <w:r w:rsidRPr="005B44FF">
        <w:rPr>
          <w:rStyle w:val="Refdenotaderodap"/>
          <w:rFonts w:ascii="Arial" w:hAnsi="Arial" w:cs="Arial"/>
          <w:sz w:val="24"/>
          <w:szCs w:val="24"/>
        </w:rPr>
        <w:footnoteReference w:id="3"/>
      </w:r>
      <w:r w:rsidRPr="005B44FF">
        <w:rPr>
          <w:rFonts w:ascii="Arial" w:hAnsi="Arial" w:cs="Arial"/>
          <w:sz w:val="24"/>
          <w:szCs w:val="24"/>
        </w:rPr>
        <w:t xml:space="preserve">. A seguir, cada questão será analisada individualmente, seguindo o procedimento proposto. Cabe destacar que o procedimento adotado não permite uma análise segmentada por unidade, ou comunidade interna e externa, o que exigiria um maior rigor na definição e controle da amostra. </w:t>
      </w:r>
    </w:p>
    <w:p w:rsidR="005B44FF" w:rsidRPr="005B44FF" w:rsidRDefault="005B44FF" w:rsidP="005B44FF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rPr>
          <w:rFonts w:ascii="Arial" w:hAnsi="Arial" w:cs="Arial"/>
          <w:b/>
          <w:sz w:val="24"/>
          <w:szCs w:val="24"/>
        </w:rPr>
      </w:pPr>
      <w:r w:rsidRPr="005B44FF">
        <w:rPr>
          <w:rFonts w:ascii="Arial" w:hAnsi="Arial" w:cs="Arial"/>
          <w:b/>
          <w:sz w:val="24"/>
          <w:szCs w:val="24"/>
        </w:rPr>
        <w:br w:type="page"/>
      </w:r>
    </w:p>
    <w:p w:rsidR="005B44FF" w:rsidRPr="005B44FF" w:rsidRDefault="005B44FF" w:rsidP="005B44FF">
      <w:pPr>
        <w:pStyle w:val="PargrafodaLista"/>
        <w:numPr>
          <w:ilvl w:val="0"/>
          <w:numId w:val="1"/>
        </w:numPr>
        <w:rPr>
          <w:rFonts w:ascii="Arial" w:hAnsi="Arial" w:cs="Arial"/>
          <w:b/>
          <w:caps/>
          <w:sz w:val="24"/>
          <w:szCs w:val="24"/>
        </w:rPr>
      </w:pPr>
      <w:r w:rsidRPr="005B44FF">
        <w:rPr>
          <w:rFonts w:ascii="Arial" w:hAnsi="Arial" w:cs="Arial"/>
          <w:b/>
          <w:caps/>
          <w:sz w:val="24"/>
          <w:szCs w:val="24"/>
        </w:rPr>
        <w:lastRenderedPageBreak/>
        <w:t>O que fizemos?</w:t>
      </w:r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</w:p>
    <w:p w:rsidR="005B44FF" w:rsidRPr="005B44FF" w:rsidRDefault="005B44FF" w:rsidP="005B44FF">
      <w:pPr>
        <w:spacing w:after="0"/>
        <w:rPr>
          <w:rFonts w:ascii="Arial" w:hAnsi="Arial" w:cs="Arial"/>
          <w:i/>
          <w:sz w:val="24"/>
          <w:szCs w:val="24"/>
        </w:rPr>
      </w:pPr>
      <w:r w:rsidRPr="005B44FF">
        <w:rPr>
          <w:rFonts w:ascii="Arial" w:hAnsi="Arial" w:cs="Arial"/>
          <w:i/>
          <w:sz w:val="24"/>
          <w:szCs w:val="24"/>
        </w:rPr>
        <w:t>Pergunta: Em sua opinião, quais ações, projetos ou iniciativas marcaram a atuação do IFRS? O que pode ser repetido ou dado continuidade?</w:t>
      </w:r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b/>
          <w:sz w:val="24"/>
          <w:szCs w:val="24"/>
        </w:rPr>
        <w:tab/>
      </w:r>
      <w:r w:rsidRPr="005B44FF">
        <w:rPr>
          <w:rFonts w:ascii="Arial" w:hAnsi="Arial" w:cs="Arial"/>
          <w:sz w:val="24"/>
          <w:szCs w:val="24"/>
        </w:rPr>
        <w:t>A primeira pergunta do diagnóstico teve como objetivo olhar para o passado e destacar o que mais marcou na atuação do IFRS. Foram aproveitadas 522 respostas; as 44 descartadas estavam em branco, rasuradas ou diziam não ter opinião sobre o assunto.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A análise quantitativa destacou a categoria de Atuação Institucional em 13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, como pode ser visto no gráfico a seguir. Pode ser notada uma grande concentração nos Projetos de Ensino, Pesquisa e Extensão, assim como no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Eventos, este último reunindo desde iniciativas locais, como semanas acadêmicas e palestras, além de eventos institucionais como os Jogos, o Salão de Ensino, Pesquisa e Extensão, além de capacitações como a destinada aos pesquisadores e </w:t>
      </w:r>
      <w:proofErr w:type="spellStart"/>
      <w:r w:rsidRPr="005B44FF">
        <w:rPr>
          <w:rFonts w:ascii="Arial" w:hAnsi="Arial" w:cs="Arial"/>
          <w:sz w:val="24"/>
          <w:szCs w:val="24"/>
        </w:rPr>
        <w:t>extensionista</w:t>
      </w:r>
      <w:proofErr w:type="spellEnd"/>
      <w:r w:rsidRPr="005B44FF">
        <w:rPr>
          <w:rFonts w:ascii="Arial" w:hAnsi="Arial" w:cs="Arial"/>
          <w:sz w:val="24"/>
          <w:szCs w:val="24"/>
        </w:rPr>
        <w:t>.</w:t>
      </w:r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Gráfico 2 – Principais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“o que </w:t>
      </w:r>
      <w:proofErr w:type="gramStart"/>
      <w:r w:rsidRPr="005B44FF">
        <w:rPr>
          <w:rFonts w:ascii="Arial" w:hAnsi="Arial" w:cs="Arial"/>
          <w:sz w:val="24"/>
          <w:szCs w:val="24"/>
        </w:rPr>
        <w:t>fizemos?”</w:t>
      </w:r>
      <w:proofErr w:type="gramEnd"/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B44F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177302A" wp14:editId="747F795F">
            <wp:extent cx="4236720" cy="2933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b/>
          <w:sz w:val="24"/>
          <w:szCs w:val="24"/>
        </w:rPr>
        <w:tab/>
      </w:r>
      <w:r w:rsidRPr="005B44FF">
        <w:rPr>
          <w:rFonts w:ascii="Arial" w:hAnsi="Arial" w:cs="Arial"/>
          <w:sz w:val="24"/>
          <w:szCs w:val="24"/>
        </w:rPr>
        <w:t xml:space="preserve">A observação da frequência, aliada ao encadeamento das respostas está sistematizada no mapa de palavras a seguir. O maior destaque é dado aos </w:t>
      </w:r>
      <w:r w:rsidRPr="005B44FF">
        <w:rPr>
          <w:rFonts w:ascii="Arial" w:hAnsi="Arial" w:cs="Arial"/>
          <w:i/>
          <w:sz w:val="24"/>
          <w:szCs w:val="24"/>
        </w:rPr>
        <w:t>projetos EPE</w:t>
      </w:r>
      <w:r w:rsidRPr="005B44FF">
        <w:rPr>
          <w:rFonts w:ascii="Arial" w:hAnsi="Arial" w:cs="Arial"/>
          <w:sz w:val="24"/>
          <w:szCs w:val="24"/>
        </w:rPr>
        <w:t xml:space="preserve">, o que aparece sob forma de “bolsas”, iniciativas específicas, ou à nomenclatura da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. Pode ser observado que, na maior parte das vezes, não é observada uma diferença relevante ou fronteira entre ensino, pesquisa e </w:t>
      </w:r>
      <w:r w:rsidRPr="005B44FF">
        <w:rPr>
          <w:rFonts w:ascii="Arial" w:hAnsi="Arial" w:cs="Arial"/>
          <w:sz w:val="24"/>
          <w:szCs w:val="24"/>
        </w:rPr>
        <w:lastRenderedPageBreak/>
        <w:t xml:space="preserve">extensão, que acabam por ser entendidos como um conjunto. Tal fato destaca a </w:t>
      </w:r>
      <w:proofErr w:type="spellStart"/>
      <w:r w:rsidRPr="005B44FF">
        <w:rPr>
          <w:rFonts w:ascii="Arial" w:hAnsi="Arial" w:cs="Arial"/>
          <w:sz w:val="24"/>
          <w:szCs w:val="24"/>
        </w:rPr>
        <w:t>indissociabilidade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que, mesmo não aparecendo como nomenclatura, está presente como conceito. Se reconhece o </w:t>
      </w:r>
      <w:r w:rsidRPr="005B44FF">
        <w:rPr>
          <w:rFonts w:ascii="Arial" w:hAnsi="Arial" w:cs="Arial"/>
          <w:i/>
          <w:sz w:val="24"/>
          <w:szCs w:val="24"/>
        </w:rPr>
        <w:t>ensino</w:t>
      </w:r>
      <w:r w:rsidRPr="005B44FF">
        <w:rPr>
          <w:rFonts w:ascii="Arial" w:hAnsi="Arial" w:cs="Arial"/>
          <w:sz w:val="24"/>
          <w:szCs w:val="24"/>
        </w:rPr>
        <w:t xml:space="preserve"> (</w:t>
      </w:r>
      <w:r w:rsidRPr="005B44FF">
        <w:rPr>
          <w:rFonts w:ascii="Arial" w:hAnsi="Arial" w:cs="Arial"/>
          <w:i/>
          <w:sz w:val="24"/>
          <w:szCs w:val="24"/>
        </w:rPr>
        <w:t>técnico</w:t>
      </w:r>
      <w:r w:rsidRPr="005B44FF">
        <w:rPr>
          <w:rFonts w:ascii="Arial" w:hAnsi="Arial" w:cs="Arial"/>
          <w:sz w:val="24"/>
          <w:szCs w:val="24"/>
        </w:rPr>
        <w:t xml:space="preserve">, </w:t>
      </w:r>
      <w:r w:rsidRPr="005B44FF">
        <w:rPr>
          <w:rFonts w:ascii="Arial" w:hAnsi="Arial" w:cs="Arial"/>
          <w:i/>
          <w:sz w:val="24"/>
          <w:szCs w:val="24"/>
        </w:rPr>
        <w:t>integrado</w:t>
      </w:r>
      <w:r w:rsidRPr="005B44FF">
        <w:rPr>
          <w:rFonts w:ascii="Arial" w:hAnsi="Arial" w:cs="Arial"/>
          <w:sz w:val="24"/>
          <w:szCs w:val="24"/>
        </w:rPr>
        <w:t>,</w:t>
      </w:r>
      <w:r w:rsidRPr="005B44FF">
        <w:rPr>
          <w:rFonts w:ascii="Arial" w:hAnsi="Arial" w:cs="Arial"/>
          <w:i/>
          <w:sz w:val="24"/>
          <w:szCs w:val="24"/>
        </w:rPr>
        <w:t xml:space="preserve"> PROEJA</w:t>
      </w:r>
      <w:r w:rsidRPr="005B44FF">
        <w:rPr>
          <w:rFonts w:ascii="Arial" w:hAnsi="Arial" w:cs="Arial"/>
          <w:sz w:val="24"/>
          <w:szCs w:val="24"/>
        </w:rPr>
        <w:t xml:space="preserve"> ou </w:t>
      </w:r>
      <w:r w:rsidRPr="005B44FF">
        <w:rPr>
          <w:rFonts w:ascii="Arial" w:hAnsi="Arial" w:cs="Arial"/>
          <w:i/>
          <w:sz w:val="24"/>
          <w:szCs w:val="24"/>
        </w:rPr>
        <w:t>superior</w:t>
      </w:r>
      <w:r w:rsidRPr="005B44FF">
        <w:rPr>
          <w:rFonts w:ascii="Arial" w:hAnsi="Arial" w:cs="Arial"/>
          <w:sz w:val="24"/>
          <w:szCs w:val="24"/>
        </w:rPr>
        <w:t xml:space="preserve">) como sendo de </w:t>
      </w:r>
      <w:r w:rsidRPr="005B44FF">
        <w:rPr>
          <w:rFonts w:ascii="Arial" w:hAnsi="Arial" w:cs="Arial"/>
          <w:i/>
          <w:sz w:val="24"/>
          <w:szCs w:val="24"/>
        </w:rPr>
        <w:t>qualidade</w:t>
      </w:r>
      <w:r w:rsidRPr="005B44FF">
        <w:rPr>
          <w:rFonts w:ascii="Arial" w:hAnsi="Arial" w:cs="Arial"/>
          <w:sz w:val="24"/>
          <w:szCs w:val="24"/>
        </w:rPr>
        <w:t xml:space="preserve">, mas os respondentes colocam os </w:t>
      </w:r>
      <w:r w:rsidRPr="005B44FF">
        <w:rPr>
          <w:rFonts w:ascii="Arial" w:hAnsi="Arial" w:cs="Arial"/>
          <w:i/>
          <w:sz w:val="24"/>
          <w:szCs w:val="24"/>
        </w:rPr>
        <w:t>projetos EPE</w:t>
      </w:r>
      <w:r w:rsidRPr="005B44FF">
        <w:rPr>
          <w:rFonts w:ascii="Arial" w:hAnsi="Arial" w:cs="Arial"/>
          <w:sz w:val="24"/>
          <w:szCs w:val="24"/>
        </w:rPr>
        <w:t xml:space="preserve"> como um diferencial do IFRS com relação a outras instituições, também como mecanismos para a</w:t>
      </w:r>
      <w:r w:rsidRPr="005B44FF">
        <w:rPr>
          <w:rFonts w:ascii="Arial" w:hAnsi="Arial" w:cs="Arial"/>
          <w:i/>
          <w:sz w:val="24"/>
          <w:szCs w:val="24"/>
        </w:rPr>
        <w:t xml:space="preserve"> Integração local</w:t>
      </w:r>
      <w:r w:rsidRPr="005B44FF">
        <w:rPr>
          <w:rFonts w:ascii="Arial" w:hAnsi="Arial" w:cs="Arial"/>
          <w:sz w:val="24"/>
          <w:szCs w:val="24"/>
        </w:rPr>
        <w:t xml:space="preserve"> ou uma maneira de </w:t>
      </w:r>
      <w:r w:rsidRPr="005B44FF">
        <w:rPr>
          <w:rFonts w:ascii="Arial" w:hAnsi="Arial" w:cs="Arial"/>
          <w:i/>
          <w:sz w:val="24"/>
          <w:szCs w:val="24"/>
        </w:rPr>
        <w:t xml:space="preserve">divulgação </w:t>
      </w:r>
      <w:r w:rsidRPr="005B44FF">
        <w:rPr>
          <w:rFonts w:ascii="Arial" w:hAnsi="Arial" w:cs="Arial"/>
          <w:sz w:val="24"/>
          <w:szCs w:val="24"/>
        </w:rPr>
        <w:t xml:space="preserve">do IFRS, fazendo referência ao </w:t>
      </w:r>
      <w:r w:rsidRPr="005B44FF">
        <w:rPr>
          <w:rFonts w:ascii="Arial" w:hAnsi="Arial" w:cs="Arial"/>
          <w:i/>
          <w:sz w:val="24"/>
          <w:szCs w:val="24"/>
        </w:rPr>
        <w:t xml:space="preserve">reconhecimento </w:t>
      </w:r>
      <w:r w:rsidRPr="005B44FF">
        <w:rPr>
          <w:rFonts w:ascii="Arial" w:hAnsi="Arial" w:cs="Arial"/>
          <w:sz w:val="24"/>
          <w:szCs w:val="24"/>
        </w:rPr>
        <w:t>pela sociedade e comunidades.</w:t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Quadro 1 – Mapa de palavras “o que </w:t>
      </w:r>
      <w:proofErr w:type="gramStart"/>
      <w:r w:rsidRPr="005B44FF">
        <w:rPr>
          <w:rFonts w:ascii="Arial" w:hAnsi="Arial" w:cs="Arial"/>
          <w:sz w:val="24"/>
          <w:szCs w:val="24"/>
        </w:rPr>
        <w:t>fizemos?”</w:t>
      </w:r>
      <w:proofErr w:type="gramEnd"/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  <w:r w:rsidRPr="005B44F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960219A" wp14:editId="57F606F5">
            <wp:extent cx="5400040" cy="2655570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4436" t="19034" r="14116" b="18466"/>
                    <a:stretch/>
                  </pic:blipFill>
                  <pic:spPr>
                    <a:xfrm>
                      <a:off x="0" y="0"/>
                      <a:ext cx="54000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Os eventos aparecem como segunda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de destaque, com ideias bastante encadeadas com outras atividades relacionadas à extensão, como os cursos FIC e as visitas técnicas. Como visto acima, os eventos são vistos de forma ampla e os respondentes não necessariamente diferenciam as iniciativas locais das institucionais. Foi bem relevante a ligação entre eventos e integração com as comunidades, seja trazendo profissionais e atores da comunidade para dentro do IFRS, ou ainda divulgando os campi. </w:t>
      </w:r>
    </w:p>
    <w:p w:rsidR="005B44FF" w:rsidRPr="005B44FF" w:rsidRDefault="005B44FF" w:rsidP="005B44FF">
      <w:pPr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Foi ressaltada a boa infraestrutura que o IFRS possui e os investimentos recebidos nos últimos anos, que contemplam estacionamentos, salas de aula e também melhoras no acesso </w:t>
      </w:r>
      <w:proofErr w:type="spellStart"/>
      <w:r w:rsidRPr="005B44FF">
        <w:rPr>
          <w:rFonts w:ascii="Arial" w:hAnsi="Arial" w:cs="Arial"/>
          <w:sz w:val="24"/>
          <w:szCs w:val="24"/>
        </w:rPr>
        <w:t>a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internet. Ao mesmo tempo, a interiorização é presente, fazendo menção a oportunidade de ter oferta de educação de qualidade fora dos grandes centros, além de questões de inclusão. A inclusão aparece como uma marca, associada à diversidade e atuação dos núcleos – muitas vezes relacionando aos eventos. Tais pontos não necessariamente estavam relacionados à assistência estudantil, mas a outros processos de apoio dentro do IFRS.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lastRenderedPageBreak/>
        <w:t xml:space="preserve">Apesar da questão central pautar o que foi feito, nas respostas já apareceram demandas para a atuação do IFRS, principalmente a questão de </w:t>
      </w:r>
      <w:r w:rsidRPr="005B44FF">
        <w:rPr>
          <w:rFonts w:ascii="Arial" w:hAnsi="Arial" w:cs="Arial"/>
          <w:i/>
          <w:sz w:val="24"/>
          <w:szCs w:val="24"/>
        </w:rPr>
        <w:t>novos cursos</w:t>
      </w:r>
      <w:r w:rsidRPr="005B44FF">
        <w:rPr>
          <w:rFonts w:ascii="Arial" w:hAnsi="Arial" w:cs="Arial"/>
          <w:sz w:val="24"/>
          <w:szCs w:val="24"/>
        </w:rPr>
        <w:t xml:space="preserve">. Os respondentes demonstram interesse em que o IFRS continue ampliando a sua oferta e verticalizando, o que aparece sob forma de sugestão para novos </w:t>
      </w:r>
      <w:r w:rsidRPr="005B44FF">
        <w:rPr>
          <w:rFonts w:ascii="Arial" w:hAnsi="Arial" w:cs="Arial"/>
          <w:i/>
          <w:sz w:val="24"/>
          <w:szCs w:val="24"/>
        </w:rPr>
        <w:t>cursos superiores</w:t>
      </w:r>
      <w:r w:rsidRPr="005B44FF">
        <w:rPr>
          <w:rFonts w:ascii="Arial" w:hAnsi="Arial" w:cs="Arial"/>
          <w:sz w:val="24"/>
          <w:szCs w:val="24"/>
        </w:rPr>
        <w:t xml:space="preserve"> ou de </w:t>
      </w:r>
      <w:r w:rsidRPr="005B44FF">
        <w:rPr>
          <w:rFonts w:ascii="Arial" w:hAnsi="Arial" w:cs="Arial"/>
          <w:i/>
          <w:sz w:val="24"/>
          <w:szCs w:val="24"/>
        </w:rPr>
        <w:t>pós-graduação</w:t>
      </w:r>
      <w:r w:rsidRPr="005B44FF">
        <w:rPr>
          <w:rFonts w:ascii="Arial" w:hAnsi="Arial" w:cs="Arial"/>
          <w:sz w:val="24"/>
          <w:szCs w:val="24"/>
        </w:rPr>
        <w:t>. Ao mesmo tempo a continuidade se mostra importante, basta ver a alta frequência dos cursos técnicos, do ensino integrado e do PROEJA.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Por fim, a </w:t>
      </w:r>
      <w:r w:rsidRPr="005B44FF">
        <w:rPr>
          <w:rFonts w:ascii="Arial" w:hAnsi="Arial" w:cs="Arial"/>
          <w:i/>
          <w:sz w:val="24"/>
          <w:szCs w:val="24"/>
        </w:rPr>
        <w:t xml:space="preserve">integração local </w:t>
      </w:r>
      <w:r w:rsidRPr="005B44FF">
        <w:rPr>
          <w:rFonts w:ascii="Arial" w:hAnsi="Arial" w:cs="Arial"/>
          <w:sz w:val="24"/>
          <w:szCs w:val="24"/>
        </w:rPr>
        <w:t xml:space="preserve">é uma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de síntese que está ligada desde sugestões para ações de extensão, integração com o mundo do trabalho, ações de inclusão, núcleos, entre outros. A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acaba por refletir a missão dos </w:t>
      </w:r>
      <w:proofErr w:type="spellStart"/>
      <w:r w:rsidRPr="005B44FF">
        <w:rPr>
          <w:rFonts w:ascii="Arial" w:hAnsi="Arial" w:cs="Arial"/>
          <w:sz w:val="24"/>
          <w:szCs w:val="24"/>
        </w:rPr>
        <w:t>IFs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definida na lei de criação e também na missão do IFRS. </w:t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rPr>
          <w:rFonts w:ascii="Arial" w:hAnsi="Arial" w:cs="Arial"/>
          <w:b/>
          <w:sz w:val="24"/>
          <w:szCs w:val="24"/>
        </w:rPr>
      </w:pPr>
      <w:r w:rsidRPr="005B44FF">
        <w:rPr>
          <w:rFonts w:ascii="Arial" w:hAnsi="Arial" w:cs="Arial"/>
          <w:b/>
          <w:sz w:val="24"/>
          <w:szCs w:val="24"/>
        </w:rPr>
        <w:br w:type="page"/>
      </w:r>
    </w:p>
    <w:p w:rsidR="005B44FF" w:rsidRPr="005B44FF" w:rsidRDefault="005B44FF" w:rsidP="005B44FF">
      <w:pPr>
        <w:pStyle w:val="PargrafodaLista"/>
        <w:numPr>
          <w:ilvl w:val="0"/>
          <w:numId w:val="1"/>
        </w:numPr>
        <w:rPr>
          <w:rFonts w:ascii="Arial" w:hAnsi="Arial" w:cs="Arial"/>
          <w:b/>
          <w:caps/>
          <w:sz w:val="24"/>
          <w:szCs w:val="24"/>
        </w:rPr>
      </w:pPr>
      <w:r w:rsidRPr="005B44FF">
        <w:rPr>
          <w:rFonts w:ascii="Arial" w:hAnsi="Arial" w:cs="Arial"/>
          <w:b/>
          <w:caps/>
          <w:sz w:val="24"/>
          <w:szCs w:val="24"/>
        </w:rPr>
        <w:lastRenderedPageBreak/>
        <w:t>O que estamos fazendo?</w:t>
      </w:r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5B44FF">
        <w:rPr>
          <w:rFonts w:ascii="Arial" w:hAnsi="Arial" w:cs="Arial"/>
          <w:i/>
          <w:sz w:val="24"/>
          <w:szCs w:val="24"/>
        </w:rPr>
        <w:t>Pergunta: Em sua opinião, quais as ações, projetos ou iniciativas atuais do IFRS se destacam? Destas, quais deveriam ser prioridade?</w:t>
      </w:r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b/>
          <w:sz w:val="24"/>
          <w:szCs w:val="24"/>
        </w:rPr>
        <w:tab/>
      </w:r>
      <w:r w:rsidRPr="005B44FF">
        <w:rPr>
          <w:rFonts w:ascii="Arial" w:hAnsi="Arial" w:cs="Arial"/>
          <w:sz w:val="24"/>
          <w:szCs w:val="24"/>
        </w:rPr>
        <w:t>Na segunda pergunta, a proposta foi de identificar os destaques e prioridades dentre as iniciativas atuais do IFRS. É claro que muitos temas se repetem e que, muitas vezes, os respondentes não diferenciam necessariamente suas respostas nas 3 questões propostas e tendem a encarar todas como “demandas” ou “sugestões de atuação”. Todavia, pela diversidade do público, as perguntas em 3 momentos também buscam identificar pontos de convergência dentro do diagnóstico de atuação do IFRS, o que pode ser perfeitamente observado nas respostas. Foram aproveitadas 492 respostas e 74 foram descartadas; foi a questão com maior número de descartes, boa parte deles indicando já ter abordado o tema na pergunta anterior.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O gráfico a seguir apresenta as 11 principais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identificadas nas respostas. As 4 primeiras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– projetos de ensino, pesquisa e extensão, infraestrutura, eventos e inserção local – repetem o identificado na questão 1, o que, mais uma vez, demonstra convergência nos temas identificados.  </w:t>
      </w:r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Gráfico 3 – Principais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“o que estamos </w:t>
      </w:r>
      <w:proofErr w:type="gramStart"/>
      <w:r w:rsidRPr="005B44FF">
        <w:rPr>
          <w:rFonts w:ascii="Arial" w:hAnsi="Arial" w:cs="Arial"/>
          <w:sz w:val="24"/>
          <w:szCs w:val="24"/>
        </w:rPr>
        <w:t>fazendo?”</w:t>
      </w:r>
      <w:proofErr w:type="gramEnd"/>
    </w:p>
    <w:p w:rsidR="005B44FF" w:rsidRPr="005B44FF" w:rsidRDefault="005B44FF" w:rsidP="005B44FF">
      <w:pPr>
        <w:spacing w:after="0"/>
        <w:rPr>
          <w:rFonts w:ascii="Arial" w:hAnsi="Arial" w:cs="Arial"/>
          <w:b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B44F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475C211" wp14:editId="04A2D095">
            <wp:extent cx="4152900" cy="27508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Ao mesmo tempo, o quadro a seguir traz o mapa de palavras, que sistematiza a organização das principais ideias. Devido aos principais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se repetirem, em uma primeira análise, o mapa para a questão dois é bastante </w:t>
      </w:r>
      <w:r w:rsidRPr="005B44FF">
        <w:rPr>
          <w:rFonts w:ascii="Arial" w:hAnsi="Arial" w:cs="Arial"/>
          <w:sz w:val="24"/>
          <w:szCs w:val="24"/>
        </w:rPr>
        <w:lastRenderedPageBreak/>
        <w:t>semelhante ao anterior, que trata da questão 1. Mas uma análise mais atenta revela outras ligações, sobretudo com relação ao ensino que é colocado como principal atividade e o que deve ser fortalecido.</w:t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Quadro 2 </w:t>
      </w:r>
      <w:r w:rsidR="001A4138">
        <w:rPr>
          <w:rFonts w:ascii="Arial" w:hAnsi="Arial" w:cs="Arial"/>
          <w:sz w:val="24"/>
          <w:szCs w:val="24"/>
        </w:rPr>
        <w:t>– Mapa de palavras “o que estamos fazendo</w:t>
      </w:r>
      <w:bookmarkStart w:id="0" w:name="_GoBack"/>
      <w:bookmarkEnd w:id="0"/>
      <w:r w:rsidRPr="005B44FF">
        <w:rPr>
          <w:rFonts w:ascii="Arial" w:hAnsi="Arial" w:cs="Arial"/>
          <w:sz w:val="24"/>
          <w:szCs w:val="24"/>
        </w:rPr>
        <w:t>?”</w:t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528A5C3" wp14:editId="336C2E8A">
            <wp:extent cx="5713861" cy="2809875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29" t="17883" r="11806" b="16544"/>
                    <a:stretch/>
                  </pic:blipFill>
                  <pic:spPr bwMode="auto">
                    <a:xfrm>
                      <a:off x="0" y="0"/>
                      <a:ext cx="5728850" cy="281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Novamente a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de projetos de ensino, pesquisa e extensão foi a mais citada, o que pode aparecer sob forma de bolsas, iniciação científica, ou fazendo menção aos projetos em si. Comparando com as demais respostas, aqui a ideia de fortalecer especificamente a extensão ou a pesquisa está presente de forma mais isolada do que na questão anterior, na qual ensino, pesquisa e extensão pareciam ser tratados como sinônimos. De qualquer forma, as 3 atividades finalísticas estavam igualmente presentes ao longo das respostas. 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Infraestrutura aparece como uma demanda constante, seja para terminar obras em andamento, questões de sinalização, ampliação ou laboratórios para os novos cursos. No caso da expansão, é citada inclusive a abertura de novos campi do IFRS. Um ponto recorrente foi a pavimentação nos campi e também nos acessos externos. Também na questão aparece o reconhecimento à boa infraestrutura do IFRS, vinculando-a com a qualidade na educação. Em alguns casos as respostas falam em </w:t>
      </w:r>
      <w:proofErr w:type="gramStart"/>
      <w:r w:rsidRPr="005B44FF">
        <w:rPr>
          <w:rFonts w:ascii="Arial" w:hAnsi="Arial" w:cs="Arial"/>
          <w:sz w:val="24"/>
          <w:szCs w:val="24"/>
        </w:rPr>
        <w:t>infraestrutura</w:t>
      </w:r>
      <w:proofErr w:type="gramEnd"/>
      <w:r w:rsidRPr="005B44FF">
        <w:rPr>
          <w:rFonts w:ascii="Arial" w:hAnsi="Arial" w:cs="Arial"/>
          <w:sz w:val="24"/>
          <w:szCs w:val="24"/>
        </w:rPr>
        <w:t xml:space="preserve"> mas, na verdade, se referem a procedimentos ou fluxos como, por exemplo, quando demandada a disponibilização de laboratórios de informática ou espaços de convivência para a comunidade, ou ainda layout de estacionamento, entradas e saídas ou atendimentos.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Dentre as demandas mais frequentes estão as relacionadas à extensão, na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</w:t>
      </w:r>
      <w:r w:rsidRPr="005B44FF">
        <w:rPr>
          <w:rFonts w:ascii="Arial" w:hAnsi="Arial" w:cs="Arial"/>
          <w:i/>
          <w:sz w:val="24"/>
          <w:szCs w:val="24"/>
        </w:rPr>
        <w:t xml:space="preserve">eventos </w:t>
      </w:r>
      <w:r w:rsidRPr="005B44FF">
        <w:rPr>
          <w:rFonts w:ascii="Arial" w:hAnsi="Arial" w:cs="Arial"/>
          <w:sz w:val="24"/>
          <w:szCs w:val="24"/>
        </w:rPr>
        <w:t xml:space="preserve">e </w:t>
      </w:r>
      <w:r w:rsidRPr="005B44FF">
        <w:rPr>
          <w:rFonts w:ascii="Arial" w:hAnsi="Arial" w:cs="Arial"/>
          <w:i/>
          <w:sz w:val="24"/>
          <w:szCs w:val="24"/>
        </w:rPr>
        <w:t>FIC</w:t>
      </w:r>
      <w:r w:rsidRPr="005B44FF">
        <w:rPr>
          <w:rFonts w:ascii="Arial" w:hAnsi="Arial" w:cs="Arial"/>
          <w:sz w:val="24"/>
          <w:szCs w:val="24"/>
        </w:rPr>
        <w:t xml:space="preserve">. Em muitos momentos esse grupo acaba de se confundir, </w:t>
      </w:r>
      <w:r w:rsidRPr="005B44FF">
        <w:rPr>
          <w:rFonts w:ascii="Arial" w:hAnsi="Arial" w:cs="Arial"/>
          <w:sz w:val="24"/>
          <w:szCs w:val="24"/>
        </w:rPr>
        <w:lastRenderedPageBreak/>
        <w:t xml:space="preserve">por exemplo, quando se citam as palestras, semanas acadêmicas, mas também cursos de formação. A extensão aparece como apoio ao </w:t>
      </w:r>
      <w:r w:rsidRPr="005B44FF">
        <w:rPr>
          <w:rFonts w:ascii="Arial" w:hAnsi="Arial" w:cs="Arial"/>
          <w:i/>
          <w:sz w:val="24"/>
          <w:szCs w:val="24"/>
        </w:rPr>
        <w:t>ensino</w:t>
      </w:r>
      <w:r w:rsidRPr="005B44FF">
        <w:rPr>
          <w:rFonts w:ascii="Arial" w:hAnsi="Arial" w:cs="Arial"/>
          <w:sz w:val="24"/>
          <w:szCs w:val="24"/>
        </w:rPr>
        <w:t xml:space="preserve">, mas também como interação com as comunidades e </w:t>
      </w:r>
      <w:r w:rsidRPr="005B44FF">
        <w:rPr>
          <w:rFonts w:ascii="Arial" w:hAnsi="Arial" w:cs="Arial"/>
          <w:i/>
          <w:sz w:val="24"/>
          <w:szCs w:val="24"/>
        </w:rPr>
        <w:t>inserção local</w:t>
      </w:r>
      <w:r w:rsidRPr="005B44FF">
        <w:rPr>
          <w:rFonts w:ascii="Arial" w:hAnsi="Arial" w:cs="Arial"/>
          <w:sz w:val="24"/>
          <w:szCs w:val="24"/>
        </w:rPr>
        <w:t>. Outra ligação foi de tais iniciativas e de atividades práticas como as visitas técnicas.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Os </w:t>
      </w:r>
      <w:r w:rsidRPr="005B44FF">
        <w:rPr>
          <w:rFonts w:ascii="Arial" w:hAnsi="Arial" w:cs="Arial"/>
          <w:i/>
          <w:sz w:val="24"/>
          <w:szCs w:val="24"/>
        </w:rPr>
        <w:t>núcleos</w:t>
      </w:r>
      <w:r w:rsidRPr="005B44FF">
        <w:rPr>
          <w:rFonts w:ascii="Arial" w:hAnsi="Arial" w:cs="Arial"/>
          <w:sz w:val="24"/>
          <w:szCs w:val="24"/>
        </w:rPr>
        <w:t xml:space="preserve"> e </w:t>
      </w:r>
      <w:r w:rsidRPr="005B44FF">
        <w:rPr>
          <w:rFonts w:ascii="Arial" w:hAnsi="Arial" w:cs="Arial"/>
          <w:i/>
          <w:sz w:val="24"/>
          <w:szCs w:val="24"/>
        </w:rPr>
        <w:t>ações afirmativas</w:t>
      </w:r>
      <w:r w:rsidRPr="005B44FF">
        <w:rPr>
          <w:rFonts w:ascii="Arial" w:hAnsi="Arial" w:cs="Arial"/>
          <w:sz w:val="24"/>
          <w:szCs w:val="24"/>
        </w:rPr>
        <w:t xml:space="preserve"> apareceram como pontos de destaque e que podem ser fortalecidos. As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relativas à diversidade também aparecem ligadas a questões de </w:t>
      </w:r>
      <w:r w:rsidRPr="005B44FF">
        <w:rPr>
          <w:rFonts w:ascii="Arial" w:hAnsi="Arial" w:cs="Arial"/>
          <w:i/>
          <w:sz w:val="24"/>
          <w:szCs w:val="24"/>
        </w:rPr>
        <w:t>saúde e segurança</w:t>
      </w:r>
      <w:r w:rsidRPr="005B44FF">
        <w:rPr>
          <w:rFonts w:ascii="Arial" w:hAnsi="Arial" w:cs="Arial"/>
          <w:sz w:val="24"/>
          <w:szCs w:val="24"/>
        </w:rPr>
        <w:t xml:space="preserve">, que diz respeito a iniciativas contemplando os alunos, mas também a qualidade de vida de servidores. Por fim, a </w:t>
      </w:r>
      <w:r w:rsidRPr="005B44FF">
        <w:rPr>
          <w:rFonts w:ascii="Arial" w:hAnsi="Arial" w:cs="Arial"/>
          <w:i/>
          <w:sz w:val="24"/>
          <w:szCs w:val="24"/>
        </w:rPr>
        <w:t>inserção local</w:t>
      </w:r>
      <w:r w:rsidRPr="005B44FF">
        <w:rPr>
          <w:rFonts w:ascii="Arial" w:hAnsi="Arial" w:cs="Arial"/>
          <w:sz w:val="24"/>
          <w:szCs w:val="24"/>
        </w:rPr>
        <w:t xml:space="preserve">, nessa questão, tomou uma forma mais geral de se aproximar da comunidade e soluções para demandas locais; mesmo assim, os núcleos e as questões relativas à diversidade e também sustentabilidade foram apontadas como formas de inserção na comunidade e apoio ao desenvolvimento local. </w:t>
      </w:r>
      <w:r w:rsidRPr="005B44FF">
        <w:rPr>
          <w:rFonts w:ascii="Arial" w:hAnsi="Arial" w:cs="Arial"/>
          <w:sz w:val="24"/>
          <w:szCs w:val="24"/>
        </w:rPr>
        <w:tab/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rPr>
          <w:rFonts w:ascii="Arial" w:hAnsi="Arial" w:cs="Arial"/>
          <w:b/>
          <w:sz w:val="24"/>
          <w:szCs w:val="24"/>
        </w:rPr>
      </w:pPr>
      <w:r w:rsidRPr="005B44FF">
        <w:rPr>
          <w:rFonts w:ascii="Arial" w:hAnsi="Arial" w:cs="Arial"/>
          <w:b/>
          <w:sz w:val="24"/>
          <w:szCs w:val="24"/>
        </w:rPr>
        <w:br w:type="page"/>
      </w:r>
    </w:p>
    <w:p w:rsidR="005B44FF" w:rsidRPr="005B44FF" w:rsidRDefault="005B44FF" w:rsidP="005B44FF">
      <w:pPr>
        <w:pStyle w:val="PargrafodaLista"/>
        <w:numPr>
          <w:ilvl w:val="0"/>
          <w:numId w:val="1"/>
        </w:numPr>
        <w:rPr>
          <w:rFonts w:ascii="Arial" w:hAnsi="Arial" w:cs="Arial"/>
          <w:b/>
          <w:caps/>
          <w:sz w:val="24"/>
          <w:szCs w:val="24"/>
        </w:rPr>
      </w:pPr>
      <w:r w:rsidRPr="005B44FF">
        <w:rPr>
          <w:rFonts w:ascii="Arial" w:hAnsi="Arial" w:cs="Arial"/>
          <w:b/>
          <w:caps/>
          <w:sz w:val="24"/>
          <w:szCs w:val="24"/>
        </w:rPr>
        <w:lastRenderedPageBreak/>
        <w:t>O que precisamos fazer?</w:t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5B44FF">
        <w:rPr>
          <w:rFonts w:ascii="Arial" w:hAnsi="Arial" w:cs="Arial"/>
          <w:i/>
          <w:sz w:val="24"/>
          <w:szCs w:val="24"/>
        </w:rPr>
        <w:t>Pergunta: Em sua opinião, que ações, iniciativas ou projetos poderiam ser realizados pelo IFRS?</w:t>
      </w:r>
    </w:p>
    <w:p w:rsidR="005B44FF" w:rsidRPr="005B44FF" w:rsidRDefault="005B44FF" w:rsidP="005B44FF">
      <w:pPr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>A terceira pergunta fechou o diagnóstico dando espaço para que fossem registradas demandas e sugestões de atuação para o IFRS. Foram aproveitadas 526 respostas e 40 foram descartadas. É interessante observar que boa parte dos descartes se deve ao respondente se sentir contemplado pelas duas questões anteriores.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O gráfico a seguir relaciona as 17 principais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presentes nas respostas. É possível observar que muitas das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se repetem das questões anteriores, sobretudo em termos de projetos de ensino, pesquisa e extensão, de infraestrutura e de inserção local, mostrando uma convergência nas respostas em torno dos temas.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Gráfico 4 – Principais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“o que precisamos </w:t>
      </w:r>
      <w:proofErr w:type="gramStart"/>
      <w:r w:rsidRPr="005B44FF">
        <w:rPr>
          <w:rFonts w:ascii="Arial" w:hAnsi="Arial" w:cs="Arial"/>
          <w:sz w:val="24"/>
          <w:szCs w:val="24"/>
        </w:rPr>
        <w:t>fazer?”</w:t>
      </w:r>
      <w:proofErr w:type="gramEnd"/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4231FB" wp14:editId="7E845FD1">
            <wp:extent cx="4579620" cy="351282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ab/>
        <w:t xml:space="preserve">O mapa de palavras a seguir (Quadro 3) sistematiza os temas abordados na questão 3. Em uma primeira análise já é possível notar que os temas de destaques estão menos concentrados, sobretudo com relação à primeira </w:t>
      </w:r>
      <w:r w:rsidRPr="005B44FF">
        <w:rPr>
          <w:rFonts w:ascii="Arial" w:hAnsi="Arial" w:cs="Arial"/>
          <w:sz w:val="24"/>
          <w:szCs w:val="24"/>
        </w:rPr>
        <w:lastRenderedPageBreak/>
        <w:t xml:space="preserve">questão. Dessa vez a principal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ficou com infraestrutura. Apesar de reconhecer a boa </w:t>
      </w:r>
      <w:r w:rsidRPr="005B44FF">
        <w:rPr>
          <w:rFonts w:ascii="Arial" w:hAnsi="Arial" w:cs="Arial"/>
          <w:i/>
          <w:sz w:val="24"/>
          <w:szCs w:val="24"/>
        </w:rPr>
        <w:t>infraestrutura</w:t>
      </w:r>
      <w:r w:rsidRPr="005B44FF">
        <w:rPr>
          <w:rFonts w:ascii="Arial" w:hAnsi="Arial" w:cs="Arial"/>
          <w:sz w:val="24"/>
          <w:szCs w:val="24"/>
        </w:rPr>
        <w:t xml:space="preserve"> do IFRS e os recentes investimentos em equipamentos como salas de aula, estacionamento e biblioteca, os respondentes colocam novas demandas como prioridade. Reconhecendo que a “estrutura básica” estaria contemplada, surgem novas demandas com relação à ampliação dos espaços existentes, vislumbrando expansão das atividades e ofertas do IFRS. Ao mesmo tempo, outros equipamentos são ressaltados como no caso dos laboratórios e das estruturas para prática esportiva (ginásio ou quadras). Nessa linha, os espaços de lazer, convivência e integração também aparecem com boa frequência nas respostas, juntamente com a necessidade de espaços para alimentação, seja vinculando a ações de assistência estudantil, ou simplesmente que se tenha a presença de bares e cantinas nas unidades.</w:t>
      </w: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Quadro 3 – Mapa de palavras “o que precisamos </w:t>
      </w:r>
      <w:proofErr w:type="gramStart"/>
      <w:r w:rsidRPr="005B44FF">
        <w:rPr>
          <w:rFonts w:ascii="Arial" w:hAnsi="Arial" w:cs="Arial"/>
          <w:sz w:val="24"/>
          <w:szCs w:val="24"/>
        </w:rPr>
        <w:t>fazer?”</w:t>
      </w:r>
      <w:proofErr w:type="gramEnd"/>
    </w:p>
    <w:p w:rsidR="005B44FF" w:rsidRPr="005B44FF" w:rsidRDefault="005B44FF" w:rsidP="005B44FF">
      <w:pPr>
        <w:jc w:val="both"/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5CDBDF" wp14:editId="006BD91A">
            <wp:extent cx="5400040" cy="2816860"/>
            <wp:effectExtent l="0" t="0" r="0" b="254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4541" t="17708" r="14009" b="16004"/>
                    <a:stretch/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FF" w:rsidRPr="005B44FF" w:rsidRDefault="005B44FF" w:rsidP="005B44FF">
      <w:pPr>
        <w:rPr>
          <w:rFonts w:ascii="Arial" w:hAnsi="Arial" w:cs="Arial"/>
          <w:sz w:val="24"/>
          <w:szCs w:val="24"/>
        </w:rPr>
      </w:pP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>Novamente os</w:t>
      </w:r>
      <w:r w:rsidRPr="005B44FF">
        <w:rPr>
          <w:rFonts w:ascii="Arial" w:hAnsi="Arial" w:cs="Arial"/>
          <w:i/>
          <w:sz w:val="24"/>
          <w:szCs w:val="24"/>
        </w:rPr>
        <w:t xml:space="preserve"> projetos EPE</w:t>
      </w:r>
      <w:r w:rsidRPr="005B44FF">
        <w:rPr>
          <w:rFonts w:ascii="Arial" w:hAnsi="Arial" w:cs="Arial"/>
          <w:sz w:val="24"/>
          <w:szCs w:val="24"/>
        </w:rPr>
        <w:t xml:space="preserve"> são destaque, nessa questão pensando em fortalecer e expandir. No detalhamento das respostas, temas específicos estão presentes como os voltados aos ambientes de inovação e transferência de tecnologia, ou projetos voltados à </w:t>
      </w:r>
      <w:r w:rsidRPr="005B44FF">
        <w:rPr>
          <w:rFonts w:ascii="Arial" w:hAnsi="Arial" w:cs="Arial"/>
          <w:i/>
          <w:sz w:val="24"/>
          <w:szCs w:val="24"/>
        </w:rPr>
        <w:t>inclusão</w:t>
      </w:r>
      <w:r w:rsidRPr="005B44FF">
        <w:rPr>
          <w:rFonts w:ascii="Arial" w:hAnsi="Arial" w:cs="Arial"/>
          <w:sz w:val="24"/>
          <w:szCs w:val="24"/>
        </w:rPr>
        <w:t xml:space="preserve"> e à diversidade, vinculando tais proposições à atuação dos </w:t>
      </w:r>
      <w:r w:rsidRPr="005B44FF">
        <w:rPr>
          <w:rFonts w:ascii="Arial" w:hAnsi="Arial" w:cs="Arial"/>
          <w:i/>
          <w:sz w:val="24"/>
          <w:szCs w:val="24"/>
        </w:rPr>
        <w:t>núcleos.</w:t>
      </w:r>
      <w:r w:rsidRPr="005B44FF">
        <w:rPr>
          <w:rFonts w:ascii="Arial" w:hAnsi="Arial" w:cs="Arial"/>
          <w:sz w:val="24"/>
          <w:szCs w:val="24"/>
        </w:rPr>
        <w:t xml:space="preserve"> Foram destaque ações relacionando os projetos e as </w:t>
      </w:r>
      <w:r w:rsidRPr="005B44FF">
        <w:rPr>
          <w:rFonts w:ascii="Arial" w:hAnsi="Arial" w:cs="Arial"/>
          <w:i/>
          <w:sz w:val="24"/>
          <w:szCs w:val="24"/>
        </w:rPr>
        <w:t>atividades práticas</w:t>
      </w:r>
      <w:r w:rsidRPr="005B44FF">
        <w:rPr>
          <w:rFonts w:ascii="Arial" w:hAnsi="Arial" w:cs="Arial"/>
          <w:sz w:val="24"/>
          <w:szCs w:val="24"/>
        </w:rPr>
        <w:t xml:space="preserve"> como apoio ao ensino, como visitas técnicas, aulas práticas e atividades de campo, entre outros. 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lastRenderedPageBreak/>
        <w:t xml:space="preserve">A demanda por </w:t>
      </w:r>
      <w:r w:rsidRPr="005B44FF">
        <w:rPr>
          <w:rFonts w:ascii="Arial" w:hAnsi="Arial" w:cs="Arial"/>
          <w:i/>
          <w:sz w:val="24"/>
          <w:szCs w:val="24"/>
        </w:rPr>
        <w:t>novos cursos</w:t>
      </w:r>
      <w:r w:rsidRPr="005B44FF">
        <w:rPr>
          <w:rFonts w:ascii="Arial" w:hAnsi="Arial" w:cs="Arial"/>
          <w:sz w:val="24"/>
          <w:szCs w:val="24"/>
        </w:rPr>
        <w:t xml:space="preserve"> é frequente e se dá tanto em termos de verticalização, quando são sugeridos cursos superiores ou de pós-graduação, como na abertura de novos eixos. Paralelo a isso, os cursos </w:t>
      </w:r>
      <w:r w:rsidRPr="005B44FF">
        <w:rPr>
          <w:rFonts w:ascii="Arial" w:hAnsi="Arial" w:cs="Arial"/>
          <w:i/>
          <w:sz w:val="24"/>
          <w:szCs w:val="24"/>
        </w:rPr>
        <w:t>FIC</w:t>
      </w:r>
      <w:r w:rsidRPr="005B44FF">
        <w:rPr>
          <w:rFonts w:ascii="Arial" w:hAnsi="Arial" w:cs="Arial"/>
          <w:sz w:val="24"/>
          <w:szCs w:val="24"/>
        </w:rPr>
        <w:t xml:space="preserve"> são um tema recorrente, que podem tanto apoiar os cursos existentes, complementando a formação, como também ser mecanismo para </w:t>
      </w:r>
      <w:r w:rsidRPr="005B44FF">
        <w:rPr>
          <w:rFonts w:ascii="Arial" w:hAnsi="Arial" w:cs="Arial"/>
          <w:i/>
          <w:sz w:val="24"/>
          <w:szCs w:val="24"/>
        </w:rPr>
        <w:t>inserção local</w:t>
      </w:r>
      <w:r w:rsidRPr="005B44FF">
        <w:rPr>
          <w:rFonts w:ascii="Arial" w:hAnsi="Arial" w:cs="Arial"/>
          <w:sz w:val="24"/>
          <w:szCs w:val="24"/>
        </w:rPr>
        <w:t xml:space="preserve"> e integração com a comunidade. O fato é que as ações de extensão (FIC, programas, projetos e eventos) acabam por ser transversais como destaque positivo e demanda por seu fortalecimento.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Ao mesmo tempo, as </w:t>
      </w:r>
      <w:r w:rsidRPr="005B44FF">
        <w:rPr>
          <w:rFonts w:ascii="Arial" w:hAnsi="Arial" w:cs="Arial"/>
          <w:i/>
          <w:sz w:val="24"/>
          <w:szCs w:val="24"/>
        </w:rPr>
        <w:t>parceria</w:t>
      </w:r>
      <w:r w:rsidRPr="005B44FF">
        <w:rPr>
          <w:rFonts w:ascii="Arial" w:hAnsi="Arial" w:cs="Arial"/>
          <w:sz w:val="24"/>
          <w:szCs w:val="24"/>
        </w:rPr>
        <w:t xml:space="preserve">s com instituições locais e setor produtivo estão diretamente relacionadas à inserção local e projetos EPE, seja no estabelecimento de parcerias com entidades públicas para o desenvolvimento de novas ações ou projetos, mas também integração com os arranjos locais. Nesse sentido, uma demanda frequente está relacionando as parcerias com a inserção no mundo do trabalho e possibilidades de estágios – o que também retoma a </w:t>
      </w:r>
      <w:proofErr w:type="spellStart"/>
      <w:r w:rsidRPr="005B44FF">
        <w:rPr>
          <w:rFonts w:ascii="Arial" w:hAnsi="Arial" w:cs="Arial"/>
          <w:sz w:val="24"/>
          <w:szCs w:val="24"/>
        </w:rPr>
        <w:t>tag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das atividades práticas. 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Outras demandas mais relativas aos processos internos estão nas </w:t>
      </w:r>
      <w:proofErr w:type="spellStart"/>
      <w:r w:rsidRPr="005B44FF">
        <w:rPr>
          <w:rFonts w:ascii="Arial" w:hAnsi="Arial" w:cs="Arial"/>
          <w:sz w:val="24"/>
          <w:szCs w:val="24"/>
        </w:rPr>
        <w:t>tags</w:t>
      </w:r>
      <w:proofErr w:type="spellEnd"/>
      <w:r w:rsidRPr="005B44FF">
        <w:rPr>
          <w:rFonts w:ascii="Arial" w:hAnsi="Arial" w:cs="Arial"/>
          <w:sz w:val="24"/>
          <w:szCs w:val="24"/>
        </w:rPr>
        <w:t xml:space="preserve"> de comunicação e divulgação. A divulgação aparece como fator importante, seja a divulgação das ações dos </w:t>
      </w:r>
      <w:r w:rsidRPr="005B44FF">
        <w:rPr>
          <w:rFonts w:ascii="Arial" w:hAnsi="Arial" w:cs="Arial"/>
          <w:i/>
          <w:sz w:val="24"/>
          <w:szCs w:val="24"/>
        </w:rPr>
        <w:t>campi</w:t>
      </w:r>
      <w:r w:rsidRPr="005B44FF">
        <w:rPr>
          <w:rFonts w:ascii="Arial" w:hAnsi="Arial" w:cs="Arial"/>
          <w:sz w:val="24"/>
          <w:szCs w:val="24"/>
        </w:rPr>
        <w:t xml:space="preserve"> nas comunidades, mas também dos projetos e iniciativas para o público interno. Em muitos casos os respondentes demandam ações de integração dos novos alunos nos campi, integração entre servidores, alunos e comunidade externa e uma maior divulgação dos projetos EPE, seja os que acontecem nas próprias unidades, ou também em outros </w:t>
      </w:r>
      <w:r w:rsidRPr="005B44FF">
        <w:rPr>
          <w:rFonts w:ascii="Arial" w:hAnsi="Arial" w:cs="Arial"/>
          <w:i/>
          <w:sz w:val="24"/>
          <w:szCs w:val="24"/>
        </w:rPr>
        <w:t>campi</w:t>
      </w:r>
      <w:r w:rsidRPr="005B44FF">
        <w:rPr>
          <w:rFonts w:ascii="Arial" w:hAnsi="Arial" w:cs="Arial"/>
          <w:sz w:val="24"/>
          <w:szCs w:val="24"/>
        </w:rPr>
        <w:t>.</w:t>
      </w:r>
    </w:p>
    <w:p w:rsidR="005B44FF" w:rsidRPr="005B44FF" w:rsidRDefault="005B44FF" w:rsidP="005B44F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t xml:space="preserve">Também, a comunicação aparece em sentido mais amplo, retomando questões de comunicação institucional, relação com as chefias e gestão de pessoas. Por fim, foi dado destaque aos </w:t>
      </w:r>
      <w:r w:rsidRPr="005B44FF">
        <w:rPr>
          <w:rFonts w:ascii="Arial" w:hAnsi="Arial" w:cs="Arial"/>
          <w:i/>
          <w:sz w:val="24"/>
          <w:szCs w:val="24"/>
        </w:rPr>
        <w:t xml:space="preserve">fluxos </w:t>
      </w:r>
      <w:r w:rsidRPr="005B44FF">
        <w:rPr>
          <w:rFonts w:ascii="Arial" w:hAnsi="Arial" w:cs="Arial"/>
          <w:sz w:val="24"/>
          <w:szCs w:val="24"/>
        </w:rPr>
        <w:t>e processos internos, fazendo menção ao mapeamento e à formalização de fluxos, o que inclui atenção aos processos de planejamento.</w:t>
      </w:r>
    </w:p>
    <w:p w:rsidR="005B44FF" w:rsidRPr="005B44FF" w:rsidRDefault="005B44FF" w:rsidP="005B44FF">
      <w:pPr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sz w:val="24"/>
          <w:szCs w:val="24"/>
        </w:rPr>
        <w:br w:type="page"/>
      </w:r>
    </w:p>
    <w:p w:rsidR="005B44FF" w:rsidRPr="005B44FF" w:rsidRDefault="005B44FF" w:rsidP="005B44FF">
      <w:pPr>
        <w:spacing w:after="0"/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b/>
          <w:sz w:val="28"/>
          <w:szCs w:val="28"/>
        </w:rPr>
        <w:lastRenderedPageBreak/>
        <w:t>ANEXO</w:t>
      </w:r>
      <w:r>
        <w:rPr>
          <w:rFonts w:ascii="Arial" w:hAnsi="Arial" w:cs="Arial"/>
          <w:b/>
          <w:sz w:val="28"/>
          <w:szCs w:val="28"/>
        </w:rPr>
        <w:t xml:space="preserve"> – Questionário Google </w:t>
      </w:r>
      <w:proofErr w:type="spellStart"/>
      <w:r>
        <w:rPr>
          <w:rFonts w:ascii="Arial" w:hAnsi="Arial" w:cs="Arial"/>
          <w:b/>
          <w:sz w:val="28"/>
          <w:szCs w:val="28"/>
        </w:rPr>
        <w:t>Forms</w:t>
      </w:r>
      <w:proofErr w:type="spellEnd"/>
      <w:r w:rsidRPr="005B44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4745AD0" wp14:editId="3ECCC963">
            <wp:extent cx="5638800" cy="763966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37" t="15688" r="33855" b="5250"/>
                    <a:stretch/>
                  </pic:blipFill>
                  <pic:spPr bwMode="auto">
                    <a:xfrm>
                      <a:off x="0" y="0"/>
                      <a:ext cx="5659285" cy="766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4FF" w:rsidRPr="005B44FF" w:rsidRDefault="005B44FF" w:rsidP="005B44FF">
      <w:pPr>
        <w:rPr>
          <w:rFonts w:ascii="Arial" w:hAnsi="Arial" w:cs="Arial"/>
          <w:sz w:val="24"/>
          <w:szCs w:val="24"/>
        </w:rPr>
      </w:pPr>
      <w:r w:rsidRPr="005B44FF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156A884" wp14:editId="048BA9B9">
            <wp:extent cx="5486400" cy="61036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751" t="10668" r="28916" b="5563"/>
                    <a:stretch/>
                  </pic:blipFill>
                  <pic:spPr bwMode="auto">
                    <a:xfrm>
                      <a:off x="0" y="0"/>
                      <a:ext cx="5496065" cy="611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DE8" w:rsidRPr="005B44FF" w:rsidRDefault="00BC4DE8" w:rsidP="005B44FF">
      <w:pPr>
        <w:rPr>
          <w:rFonts w:ascii="Arial" w:hAnsi="Arial" w:cs="Arial"/>
          <w:sz w:val="24"/>
          <w:szCs w:val="24"/>
        </w:rPr>
      </w:pPr>
    </w:p>
    <w:p w:rsidR="00A828D5" w:rsidRPr="005B44FF" w:rsidRDefault="00A828D5" w:rsidP="005B44FF">
      <w:pPr>
        <w:rPr>
          <w:rFonts w:ascii="Arial" w:hAnsi="Arial" w:cs="Arial"/>
          <w:sz w:val="24"/>
          <w:szCs w:val="24"/>
        </w:rPr>
      </w:pPr>
    </w:p>
    <w:p w:rsidR="00142D8F" w:rsidRPr="005B44FF" w:rsidRDefault="00142D8F" w:rsidP="005B44FF">
      <w:pPr>
        <w:rPr>
          <w:rFonts w:ascii="Arial" w:hAnsi="Arial" w:cs="Arial"/>
          <w:sz w:val="24"/>
          <w:szCs w:val="24"/>
        </w:rPr>
      </w:pPr>
    </w:p>
    <w:p w:rsidR="00142D8F" w:rsidRPr="005B44FF" w:rsidRDefault="00142D8F" w:rsidP="005B44FF">
      <w:pPr>
        <w:rPr>
          <w:rFonts w:ascii="Arial" w:hAnsi="Arial" w:cs="Arial"/>
          <w:sz w:val="24"/>
          <w:szCs w:val="24"/>
        </w:rPr>
      </w:pPr>
    </w:p>
    <w:sectPr w:rsidR="00142D8F" w:rsidRPr="005B44FF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B2F" w:rsidRDefault="00F61B2F" w:rsidP="0090263C">
      <w:pPr>
        <w:spacing w:after="0" w:line="240" w:lineRule="auto"/>
      </w:pPr>
      <w:r>
        <w:separator/>
      </w:r>
    </w:p>
  </w:endnote>
  <w:endnote w:type="continuationSeparator" w:id="0">
    <w:p w:rsidR="00F61B2F" w:rsidRDefault="00F61B2F" w:rsidP="00902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8D5" w:rsidRDefault="00A828D5">
    <w:pPr>
      <w:pStyle w:val="Rodap"/>
    </w:pPr>
    <w:r w:rsidRPr="00A828D5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2690" cy="982345"/>
          <wp:effectExtent l="0" t="0" r="0" b="8255"/>
          <wp:wrapSquare wrapText="bothSides"/>
          <wp:docPr id="2" name="Imagem 2" descr="Y:\lnk_comunicacao\#Comunicacao Visual\MATERIAIS REITORIA\2018\PDI 2018\png_folhatimbrad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lnk_comunicacao\#Comunicacao Visual\MATERIAIS REITORIA\2018\PDI 2018\png_folhatimbrada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01"/>
                  <a:stretch/>
                </pic:blipFill>
                <pic:spPr bwMode="auto">
                  <a:xfrm>
                    <a:off x="0" y="0"/>
                    <a:ext cx="7552690" cy="982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B2F" w:rsidRDefault="00F61B2F" w:rsidP="0090263C">
      <w:pPr>
        <w:spacing w:after="0" w:line="240" w:lineRule="auto"/>
      </w:pPr>
      <w:r>
        <w:separator/>
      </w:r>
    </w:p>
  </w:footnote>
  <w:footnote w:type="continuationSeparator" w:id="0">
    <w:p w:rsidR="00F61B2F" w:rsidRDefault="00F61B2F" w:rsidP="0090263C">
      <w:pPr>
        <w:spacing w:after="0" w:line="240" w:lineRule="auto"/>
      </w:pPr>
      <w:r>
        <w:continuationSeparator/>
      </w:r>
    </w:p>
  </w:footnote>
  <w:footnote w:id="1">
    <w:p w:rsidR="005B44FF" w:rsidRPr="001D1499" w:rsidRDefault="005B44FF" w:rsidP="005B44FF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A matriz SWOT ou FOFA é uma ferramenta bastante utilizada no planejamento estratégico, buscando analisar fatores internos e externos que possam contribuir ou prejudicar uma instituição. O acrônimo representa os quadrantes da matriz, ou seja, </w:t>
      </w:r>
      <w:proofErr w:type="spellStart"/>
      <w:r>
        <w:rPr>
          <w:i/>
        </w:rPr>
        <w:t>strengths</w:t>
      </w:r>
      <w:proofErr w:type="spellEnd"/>
      <w:r>
        <w:t xml:space="preserve">, </w:t>
      </w:r>
      <w:proofErr w:type="spellStart"/>
      <w:r>
        <w:rPr>
          <w:i/>
        </w:rPr>
        <w:t>weaknesses</w:t>
      </w:r>
      <w:proofErr w:type="spellEnd"/>
      <w:r>
        <w:t xml:space="preserve">, </w:t>
      </w:r>
      <w:proofErr w:type="spellStart"/>
      <w:r>
        <w:rPr>
          <w:i/>
        </w:rPr>
        <w:t>opportunities</w:t>
      </w:r>
      <w:proofErr w:type="spellEnd"/>
      <w:r>
        <w:t xml:space="preserve">, </w:t>
      </w:r>
      <w:proofErr w:type="spellStart"/>
      <w:r>
        <w:rPr>
          <w:i/>
        </w:rPr>
        <w:t>threats</w:t>
      </w:r>
      <w:proofErr w:type="spellEnd"/>
      <w:r>
        <w:rPr>
          <w:i/>
        </w:rPr>
        <w:t xml:space="preserve"> </w:t>
      </w:r>
      <w:r>
        <w:t>(forças, fraquezas, ameaças e oportunidades).</w:t>
      </w:r>
    </w:p>
  </w:footnote>
  <w:footnote w:id="2">
    <w:p w:rsidR="005B44FF" w:rsidRPr="000C5519" w:rsidRDefault="005B44FF" w:rsidP="005B44FF">
      <w:pPr>
        <w:pStyle w:val="Textodenotaderodap"/>
      </w:pPr>
      <w:r w:rsidRPr="000C5519">
        <w:rPr>
          <w:rStyle w:val="Refdenotaderodap"/>
        </w:rPr>
        <w:footnoteRef/>
      </w:r>
      <w:r w:rsidRPr="000C5519">
        <w:t xml:space="preserve"> </w:t>
      </w:r>
      <w:r w:rsidRPr="000C5519">
        <w:rPr>
          <w:rFonts w:ascii="Calibri" w:hAnsi="Calibri" w:cs="Calibri"/>
          <w:noProof/>
        </w:rPr>
        <w:t xml:space="preserve">BARDIN, Laurence. </w:t>
      </w:r>
      <w:r w:rsidRPr="000C5519">
        <w:rPr>
          <w:rFonts w:ascii="Calibri" w:hAnsi="Calibri" w:cs="Calibri"/>
          <w:b/>
          <w:bCs/>
          <w:noProof/>
        </w:rPr>
        <w:t>Análise de conteúdo</w:t>
      </w:r>
      <w:r w:rsidRPr="000C5519">
        <w:rPr>
          <w:rFonts w:ascii="Calibri" w:hAnsi="Calibri" w:cs="Calibri"/>
          <w:noProof/>
        </w:rPr>
        <w:t>. São Paulo: Edições 70, 2011.</w:t>
      </w:r>
    </w:p>
  </w:footnote>
  <w:footnote w:id="3">
    <w:p w:rsidR="005B44FF" w:rsidRDefault="005B44FF" w:rsidP="005B44F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0C5519">
        <w:t>https://wordart.com/gallery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63C" w:rsidRDefault="0090263C">
    <w:pPr>
      <w:pStyle w:val="Cabealho"/>
    </w:pPr>
    <w:r w:rsidRPr="0090263C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AC8750A" wp14:editId="473EA918">
          <wp:simplePos x="0" y="0"/>
          <wp:positionH relativeFrom="margin">
            <wp:posOffset>-1080655</wp:posOffset>
          </wp:positionH>
          <wp:positionV relativeFrom="margin">
            <wp:posOffset>-901997</wp:posOffset>
          </wp:positionV>
          <wp:extent cx="7705725" cy="486410"/>
          <wp:effectExtent l="0" t="0" r="0" b="0"/>
          <wp:wrapSquare wrapText="bothSides"/>
          <wp:docPr id="1" name="Imagem 1" descr="Y:\lnk_comunicacao\#Comunicacao Visual\MATERIAIS REITORIA\2018\PDI 2018\png_folhatimbra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lnk_comunicacao\#Comunicacao Visual\MATERIAIS REITORIA\2018\PDI 2018\png_folhatimbrada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692"/>
                  <a:stretch/>
                </pic:blipFill>
                <pic:spPr bwMode="auto">
                  <a:xfrm>
                    <a:off x="0" y="0"/>
                    <a:ext cx="770572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41FD1"/>
    <w:multiLevelType w:val="hybridMultilevel"/>
    <w:tmpl w:val="A39E5B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63C"/>
    <w:rsid w:val="00073EE3"/>
    <w:rsid w:val="00142D8F"/>
    <w:rsid w:val="001A4138"/>
    <w:rsid w:val="001A5870"/>
    <w:rsid w:val="002742B7"/>
    <w:rsid w:val="002A62D6"/>
    <w:rsid w:val="003470E1"/>
    <w:rsid w:val="003B0BE1"/>
    <w:rsid w:val="003E0477"/>
    <w:rsid w:val="004217DD"/>
    <w:rsid w:val="00433DAE"/>
    <w:rsid w:val="00473E4F"/>
    <w:rsid w:val="004D2C25"/>
    <w:rsid w:val="005B44FF"/>
    <w:rsid w:val="005D3DC7"/>
    <w:rsid w:val="007C65A7"/>
    <w:rsid w:val="008F128C"/>
    <w:rsid w:val="0090263C"/>
    <w:rsid w:val="00955614"/>
    <w:rsid w:val="00961B5F"/>
    <w:rsid w:val="00983379"/>
    <w:rsid w:val="00A14EAB"/>
    <w:rsid w:val="00A828D5"/>
    <w:rsid w:val="00B7305B"/>
    <w:rsid w:val="00B7346E"/>
    <w:rsid w:val="00BC4DE8"/>
    <w:rsid w:val="00CC0576"/>
    <w:rsid w:val="00D81AFF"/>
    <w:rsid w:val="00E26B89"/>
    <w:rsid w:val="00EC530F"/>
    <w:rsid w:val="00F61B2F"/>
    <w:rsid w:val="00F9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66E02A"/>
  <w15:chartTrackingRefBased/>
  <w15:docId w15:val="{3CA4F83F-41B1-4EC3-8C76-BB85B83A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5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2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263C"/>
  </w:style>
  <w:style w:type="paragraph" w:styleId="Rodap">
    <w:name w:val="footer"/>
    <w:basedOn w:val="Normal"/>
    <w:link w:val="RodapChar"/>
    <w:uiPriority w:val="99"/>
    <w:unhideWhenUsed/>
    <w:rsid w:val="00902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263C"/>
  </w:style>
  <w:style w:type="table" w:customStyle="1" w:styleId="Calendrio3">
    <w:name w:val="Calendário 3"/>
    <w:basedOn w:val="Tabelanormal"/>
    <w:uiPriority w:val="99"/>
    <w:qFormat/>
    <w:rsid w:val="00CC0576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eastAsia="pt-BR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B734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46E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B44F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B44F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B44FF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5B44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2926</Words>
  <Characters>15802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</dc:creator>
  <cp:keywords/>
  <dc:description/>
  <cp:lastModifiedBy>Bruno Diniz Machado</cp:lastModifiedBy>
  <cp:revision>3</cp:revision>
  <cp:lastPrinted>2018-05-03T17:47:00Z</cp:lastPrinted>
  <dcterms:created xsi:type="dcterms:W3CDTF">2018-06-04T15:04:00Z</dcterms:created>
  <dcterms:modified xsi:type="dcterms:W3CDTF">2018-06-04T17:49:00Z</dcterms:modified>
</cp:coreProperties>
</file>