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B0" w:rsidRDefault="00A16F70" w:rsidP="003E13B0">
      <w:pPr>
        <w:pStyle w:val="Cabealho"/>
      </w:pPr>
      <w: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45"/>
      </w:tblGrid>
      <w:tr w:rsidR="003E13B0" w:rsidRPr="009747AE" w:rsidTr="003E13B0">
        <w:trPr>
          <w:cantSplit/>
          <w:trHeight w:val="482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0" w:rsidRPr="00A40123" w:rsidRDefault="003E13B0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A40123">
              <w:rPr>
                <w:rFonts w:ascii="Arial" w:hAnsi="Arial"/>
                <w:noProof/>
                <w:color w:val="000000"/>
              </w:rPr>
              <w:drawing>
                <wp:inline distT="0" distB="0" distL="0" distR="0">
                  <wp:extent cx="2066925" cy="774841"/>
                  <wp:effectExtent l="19050" t="0" r="0" b="0"/>
                  <wp:docPr id="9" name="Imagem 4" descr="http://www.ifrs.edu.br/site/midias/arquivos/20151027135070horizontal_nov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frs.edu.br/site/midias/arquivos/20151027135070horizontal_nova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448" cy="776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123">
              <w:rPr>
                <w:rFonts w:ascii="Arial" w:hAnsi="Arial"/>
                <w:b/>
                <w:color w:val="000000"/>
              </w:rPr>
              <w:t>REITORIA</w:t>
            </w:r>
          </w:p>
          <w:p w:rsidR="003E13B0" w:rsidRPr="00A40123" w:rsidRDefault="003E13B0" w:rsidP="0065730F">
            <w:pPr>
              <w:pStyle w:val="Cabealho"/>
              <w:spacing w:line="36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B0" w:rsidRDefault="003E13B0" w:rsidP="0065730F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56515</wp:posOffset>
                  </wp:positionV>
                  <wp:extent cx="408305" cy="415290"/>
                  <wp:effectExtent l="1905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13B0" w:rsidRDefault="003E13B0" w:rsidP="0065730F">
            <w:pPr>
              <w:jc w:val="center"/>
              <w:rPr>
                <w:b/>
              </w:rPr>
            </w:pPr>
          </w:p>
          <w:p w:rsidR="003E13B0" w:rsidRDefault="003E13B0" w:rsidP="0065730F">
            <w:pPr>
              <w:jc w:val="center"/>
              <w:rPr>
                <w:b/>
              </w:rPr>
            </w:pPr>
          </w:p>
          <w:p w:rsidR="003E13B0" w:rsidRPr="0088353F" w:rsidRDefault="003E13B0" w:rsidP="006573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Ministério da Educação</w:t>
            </w:r>
          </w:p>
          <w:p w:rsidR="003E13B0" w:rsidRPr="0088353F" w:rsidRDefault="003E13B0" w:rsidP="006573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>Secretaria de Educação Profissional e Tecnológica</w:t>
            </w:r>
          </w:p>
          <w:p w:rsidR="003E13B0" w:rsidRPr="00BB638F" w:rsidRDefault="003E13B0" w:rsidP="0065730F">
            <w:pPr>
              <w:jc w:val="center"/>
              <w:rPr>
                <w:rFonts w:ascii="Arial" w:hAnsi="Arial" w:cs="Arial"/>
                <w:b/>
              </w:rPr>
            </w:pPr>
            <w:r w:rsidRPr="0088353F">
              <w:rPr>
                <w:rFonts w:ascii="Times New Roman" w:hAnsi="Times New Roman" w:cs="Times New Roman"/>
                <w:b/>
              </w:rPr>
              <w:t xml:space="preserve">Instituto Federal de Educação, Ciência e Tecnologia do Rio Grande do </w:t>
            </w:r>
            <w:proofErr w:type="gramStart"/>
            <w:r w:rsidRPr="0088353F">
              <w:rPr>
                <w:rFonts w:ascii="Times New Roman" w:hAnsi="Times New Roman" w:cs="Times New Roman"/>
                <w:b/>
              </w:rPr>
              <w:t>Sul</w:t>
            </w:r>
            <w:proofErr w:type="gramEnd"/>
          </w:p>
        </w:tc>
      </w:tr>
      <w:tr w:rsidR="003E13B0" w:rsidRPr="009747AE" w:rsidTr="003E13B0">
        <w:trPr>
          <w:cantSplit/>
          <w:trHeight w:val="93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B0" w:rsidRPr="009747AE" w:rsidRDefault="003E13B0" w:rsidP="0065730F">
            <w:pPr>
              <w:rPr>
                <w:rFonts w:ascii="Arial" w:hAnsi="Arial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B0" w:rsidRPr="009747AE" w:rsidRDefault="003E13B0" w:rsidP="0065730F">
            <w:pPr>
              <w:rPr>
                <w:rFonts w:ascii="Arial" w:hAnsi="Arial"/>
                <w:b/>
              </w:rPr>
            </w:pPr>
          </w:p>
        </w:tc>
      </w:tr>
    </w:tbl>
    <w:p w:rsidR="003E13B0" w:rsidRDefault="003E13B0" w:rsidP="003E13B0">
      <w:pPr>
        <w:pStyle w:val="Cabealho"/>
      </w:pPr>
    </w:p>
    <w:p w:rsidR="00EB14FF" w:rsidRDefault="00EB14FF"/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1F126D" w:rsidRDefault="0008018A" w:rsidP="00A65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COMPRAS 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Lei 8.666/93 Art. </w:t>
            </w:r>
            <w:r w:rsidR="001F126D">
              <w:rPr>
                <w:rFonts w:ascii="Arial" w:hAnsi="Arial" w:cs="Arial"/>
                <w:b/>
                <w:sz w:val="20"/>
                <w:szCs w:val="20"/>
              </w:rPr>
              <w:t xml:space="preserve">25, </w:t>
            </w:r>
            <w:r w:rsidR="00A658C8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</w:p>
          <w:p w:rsidR="00A658C8" w:rsidRDefault="00A658C8" w:rsidP="00A658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58C8" w:rsidRPr="00186CCD" w:rsidRDefault="00A658C8" w:rsidP="00A65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Para contratação de profissional de qualquer setor artístico, diretamente ou através de empresário exclusivo, desde que consagrado pela crítica especializada ou pela opinião pública.</w:t>
            </w:r>
          </w:p>
          <w:p w:rsidR="00BF5953" w:rsidRPr="00186CCD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566255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INEXIGIBLIDADE</w:t>
            </w:r>
            <w:r w:rsidR="001441F4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Nº: _______________</w:t>
            </w:r>
          </w:p>
          <w:p w:rsidR="00567B33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p w:rsidR="001F126D" w:rsidRPr="00186CCD" w:rsidRDefault="001F126D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E38" w:rsidRPr="009A5941" w:rsidTr="00186CCD">
        <w:trPr>
          <w:trHeight w:val="730"/>
        </w:trPr>
        <w:tc>
          <w:tcPr>
            <w:tcW w:w="828" w:type="dxa"/>
            <w:vAlign w:val="center"/>
          </w:tcPr>
          <w:p w:rsidR="00701E38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701E38" w:rsidRPr="00456B44" w:rsidRDefault="00701E3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 w:rsidRPr="00701E38">
              <w:rPr>
                <w:rFonts w:ascii="Ecofont_Spranq_eco_Sans" w:hAnsi="Ecofont_Spranq_eco_Sans" w:cs="Arial"/>
                <w:b/>
                <w:sz w:val="20"/>
              </w:rPr>
              <w:t>Há justificativa que contemple a caracterização da situação de inexigibilidade de licitação, com os elementos necessários à sua configuração, apontando a inviabilidade de competição?</w:t>
            </w:r>
          </w:p>
        </w:tc>
        <w:tc>
          <w:tcPr>
            <w:tcW w:w="845" w:type="dxa"/>
          </w:tcPr>
          <w:p w:rsidR="00701E38" w:rsidRPr="009A5941" w:rsidRDefault="00701E3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701E38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8C8" w:rsidRPr="009A5941" w:rsidTr="00186CCD">
        <w:trPr>
          <w:trHeight w:val="730"/>
        </w:trPr>
        <w:tc>
          <w:tcPr>
            <w:tcW w:w="828" w:type="dxa"/>
            <w:vAlign w:val="center"/>
          </w:tcPr>
          <w:p w:rsidR="00A658C8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A658C8" w:rsidRPr="00701E38" w:rsidRDefault="00A658C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que o objeto da contratação deve ser de serviço de um artista profissional?</w:t>
            </w:r>
          </w:p>
        </w:tc>
        <w:tc>
          <w:tcPr>
            <w:tcW w:w="845" w:type="dxa"/>
          </w:tcPr>
          <w:p w:rsidR="00A658C8" w:rsidRPr="009A5941" w:rsidRDefault="00A658C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658C8" w:rsidRPr="009A5941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8C8" w:rsidRPr="009A5941" w:rsidTr="00186CCD">
        <w:trPr>
          <w:trHeight w:val="730"/>
        </w:trPr>
        <w:tc>
          <w:tcPr>
            <w:tcW w:w="828" w:type="dxa"/>
            <w:vAlign w:val="center"/>
          </w:tcPr>
          <w:p w:rsidR="00A658C8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A658C8" w:rsidRDefault="00A658C8" w:rsidP="00A658C8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que a contratação é direta ou por meio de empresário exclusivo?</w:t>
            </w:r>
          </w:p>
        </w:tc>
        <w:tc>
          <w:tcPr>
            <w:tcW w:w="845" w:type="dxa"/>
          </w:tcPr>
          <w:p w:rsidR="00A658C8" w:rsidRPr="009A5941" w:rsidRDefault="00A658C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658C8" w:rsidRPr="009A5941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8C8" w:rsidRPr="009A5941" w:rsidTr="00186CCD">
        <w:trPr>
          <w:trHeight w:val="730"/>
        </w:trPr>
        <w:tc>
          <w:tcPr>
            <w:tcW w:w="828" w:type="dxa"/>
            <w:vAlign w:val="center"/>
          </w:tcPr>
          <w:p w:rsidR="00A658C8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A658C8" w:rsidRDefault="00A658C8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que o contratado é consagrado pela crítica especializada ou pela opinião pública?</w:t>
            </w:r>
          </w:p>
        </w:tc>
        <w:tc>
          <w:tcPr>
            <w:tcW w:w="845" w:type="dxa"/>
          </w:tcPr>
          <w:p w:rsidR="00A658C8" w:rsidRPr="009A5941" w:rsidRDefault="00A658C8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658C8" w:rsidRPr="009A5941" w:rsidRDefault="00A658C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701E38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11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662D4A" w:rsidP="00456B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662D4A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Em face do valor do objeto, as participantes são microempresas, empresas de pequeno porte e sociedades cooperativas (art. 48, I, da LC nº 123/06, </w:t>
            </w:r>
            <w:r>
              <w:rPr>
                <w:rFonts w:ascii="Ecofont_Spranq_eco_Sans" w:hAnsi="Ecofont_Spranq_eco_Sans" w:cs="Arial"/>
                <w:sz w:val="20"/>
              </w:rPr>
              <w:lastRenderedPageBreak/>
              <w:t>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es)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66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2D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2D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2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3B0" w:rsidRPr="009A5941" w:rsidTr="00186CCD">
        <w:trPr>
          <w:trHeight w:val="283"/>
        </w:trPr>
        <w:tc>
          <w:tcPr>
            <w:tcW w:w="828" w:type="dxa"/>
            <w:vAlign w:val="center"/>
          </w:tcPr>
          <w:p w:rsidR="003E13B0" w:rsidRDefault="003E13B0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5884" w:type="dxa"/>
          </w:tcPr>
          <w:p w:rsidR="003E13B0" w:rsidRDefault="00EF5FAC" w:rsidP="00EF5F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Para os processos em que não haja dúvida jurídica do gestor e minuta de contrato não padronizada, incluir no relatório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 etapa 23 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 citação da ON AGU nº 46, de 26/02/2014 indicando a desnecessidade de encaminhamento do processo para análise jurídica nas aquisições com base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no Art. 25 da Lei 8.666/93, cujos valores estejam enquadrados nos limites dos</w:t>
            </w:r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Incisos I e II do art. 24 da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mesma Lei</w:t>
            </w:r>
            <w:proofErr w:type="gramStart"/>
            <w:r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commentRangeStart w:id="0"/>
            <w:r w:rsidR="003E13B0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proofErr w:type="gramEnd"/>
            <w:r w:rsidR="003E13B0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Neste caso, desconsiderar as etapas</w:t>
            </w:r>
            <w:r w:rsidR="003E13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13B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524EEA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3E13B0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a </w:t>
            </w:r>
            <w:proofErr w:type="gramStart"/>
            <w:r w:rsidR="00524EEA">
              <w:rPr>
                <w:rFonts w:ascii="Arial" w:hAnsi="Arial" w:cs="Arial"/>
                <w:b/>
                <w:color w:val="FF0000"/>
                <w:sz w:val="20"/>
                <w:szCs w:val="20"/>
              </w:rPr>
              <w:t>28</w:t>
            </w:r>
            <w:r w:rsidR="003E13B0" w:rsidRPr="0074177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commentRangeEnd w:id="0"/>
            <w:proofErr w:type="gramEnd"/>
            <w:r w:rsidR="003E13B0">
              <w:rPr>
                <w:rStyle w:val="Refdecomentrio"/>
              </w:rPr>
              <w:commentReference w:id="0"/>
            </w:r>
          </w:p>
        </w:tc>
        <w:tc>
          <w:tcPr>
            <w:tcW w:w="845" w:type="dxa"/>
          </w:tcPr>
          <w:p w:rsidR="003E13B0" w:rsidRPr="009A5941" w:rsidRDefault="003E13B0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3E13B0" w:rsidRPr="009A5941" w:rsidRDefault="003E13B0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Relatório da </w:t>
            </w:r>
            <w:r w:rsidR="00EF5FAC">
              <w:rPr>
                <w:rFonts w:ascii="Arial" w:hAnsi="Arial" w:cs="Arial"/>
                <w:b/>
                <w:sz w:val="20"/>
                <w:szCs w:val="20"/>
              </w:rPr>
              <w:t>Inexigibilidade</w:t>
            </w:r>
            <w:r w:rsidRPr="004E0596">
              <w:rPr>
                <w:rFonts w:ascii="Arial" w:hAnsi="Arial" w:cs="Arial"/>
                <w:b/>
                <w:sz w:val="20"/>
                <w:szCs w:val="20"/>
              </w:rPr>
              <w:t xml:space="preserve">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E1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lastRenderedPageBreak/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3E13B0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</w:tcPr>
          <w:p w:rsidR="008F00C4" w:rsidRPr="009A5941" w:rsidRDefault="008F00C4" w:rsidP="00F321FE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Relatório de pré-empenho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F32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dos dados da Dispensa na Planilha das Dispensas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E13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8F00C4" w:rsidRPr="00EA01C1" w:rsidRDefault="008F00C4" w:rsidP="00F32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Relatório dos</w:t>
            </w:r>
            <w:r w:rsidRPr="00EA01C1">
              <w:rPr>
                <w:rFonts w:ascii="Arial" w:hAnsi="Arial" w:cs="Arial"/>
                <w:sz w:val="20"/>
                <w:szCs w:val="20"/>
              </w:rPr>
              <w:t xml:space="preserve"> dados da Dispensa na Planilha do PAAC 201x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1" w:name="_GoBack"/>
      <w:bookmarkEnd w:id="1"/>
    </w:p>
    <w:sectPr w:rsidR="00B863AF" w:rsidSect="00567B33">
      <w:headerReference w:type="default" r:id="rId14"/>
      <w:footerReference w:type="default" r:id="rId15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.." w:date="2016-09-14T10:01:00Z" w:initials=".">
    <w:p w:rsidR="003E13B0" w:rsidRDefault="003E13B0" w:rsidP="003E13B0">
      <w:pPr>
        <w:pStyle w:val="Textodecomentrio"/>
      </w:pPr>
      <w:r>
        <w:rPr>
          <w:rStyle w:val="Refdecomentrio"/>
        </w:rPr>
        <w:annotationRef/>
      </w:r>
      <w:r>
        <w:t>Incluído Setembro 2016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6D" w:rsidRDefault="001F126D" w:rsidP="00227D18">
      <w:r>
        <w:separator/>
      </w:r>
    </w:p>
  </w:endnote>
  <w:endnote w:type="continuationSeparator" w:id="0">
    <w:p w:rsidR="001F126D" w:rsidRDefault="001F126D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6D" w:rsidRPr="00631AF2" w:rsidRDefault="001F126D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1F126D" w:rsidRDefault="001F126D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1F126D" w:rsidRPr="00923845" w:rsidRDefault="001F126D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524EEA">
      <w:rPr>
        <w:rFonts w:ascii="Times New Roman" w:hAnsi="Times New Roman" w:cs="Times New Roman"/>
        <w:sz w:val="16"/>
        <w:szCs w:val="16"/>
      </w:rPr>
      <w:t>SETEMBRO</w:t>
    </w:r>
    <w:r>
      <w:rPr>
        <w:rFonts w:ascii="Times New Roman" w:hAnsi="Times New Roman" w:cs="Times New Roman"/>
        <w:sz w:val="16"/>
        <w:szCs w:val="16"/>
      </w:rPr>
      <w:t>/</w:t>
    </w:r>
    <w:r w:rsidRPr="00631AF2">
      <w:rPr>
        <w:rFonts w:ascii="Times New Roman" w:hAnsi="Times New Roman" w:cs="Times New Roman"/>
        <w:sz w:val="16"/>
        <w:szCs w:val="16"/>
      </w:rPr>
      <w:t xml:space="preserve"> 201</w:t>
    </w:r>
    <w:r>
      <w:rPr>
        <w:rFonts w:ascii="Times New Roman" w:hAnsi="Times New Roman" w:cs="Times New Roman"/>
        <w:sz w:val="16"/>
        <w:szCs w:val="16"/>
      </w:rPr>
      <w:t>6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1F126D" w:rsidRPr="001E669E" w:rsidRDefault="001F126D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5130EB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5130EB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5FAC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5130EB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130EB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5130EB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F5FAC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5130EB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F126D" w:rsidRDefault="001F12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6D" w:rsidRDefault="001F126D" w:rsidP="00227D18">
      <w:r>
        <w:separator/>
      </w:r>
    </w:p>
  </w:footnote>
  <w:footnote w:type="continuationSeparator" w:id="0">
    <w:p w:rsidR="001F126D" w:rsidRDefault="001F126D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6D" w:rsidRDefault="001F126D">
    <w:pPr>
      <w:pStyle w:val="Cabealho"/>
    </w:pPr>
  </w:p>
  <w:p w:rsidR="001F126D" w:rsidRDefault="001F126D" w:rsidP="00227D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2109E"/>
    <w:rsid w:val="0002347A"/>
    <w:rsid w:val="00051DBE"/>
    <w:rsid w:val="00057135"/>
    <w:rsid w:val="00064569"/>
    <w:rsid w:val="0008018A"/>
    <w:rsid w:val="0008430B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CCD"/>
    <w:rsid w:val="00190309"/>
    <w:rsid w:val="00195B0C"/>
    <w:rsid w:val="001C33AB"/>
    <w:rsid w:val="001E669E"/>
    <w:rsid w:val="001F126D"/>
    <w:rsid w:val="001F24E3"/>
    <w:rsid w:val="00227D18"/>
    <w:rsid w:val="002312F3"/>
    <w:rsid w:val="002427E4"/>
    <w:rsid w:val="00265B5E"/>
    <w:rsid w:val="00277A9E"/>
    <w:rsid w:val="00283883"/>
    <w:rsid w:val="0028774D"/>
    <w:rsid w:val="0029799C"/>
    <w:rsid w:val="002B5269"/>
    <w:rsid w:val="002C73FB"/>
    <w:rsid w:val="002D668B"/>
    <w:rsid w:val="002F5B45"/>
    <w:rsid w:val="0034563A"/>
    <w:rsid w:val="0034564E"/>
    <w:rsid w:val="003609DA"/>
    <w:rsid w:val="0036276A"/>
    <w:rsid w:val="00364670"/>
    <w:rsid w:val="0037634C"/>
    <w:rsid w:val="0038296B"/>
    <w:rsid w:val="00397AC4"/>
    <w:rsid w:val="003B4B5B"/>
    <w:rsid w:val="003E13B0"/>
    <w:rsid w:val="003F0922"/>
    <w:rsid w:val="004145B0"/>
    <w:rsid w:val="00421EBB"/>
    <w:rsid w:val="00427385"/>
    <w:rsid w:val="00456B44"/>
    <w:rsid w:val="00474074"/>
    <w:rsid w:val="00490F42"/>
    <w:rsid w:val="00491438"/>
    <w:rsid w:val="004A0E7D"/>
    <w:rsid w:val="004A172B"/>
    <w:rsid w:val="004B0194"/>
    <w:rsid w:val="004B0BAB"/>
    <w:rsid w:val="004E0596"/>
    <w:rsid w:val="004F1447"/>
    <w:rsid w:val="005130EB"/>
    <w:rsid w:val="0051756D"/>
    <w:rsid w:val="00521386"/>
    <w:rsid w:val="00524EEA"/>
    <w:rsid w:val="00526F53"/>
    <w:rsid w:val="00530F59"/>
    <w:rsid w:val="0055012B"/>
    <w:rsid w:val="00566255"/>
    <w:rsid w:val="00567B33"/>
    <w:rsid w:val="00581A9C"/>
    <w:rsid w:val="005870EA"/>
    <w:rsid w:val="00590EFF"/>
    <w:rsid w:val="00592348"/>
    <w:rsid w:val="005C3779"/>
    <w:rsid w:val="005C6A1F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62D4A"/>
    <w:rsid w:val="00663A5E"/>
    <w:rsid w:val="006A76AC"/>
    <w:rsid w:val="006C51B6"/>
    <w:rsid w:val="006E7030"/>
    <w:rsid w:val="0070178B"/>
    <w:rsid w:val="00701E38"/>
    <w:rsid w:val="0072158A"/>
    <w:rsid w:val="00737546"/>
    <w:rsid w:val="0074309C"/>
    <w:rsid w:val="00746000"/>
    <w:rsid w:val="00746417"/>
    <w:rsid w:val="00752F3F"/>
    <w:rsid w:val="00765AA0"/>
    <w:rsid w:val="00766941"/>
    <w:rsid w:val="00770160"/>
    <w:rsid w:val="007701E5"/>
    <w:rsid w:val="0077752B"/>
    <w:rsid w:val="00781350"/>
    <w:rsid w:val="007D2D86"/>
    <w:rsid w:val="00810891"/>
    <w:rsid w:val="00840056"/>
    <w:rsid w:val="0084545F"/>
    <w:rsid w:val="0084664C"/>
    <w:rsid w:val="00851B90"/>
    <w:rsid w:val="00860EBE"/>
    <w:rsid w:val="00871A56"/>
    <w:rsid w:val="0087260D"/>
    <w:rsid w:val="0088353F"/>
    <w:rsid w:val="00885E2B"/>
    <w:rsid w:val="008A6FD3"/>
    <w:rsid w:val="008C6AF5"/>
    <w:rsid w:val="008E46D6"/>
    <w:rsid w:val="008F00C4"/>
    <w:rsid w:val="00923845"/>
    <w:rsid w:val="0093307D"/>
    <w:rsid w:val="00964873"/>
    <w:rsid w:val="00964A11"/>
    <w:rsid w:val="009875EC"/>
    <w:rsid w:val="009A5941"/>
    <w:rsid w:val="009D54FE"/>
    <w:rsid w:val="009E17FA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8C8"/>
    <w:rsid w:val="00A659D7"/>
    <w:rsid w:val="00A846F7"/>
    <w:rsid w:val="00AC0127"/>
    <w:rsid w:val="00AC787E"/>
    <w:rsid w:val="00AD2CCE"/>
    <w:rsid w:val="00AE234C"/>
    <w:rsid w:val="00B3390E"/>
    <w:rsid w:val="00B63DD7"/>
    <w:rsid w:val="00B863AF"/>
    <w:rsid w:val="00B87F51"/>
    <w:rsid w:val="00B92A05"/>
    <w:rsid w:val="00BA6B81"/>
    <w:rsid w:val="00BB2F90"/>
    <w:rsid w:val="00BC2398"/>
    <w:rsid w:val="00BC583E"/>
    <w:rsid w:val="00BD6EA1"/>
    <w:rsid w:val="00BE54B2"/>
    <w:rsid w:val="00BF5953"/>
    <w:rsid w:val="00C471A3"/>
    <w:rsid w:val="00C8698D"/>
    <w:rsid w:val="00CA47F6"/>
    <w:rsid w:val="00CC3814"/>
    <w:rsid w:val="00CD7F05"/>
    <w:rsid w:val="00CF2E65"/>
    <w:rsid w:val="00D16F88"/>
    <w:rsid w:val="00D400AF"/>
    <w:rsid w:val="00D4734F"/>
    <w:rsid w:val="00D571AF"/>
    <w:rsid w:val="00D57D95"/>
    <w:rsid w:val="00D64968"/>
    <w:rsid w:val="00D81BAF"/>
    <w:rsid w:val="00DB50DD"/>
    <w:rsid w:val="00DB5ABC"/>
    <w:rsid w:val="00DF3528"/>
    <w:rsid w:val="00E00A79"/>
    <w:rsid w:val="00E04F81"/>
    <w:rsid w:val="00E24572"/>
    <w:rsid w:val="00E2535C"/>
    <w:rsid w:val="00E33553"/>
    <w:rsid w:val="00E53A79"/>
    <w:rsid w:val="00E65F4D"/>
    <w:rsid w:val="00E8406D"/>
    <w:rsid w:val="00E932F2"/>
    <w:rsid w:val="00EA01C1"/>
    <w:rsid w:val="00EA3725"/>
    <w:rsid w:val="00EB14FF"/>
    <w:rsid w:val="00EC32C4"/>
    <w:rsid w:val="00EC7DEA"/>
    <w:rsid w:val="00EF2FBB"/>
    <w:rsid w:val="00EF5FAC"/>
    <w:rsid w:val="00F0454A"/>
    <w:rsid w:val="00F152C0"/>
    <w:rsid w:val="00F153E7"/>
    <w:rsid w:val="00F20494"/>
    <w:rsid w:val="00F221BB"/>
    <w:rsid w:val="00F321FE"/>
    <w:rsid w:val="00F357E1"/>
    <w:rsid w:val="00F56C51"/>
    <w:rsid w:val="00F57C9E"/>
    <w:rsid w:val="00F7358F"/>
    <w:rsid w:val="00F93EEC"/>
    <w:rsid w:val="00FA23D8"/>
    <w:rsid w:val="00FC4FED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2.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u.gov.br/page/content/detail/id_conteudo/1918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BAD45-61A8-40C9-AF81-AEDFF76F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1513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7</cp:revision>
  <cp:lastPrinted>2016-05-19T13:28:00Z</cp:lastPrinted>
  <dcterms:created xsi:type="dcterms:W3CDTF">2016-08-04T16:36:00Z</dcterms:created>
  <dcterms:modified xsi:type="dcterms:W3CDTF">2016-09-14T13:07:00Z</dcterms:modified>
</cp:coreProperties>
</file>