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0C" w:rsidRDefault="00A16F70" w:rsidP="0044610C">
      <w:pPr>
        <w:pStyle w:val="Cabealho"/>
      </w:pPr>
      <w:r>
        <w:t xml:space="preserve"> 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5245"/>
      </w:tblGrid>
      <w:tr w:rsidR="0044610C" w:rsidRPr="009747AE" w:rsidTr="0065730F">
        <w:trPr>
          <w:cantSplit/>
          <w:trHeight w:val="482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C" w:rsidRPr="00A40123" w:rsidRDefault="0044610C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3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44610C" w:rsidRPr="00A40123" w:rsidRDefault="0044610C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A40123">
              <w:rPr>
                <w:rFonts w:ascii="Arial" w:hAnsi="Arial"/>
                <w:b/>
                <w:color w:val="000000"/>
              </w:rPr>
              <w:t>Versão 01/2016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0C" w:rsidRDefault="0044610C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10C" w:rsidRDefault="0044610C" w:rsidP="0065730F">
            <w:pPr>
              <w:jc w:val="center"/>
              <w:rPr>
                <w:b/>
              </w:rPr>
            </w:pPr>
          </w:p>
          <w:p w:rsidR="0044610C" w:rsidRDefault="0044610C" w:rsidP="0065730F">
            <w:pPr>
              <w:jc w:val="center"/>
              <w:rPr>
                <w:b/>
              </w:rPr>
            </w:pPr>
          </w:p>
          <w:p w:rsidR="0044610C" w:rsidRPr="0088353F" w:rsidRDefault="0044610C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44610C" w:rsidRPr="0088353F" w:rsidRDefault="0044610C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44610C" w:rsidRPr="00BB638F" w:rsidRDefault="0044610C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44610C" w:rsidRPr="009747AE" w:rsidTr="0065730F">
        <w:trPr>
          <w:cantSplit/>
          <w:trHeight w:val="932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0C" w:rsidRPr="009747AE" w:rsidRDefault="0044610C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0C" w:rsidRPr="009747AE" w:rsidRDefault="0044610C" w:rsidP="0065730F">
            <w:pPr>
              <w:rPr>
                <w:rFonts w:ascii="Arial" w:hAnsi="Arial"/>
                <w:b/>
              </w:rPr>
            </w:pPr>
          </w:p>
        </w:tc>
      </w:tr>
    </w:tbl>
    <w:p w:rsidR="0044610C" w:rsidRDefault="0044610C" w:rsidP="0044610C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A658C8" w:rsidRPr="00186CCD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>
              <w:rPr>
                <w:rFonts w:ascii="Arial" w:hAnsi="Arial" w:cs="Arial"/>
                <w:b/>
                <w:sz w:val="20"/>
                <w:szCs w:val="20"/>
              </w:rPr>
              <w:t xml:space="preserve"> - CAPUT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357C58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357C58" w:rsidP="00357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357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357C5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C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357C58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7C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7C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76" w:rsidRPr="009A5941" w:rsidTr="00186CCD">
        <w:trPr>
          <w:trHeight w:val="283"/>
        </w:trPr>
        <w:tc>
          <w:tcPr>
            <w:tcW w:w="828" w:type="dxa"/>
            <w:vAlign w:val="center"/>
          </w:tcPr>
          <w:p w:rsidR="00741776" w:rsidRDefault="00741776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884" w:type="dxa"/>
          </w:tcPr>
          <w:p w:rsidR="00741776" w:rsidRPr="00741776" w:rsidRDefault="00B3449B" w:rsidP="00B3449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24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commentRangeStart w:id="0"/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Neste caso, desconsiderar as etapas</w:t>
            </w:r>
            <w:r w:rsidR="007417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25 a </w:t>
            </w:r>
            <w:proofErr w:type="gramStart"/>
            <w:r w:rsidR="00741776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29.</w:t>
            </w:r>
            <w:commentRangeEnd w:id="0"/>
            <w:proofErr w:type="gramEnd"/>
            <w:r w:rsidR="0044610C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741776" w:rsidRPr="009A5941" w:rsidRDefault="0074177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41776" w:rsidRPr="009A5941" w:rsidRDefault="0074177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7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741776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357C58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74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Relatório de pré-empenho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7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 dados da Dispensa na Planilha das Dispensas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74177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  <w:vAlign w:val="bottom"/>
          </w:tcPr>
          <w:p w:rsidR="008F00C4" w:rsidRPr="00EA01C1" w:rsidRDefault="008F00C4" w:rsidP="00F32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</w:t>
            </w:r>
            <w:r w:rsidRPr="00EA01C1">
              <w:rPr>
                <w:rFonts w:ascii="Arial" w:hAnsi="Arial" w:cs="Arial"/>
                <w:sz w:val="20"/>
                <w:szCs w:val="20"/>
              </w:rPr>
              <w:t xml:space="preserve"> dados da Dispensa na Planilha do PAAC 201x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09:55:00Z" w:initials=".">
    <w:p w:rsidR="0044610C" w:rsidRDefault="0044610C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76" w:rsidRDefault="00741776" w:rsidP="00227D18">
      <w:r>
        <w:separator/>
      </w:r>
    </w:p>
  </w:endnote>
  <w:endnote w:type="continuationSeparator" w:id="0">
    <w:p w:rsidR="00741776" w:rsidRDefault="00741776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76" w:rsidRPr="00631AF2" w:rsidRDefault="00741776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741776" w:rsidRDefault="00741776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741776" w:rsidRPr="00923845" w:rsidRDefault="00741776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44610C">
      <w:rPr>
        <w:rFonts w:ascii="Times New Roman" w:hAnsi="Times New Roman" w:cs="Times New Roman"/>
        <w:sz w:val="16"/>
        <w:szCs w:val="16"/>
      </w:rPr>
      <w:t>Setembro</w:t>
    </w:r>
    <w:r>
      <w:rPr>
        <w:rFonts w:ascii="Times New Roman" w:hAnsi="Times New Roman" w:cs="Times New Roman"/>
        <w:sz w:val="16"/>
        <w:szCs w:val="16"/>
      </w:rPr>
      <w:t>/</w:t>
    </w:r>
    <w:r w:rsidRPr="00631AF2">
      <w:rPr>
        <w:rFonts w:ascii="Times New Roman" w:hAnsi="Times New Roman" w:cs="Times New Roman"/>
        <w:sz w:val="16"/>
        <w:szCs w:val="16"/>
      </w:rPr>
      <w:t xml:space="preserve"> 201</w:t>
    </w:r>
    <w:r>
      <w:rPr>
        <w:rFonts w:ascii="Times New Roman" w:hAnsi="Times New Roman" w:cs="Times New Roman"/>
        <w:sz w:val="16"/>
        <w:szCs w:val="16"/>
      </w:rPr>
      <w:t>6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741776" w:rsidRPr="001E669E" w:rsidRDefault="00741776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449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3449B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41776" w:rsidRDefault="00741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76" w:rsidRDefault="00741776" w:rsidP="00227D18">
      <w:r>
        <w:separator/>
      </w:r>
    </w:p>
  </w:footnote>
  <w:footnote w:type="continuationSeparator" w:id="0">
    <w:p w:rsidR="00741776" w:rsidRDefault="00741776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76" w:rsidRDefault="00741776">
    <w:pPr>
      <w:pStyle w:val="Cabealho"/>
    </w:pPr>
  </w:p>
  <w:p w:rsidR="00741776" w:rsidRDefault="00741776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65B5E"/>
    <w:rsid w:val="002758A6"/>
    <w:rsid w:val="00277A9E"/>
    <w:rsid w:val="00283883"/>
    <w:rsid w:val="0028774D"/>
    <w:rsid w:val="0029799C"/>
    <w:rsid w:val="002A7CE4"/>
    <w:rsid w:val="002B5269"/>
    <w:rsid w:val="002C73FB"/>
    <w:rsid w:val="002D668B"/>
    <w:rsid w:val="002F5B45"/>
    <w:rsid w:val="00344338"/>
    <w:rsid w:val="0034563A"/>
    <w:rsid w:val="0034564E"/>
    <w:rsid w:val="00357C58"/>
    <w:rsid w:val="003609DA"/>
    <w:rsid w:val="0036276A"/>
    <w:rsid w:val="00364670"/>
    <w:rsid w:val="0037634C"/>
    <w:rsid w:val="0038296B"/>
    <w:rsid w:val="00397AC4"/>
    <w:rsid w:val="003B4B5B"/>
    <w:rsid w:val="003F0922"/>
    <w:rsid w:val="004145B0"/>
    <w:rsid w:val="00421EBB"/>
    <w:rsid w:val="00427385"/>
    <w:rsid w:val="0044610C"/>
    <w:rsid w:val="00456B44"/>
    <w:rsid w:val="004627ED"/>
    <w:rsid w:val="00474074"/>
    <w:rsid w:val="004820B8"/>
    <w:rsid w:val="00490F42"/>
    <w:rsid w:val="00491438"/>
    <w:rsid w:val="004A0E7D"/>
    <w:rsid w:val="004A172B"/>
    <w:rsid w:val="004B0194"/>
    <w:rsid w:val="004B0BAB"/>
    <w:rsid w:val="004E0596"/>
    <w:rsid w:val="004F1447"/>
    <w:rsid w:val="0051756D"/>
    <w:rsid w:val="00521386"/>
    <w:rsid w:val="00526F53"/>
    <w:rsid w:val="00530F59"/>
    <w:rsid w:val="0055012B"/>
    <w:rsid w:val="0055575E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70160"/>
    <w:rsid w:val="007701E5"/>
    <w:rsid w:val="0077752B"/>
    <w:rsid w:val="00781350"/>
    <w:rsid w:val="007D2D86"/>
    <w:rsid w:val="00810891"/>
    <w:rsid w:val="00840056"/>
    <w:rsid w:val="0084545F"/>
    <w:rsid w:val="0084664C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65F76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846F7"/>
    <w:rsid w:val="00AC0127"/>
    <w:rsid w:val="00AC787E"/>
    <w:rsid w:val="00AD2CCE"/>
    <w:rsid w:val="00AE234C"/>
    <w:rsid w:val="00B3390E"/>
    <w:rsid w:val="00B3449B"/>
    <w:rsid w:val="00B63DD7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631A4"/>
    <w:rsid w:val="00C8698D"/>
    <w:rsid w:val="00CA47F6"/>
    <w:rsid w:val="00CC3814"/>
    <w:rsid w:val="00CD202F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8406D"/>
    <w:rsid w:val="00E932F2"/>
    <w:rsid w:val="00EA01C1"/>
    <w:rsid w:val="00EA3725"/>
    <w:rsid w:val="00EB14FF"/>
    <w:rsid w:val="00EC32C4"/>
    <w:rsid w:val="00EC5A92"/>
    <w:rsid w:val="00EC7DEA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E1C1-1E7A-4000-9AA0-3C21344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12</cp:revision>
  <cp:lastPrinted>2016-08-16T17:36:00Z</cp:lastPrinted>
  <dcterms:created xsi:type="dcterms:W3CDTF">2016-08-04T13:08:00Z</dcterms:created>
  <dcterms:modified xsi:type="dcterms:W3CDTF">2016-09-14T13:06:00Z</dcterms:modified>
</cp:coreProperties>
</file>