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right="-100"/>
        <w:jc w:val="lef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8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703"/>
          <w:tab w:val="left" w:leader="none" w:pos="9061"/>
        </w:tabs>
        <w:spacing w:line="27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para os devidos fins que não há incompatibilidade de horário entre as atividades realizadas pelo servidor(a) _______________________________________________________, lotado(a)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________________________, com as suas atividades de bolsista na Bolsa-Formação - Pronatec Empreender.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_________________________, ___ de ______________ de 2026.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Chefia imediata</w:t>
      </w:r>
    </w:p>
    <w:p w:rsidR="00000000" w:rsidDel="00000000" w:rsidP="00000000" w:rsidRDefault="00000000" w:rsidRPr="00000000" w14:paraId="0000000F">
      <w:pPr>
        <w:spacing w:line="27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c2e1ify19fjk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______________________________________________________, classificado(a) para atuar como bolsista na Bolsa-Formação - Pronatec Empreender, no cargo de __________________________________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Viamão, ao aceitar a vaga, declaro: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de acordo com os termos do Edital;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Cumprir as atividades referentes ao cargo selecionado;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disponibilidade para cumprir a carga horária prevista;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a bolsa recebida é intransferível;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o IFRS não se responsabiliza por eventuais atrasos nos pagamentos de bolsas que venham a ocorrer em função da não descentralização do recurso orçamentário;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a carga horária das atividades de bolsista não poderá estar incluída na jornada regular de trabalho exercida no IFRS quando servidores do IFRS.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247"/>
          <w:tab w:val="left" w:leader="none" w:pos="3936"/>
          <w:tab w:val="left" w:leader="none" w:pos="4255"/>
          <w:tab w:val="left" w:leader="none" w:pos="5748"/>
        </w:tabs>
        <w:spacing w:line="276" w:lineRule="auto"/>
        <w:ind w:left="57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Comunicarei imediatamente à Coordenação Adjunta da Unidade quaisquer alterações nas condições declaradas acima.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_________________________, ___ de ______________ de 2026.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bolsista</w:t>
      </w:r>
    </w:p>
    <w:p w:rsidR="00000000" w:rsidDel="00000000" w:rsidP="00000000" w:rsidRDefault="00000000" w:rsidRPr="00000000" w14:paraId="00000027">
      <w:pPr>
        <w:widowControl w:val="0"/>
        <w:spacing w:before="21" w:line="276" w:lineRule="auto"/>
        <w:ind w:left="0" w:right="12" w:firstLine="0"/>
        <w:jc w:val="lef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799" w:top="855" w:left="1392" w:right="10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spacing w:line="240" w:lineRule="auto"/>
      <w:ind w:left="4147" w:firstLine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9050" distT="19050" distL="19050" distR="19050">
          <wp:extent cx="488091" cy="541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line="240" w:lineRule="auto"/>
      <w:ind w:left="3632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2A">
    <w:pPr>
      <w:widowControl w:val="0"/>
      <w:spacing w:before="10" w:line="240" w:lineRule="auto"/>
      <w:ind w:left="257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2B">
    <w:pPr>
      <w:widowControl w:val="0"/>
      <w:spacing w:before="10" w:line="240" w:lineRule="auto"/>
      <w:ind w:left="1643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2C">
    <w:pPr>
      <w:widowControl w:val="0"/>
      <w:spacing w:before="10" w:line="240" w:lineRule="auto"/>
      <w:ind w:left="3916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2D">
    <w:pPr>
      <w:widowControl w:val="0"/>
      <w:spacing w:before="10" w:line="240" w:lineRule="auto"/>
      <w:ind w:left="2880" w:firstLine="72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Coordenação de Extensão</w:t>
    </w:r>
  </w:p>
  <w:p w:rsidR="00000000" w:rsidDel="00000000" w:rsidP="00000000" w:rsidRDefault="00000000" w:rsidRPr="00000000" w14:paraId="0000002E">
    <w:pPr>
      <w:widowControl w:val="0"/>
      <w:spacing w:line="240" w:lineRule="auto"/>
      <w:ind w:right="16.062992125985716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2F">
    <w:pPr>
      <w:widowControl w:val="0"/>
      <w:spacing w:line="240" w:lineRule="auto"/>
      <w:ind w:right="16.062992125985716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Contatos: Central de atendimento: (51) 3320-7125 (WhatsApp) | extensao@viamao.ifrs.edu.br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tMsCUlBZy8kZVhQZMYFfPTWGQ==">CgMxLjAyDmguYzJlMWlmeTE5ZmprOAByITE2bDl3VVE2X3VHSEpKWkhRVWpjYVp0ZUZSYm4wbmVlUQ==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