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1" w:lineRule="auto"/>
        <w:ind w:left="717" w:right="1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24" w:lineRule="auto"/>
        <w:ind w:left="705" w:right="717" w:firstLine="0"/>
        <w:rPr>
          <w:sz w:val="24"/>
          <w:szCs w:val="24"/>
        </w:rPr>
      </w:pPr>
      <w:bookmarkStart w:colFirst="0" w:colLast="0" w:name="_heading=h.qdcjvbmqhj0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before="24" w:lineRule="auto"/>
        <w:ind w:left="705" w:right="717" w:firstLine="0"/>
        <w:rPr>
          <w:sz w:val="24"/>
          <w:szCs w:val="24"/>
        </w:rPr>
      </w:pPr>
      <w:bookmarkStart w:colFirst="0" w:colLast="0" w:name="_heading=h.xts5hjtvalbh" w:id="1"/>
      <w:bookmarkEnd w:id="1"/>
      <w:r w:rsidDel="00000000" w:rsidR="00000000" w:rsidRPr="00000000">
        <w:rPr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0" w:lineRule="auto"/>
        <w:ind w:left="705" w:right="717" w:firstLine="0"/>
        <w:rPr>
          <w:sz w:val="24"/>
          <w:szCs w:val="24"/>
        </w:rPr>
      </w:pPr>
      <w:bookmarkStart w:colFirst="0" w:colLast="0" w:name="_heading=h.sqquji2uemp4" w:id="2"/>
      <w:bookmarkEnd w:id="2"/>
      <w:r w:rsidDel="00000000" w:rsidR="00000000" w:rsidRPr="00000000">
        <w:rPr>
          <w:sz w:val="24"/>
          <w:szCs w:val="24"/>
          <w:rtl w:val="0"/>
        </w:rPr>
        <w:t xml:space="preserve">DECLARAÇÃO DE NÃO ACÚMULO DE BOLSAS</w:t>
      </w:r>
    </w:p>
    <w:p w:rsidR="00000000" w:rsidDel="00000000" w:rsidP="00000000" w:rsidRDefault="00000000" w:rsidRPr="00000000" w14:paraId="00000005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256"/>
          <w:tab w:val="left" w:leader="none" w:pos="6783"/>
          <w:tab w:val="left" w:leader="none" w:pos="8278"/>
        </w:tabs>
        <w:ind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256"/>
          <w:tab w:val="left" w:leader="none" w:pos="6783"/>
          <w:tab w:val="left" w:leader="none" w:pos="8278"/>
        </w:tabs>
        <w:spacing w:line="360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__________________________________________________________________________ , CPF ___________________, DECLARO, sob as penas da lei que estou ciente que não é permitido o acúmulo de bolsas a discentes do IFRS, conforme previsto na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Resolução nº 052/CONSUP/IFRS</w:t>
        </w:r>
      </w:hyperlink>
      <w:r w:rsidDel="00000000" w:rsidR="00000000" w:rsidRPr="00000000">
        <w:rPr>
          <w:rtl w:val="0"/>
        </w:rPr>
        <w:t xml:space="preserve">, de 29 de outubro de 2024, não sendo considerado acúmulo de bolsa o recebimento de recursos provenientes da política de assistência estudantil que visem à permanência do discente na instituição com o objetivo de assegurar o cumprimento das etapas acadêmicas.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256"/>
          <w:tab w:val="left" w:leader="none" w:pos="6783"/>
          <w:tab w:val="left" w:leader="none" w:pos="8278"/>
        </w:tabs>
        <w:spacing w:line="360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256"/>
          <w:tab w:val="left" w:leader="none" w:pos="6783"/>
          <w:tab w:val="left" w:leader="none" w:pos="8278"/>
        </w:tabs>
        <w:spacing w:line="360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256"/>
          <w:tab w:val="left" w:leader="none" w:pos="6783"/>
          <w:tab w:val="left" w:leader="none" w:pos="8278"/>
        </w:tabs>
        <w:ind w:firstLine="0"/>
        <w:rPr/>
      </w:pPr>
      <w:r w:rsidDel="00000000" w:rsidR="00000000" w:rsidRPr="00000000">
        <w:rPr>
          <w:rtl w:val="0"/>
        </w:rPr>
        <w:t xml:space="preserve">Viamão/RS, ___ de ______________ de 2026.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256"/>
          <w:tab w:val="left" w:leader="none" w:pos="6783"/>
          <w:tab w:val="left" w:leader="none" w:pos="8278"/>
        </w:tabs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44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1" w:lineRule="auto"/>
        <w:ind w:left="717" w:right="12" w:firstLine="0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11">
      <w:pPr>
        <w:widowControl w:val="0"/>
        <w:spacing w:before="21" w:lineRule="auto"/>
        <w:ind w:left="717" w:right="12" w:firstLine="0"/>
        <w:rPr/>
      </w:pPr>
      <w:r w:rsidDel="00000000" w:rsidR="00000000" w:rsidRPr="00000000">
        <w:rPr>
          <w:rtl w:val="0"/>
        </w:rPr>
        <w:t xml:space="preserve">Assinatura do(a) bolsista</w:t>
      </w:r>
    </w:p>
    <w:p w:rsidR="00000000" w:rsidDel="00000000" w:rsidP="00000000" w:rsidRDefault="00000000" w:rsidRPr="00000000" w14:paraId="00000012">
      <w:pPr>
        <w:widowControl w:val="0"/>
        <w:spacing w:before="21" w:lineRule="auto"/>
        <w:ind w:left="717" w:right="12" w:firstLine="0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851" w:top="1134" w:left="1133.8582677165355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0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506730" cy="5397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ind w:right="3867" w:firstLine="0"/>
      <w:jc w:val="right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MINISTÉRIO DA EDUCAÇÃO  </w:t>
    </w:r>
  </w:p>
  <w:p w:rsidR="00000000" w:rsidDel="00000000" w:rsidP="00000000" w:rsidRDefault="00000000" w:rsidRPr="00000000" w14:paraId="00000015">
    <w:pPr>
      <w:widowControl w:val="0"/>
      <w:spacing w:before="9" w:lineRule="auto"/>
      <w:ind w:right="2554" w:firstLine="0"/>
      <w:jc w:val="right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SECRETARIA DE EDUCAÇÃO PROFISSIONAL E TECNOLÓGICA  </w:t>
    </w:r>
  </w:p>
  <w:p w:rsidR="00000000" w:rsidDel="00000000" w:rsidP="00000000" w:rsidRDefault="00000000" w:rsidRPr="00000000" w14:paraId="00000016">
    <w:pPr>
      <w:widowControl w:val="0"/>
      <w:spacing w:before="12" w:lineRule="auto"/>
      <w:ind w:right="1488" w:firstLine="0"/>
      <w:jc w:val="right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INSTITUTO FEDERAL DE EDUCAÇÃO, CIÊNCIA E TECNOLOGIA DO RIO GRANDE DO SUL  </w:t>
    </w:r>
  </w:p>
  <w:p w:rsidR="00000000" w:rsidDel="00000000" w:rsidP="00000000" w:rsidRDefault="00000000" w:rsidRPr="00000000" w14:paraId="00000017">
    <w:pPr>
      <w:widowControl w:val="0"/>
      <w:spacing w:before="12" w:lineRule="auto"/>
      <w:ind w:right="4265" w:firstLine="0"/>
      <w:jc w:val="right"/>
      <w:rPr>
        <w:rFonts w:ascii="Times New Roman" w:cs="Times New Roman" w:eastAsia="Times New Roman" w:hAnsi="Times New Roman"/>
        <w:b w:val="1"/>
        <w:bCs w:val="1"/>
        <w:sz w:val="17"/>
        <w:szCs w:val="17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CAMPUS VIAMÃO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ind w:firstLine="720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frs.edu.br/documentos/resolucao-no-52-de-29-de-outubro-de-2024-aprova-as-normas-que-regulamentam-as-relacoes-entre-o-ifrs-e-as-fundacoes-de-apoio-autorizadas-pelo-mec-e-mcti/" TargetMode="External"/><Relationship Id="rId8" Type="http://schemas.openxmlformats.org/officeDocument/2006/relationships/hyperlink" Target="https://ifrs.edu.br/documentos/resolucao-no-52-de-29-de-outubro-de-2024-aprova-as-normas-que-regulamentam-as-relacoes-entre-o-ifrs-e-as-fundacoes-de-apoio-autorizadas-pelo-mec-e-mcti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2YVoFRIrkCArf9gMyzb8alK2w==">CgMxLjAyDmgucWRjanZibXFoajB3Mg5oLnh0czVoanR2YWxiaDIOaC5zcXF1amkydWVtcDQ4AHIhMUotQlFxbTNsN0lneXBMV2dDeVVUTXlvSXd1UmtjeUhX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