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DECLARAÇÃO DE ASSIDUIDADE DE BOLSISTA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PARA PROJETOS INDISSOCIÁVEIS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Declaro, para ao devidos fins, que o(a) bolsista___________________________________ _____________________________________________ cumpriu as atividades previstas em seu plano de trabalho no mês de _______________________ de 20________, vinculado ao Programa/Projeto _____________________________________________________________, contemplado com bolsa de Extensão do Edital IFRS nº _________, vinculado ao Edital IFRS nº _________, que se encontra sob minha coordenação.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__________________________, _____/_____/___________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</w:t>
        <w:tab/>
        <w:t xml:space="preserve">                     ___________________________</w:t>
      </w:r>
    </w:p>
    <w:p w:rsidR="00000000" w:rsidDel="00000000" w:rsidP="00000000" w:rsidRDefault="00000000" w:rsidRPr="00000000" w14:paraId="0000000C">
      <w:pPr>
        <w:ind w:firstLine="708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Coordenador da ação de Extensão                                                    Bolsista</w:t>
      </w:r>
    </w:p>
    <w:p w:rsidR="00000000" w:rsidDel="00000000" w:rsidP="00000000" w:rsidRDefault="00000000" w:rsidRPr="00000000" w14:paraId="0000000D">
      <w:pPr>
        <w:tabs>
          <w:tab w:val="left" w:leader="none" w:pos="1701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before="120" w:line="240" w:lineRule="auto"/>
      <w:jc w:val="center"/>
      <w:rPr>
        <w:color w:val="1f1a17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-92709</wp:posOffset>
          </wp:positionV>
          <wp:extent cx="554355" cy="54864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before="120" w:line="240" w:lineRule="auto"/>
      <w:jc w:val="center"/>
      <w:rPr>
        <w:color w:val="1f1a17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before="120" w:line="240" w:lineRule="auto"/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Pró-reitoria de Extensão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keepNext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HTMLCite">
    <w:name w:val="HTML Cite"/>
    <w:next w:val="HTMLCit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fE6TYGDIZ48ffhFN5e1Eh+KkMw==">AMUW2mWs68QKMaQ4OLAVk2LBlqAHs1i4FcDYmFImBzRsoFJ07uXt7GAPt/Qi7n6sAOfXOi0GsvYS3RGYkN/ZxzItJyWEQteUryqBSt/ZPEl4v080WQ1WOyM=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2021-05-11T20:08:00Z</dcterms:created>
  <dc:creator>julianafag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Instituto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