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hanging="2"/>
        <w:jc w:val="center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hanging="2"/>
        <w:jc w:val="center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MINUTA DO CONTRATO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hanging="2"/>
        <w:jc w:val="center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CONTRATO N.º ___/202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hanging="2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hanging="2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CONTRATO DE AQUISIÇÃO DE GÊNEROS ALIMENTÍCIOS DA AGRICULTURA FAMILIAR PARA A ALIMENTAÇÃO ESCOLAR/PNAE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hanging="2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O/A ___________ (órgão/entidade, federal/estadual ou municipal), pessoa jurídica de direito público ou privado, com sede a ___________ (endereço), inscrita no CNPJ sob o n.º ___________, representada neste ato pelo ___________ (representante  legal),  o  Sr. ___________,  doravante denominado  CONTRATANTE, e por outro lado ___________ (nome  do  grupo  formal), com sede a ___________ (endereço), em ___________ (Município/UF), inscrita no CNPJ sob o n.º ___________, doravante denominado CONTRATADO, fundamentados nas disposições da</w:t>
      </w:r>
      <w:r w:rsidDel="00000000" w:rsidR="00000000" w:rsidRPr="00000000">
        <w:rPr>
          <w:color w:val="000000"/>
          <w:vertAlign w:val="baseline"/>
          <w:rtl w:val="0"/>
        </w:rPr>
        <w:t xml:space="preserve"> Lei n° 11.947/2009 e da Lei nº 8.666/93</w:t>
      </w:r>
      <w:r w:rsidDel="00000000" w:rsidR="00000000" w:rsidRPr="00000000">
        <w:rPr>
          <w:color w:val="000000"/>
          <w:vertAlign w:val="baseline"/>
          <w:rtl w:val="0"/>
        </w:rPr>
        <w:t xml:space="preserve">, e tendo em vista o que consta na </w:t>
      </w:r>
      <w:r w:rsidDel="00000000" w:rsidR="00000000" w:rsidRPr="00000000">
        <w:rPr>
          <w:color w:val="000000"/>
          <w:vertAlign w:val="baseline"/>
          <w:rtl w:val="0"/>
        </w:rPr>
        <w:t xml:space="preserve">Chamada Pública nº 07/2023</w:t>
      </w:r>
      <w:r w:rsidDel="00000000" w:rsidR="00000000" w:rsidRPr="00000000">
        <w:rPr>
          <w:color w:val="000000"/>
          <w:vertAlign w:val="baseline"/>
          <w:rtl w:val="0"/>
        </w:rPr>
        <w:t xml:space="preserve"> resolvem celebrar o presente Contrato, mediante as cláusulas que seguem.</w:t>
      </w:r>
    </w:p>
    <w:p w:rsidR="00000000" w:rsidDel="00000000" w:rsidP="00000000" w:rsidRDefault="00000000" w:rsidRPr="00000000" w14:paraId="00000009">
      <w:pPr>
        <w:ind w:hanging="2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CLÁUSULA PRIMEIRA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1.1 É objeto desta contratação a AQUISIÇÃO DE GÊNEROS ALIMENTÍCIOS DA AGRICULTURA FAMILIAR PARA ALIMENTAÇÃO ESCOLAR, na modalidade Compra Institucional, do Programa Nacional de Alimentação Escolar (PNAE), para atendimento da demanda dos órgãos e entidades da administração pública federal, de acordo com o edital da</w:t>
      </w:r>
      <w:r w:rsidDel="00000000" w:rsidR="00000000" w:rsidRPr="00000000">
        <w:rPr>
          <w:vertAlign w:val="baseline"/>
          <w:rtl w:val="0"/>
        </w:rPr>
        <w:t xml:space="preserve"> Chamada Pública n.º 07/202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,</w:t>
      </w:r>
      <w:r w:rsidDel="00000000" w:rsidR="00000000" w:rsidRPr="00000000">
        <w:rPr>
          <w:vertAlign w:val="baseline"/>
          <w:rtl w:val="0"/>
        </w:rPr>
        <w:t xml:space="preserve"> que integra o presente Contrato, independentemente de anexação ou transcrição.</w:t>
      </w:r>
    </w:p>
    <w:p w:rsidR="00000000" w:rsidDel="00000000" w:rsidP="00000000" w:rsidRDefault="00000000" w:rsidRPr="00000000" w14:paraId="0000000B">
      <w:pPr>
        <w:ind w:hanging="2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CLÁUSULA SEGUNDA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-15"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2.1 O CONTRATADO se compromete a fornecer os gêneros alimentícios da Agricultura Familiar ao CONTRATANTE conforme descrito na Proposta de Venda de Alimentos da Agricultura Familiar, parte integrante deste Instrumento.</w:t>
      </w:r>
    </w:p>
    <w:p w:rsidR="00000000" w:rsidDel="00000000" w:rsidP="00000000" w:rsidRDefault="00000000" w:rsidRPr="00000000" w14:paraId="0000000D">
      <w:pPr>
        <w:ind w:right="-15"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2.2 Discriminação do objeto:</w:t>
      </w:r>
    </w:p>
    <w:p w:rsidR="00000000" w:rsidDel="00000000" w:rsidP="00000000" w:rsidRDefault="00000000" w:rsidRPr="00000000" w14:paraId="0000000E">
      <w:pPr>
        <w:ind w:right="-15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15" w:hanging="2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50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3"/>
        <w:gridCol w:w="2693"/>
        <w:gridCol w:w="1701"/>
        <w:gridCol w:w="1984"/>
        <w:gridCol w:w="1134"/>
        <w:tblGridChange w:id="0">
          <w:tblGrid>
            <w:gridCol w:w="993"/>
            <w:gridCol w:w="2693"/>
            <w:gridCol w:w="1701"/>
            <w:gridCol w:w="1984"/>
            <w:gridCol w:w="113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ind w:hanging="2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ind w:hanging="2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hanging="2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DESCRIÇÃO/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ind w:hanging="2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ESPECIFICAÇÃO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ind w:hanging="2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UNIDADE DE MEDIDA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ind w:hanging="2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ind w:hanging="2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VALOR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ind w:hanging="2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ind w:hanging="2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ind w:hanging="2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ind w:hanging="2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ind w:hanging="2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ind w:hanging="2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ind w:hanging="2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ind w:hanging="2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ind w:hanging="2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ind w:hanging="2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ind w:hanging="2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ind w:hanging="2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ind w:hanging="2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ind w:hanging="2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ind w:hanging="2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ind w:hanging="2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ind w:hanging="2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ind w:hanging="2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ind w:hanging="2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ind w:hanging="2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CLÁUSULA TERCEIRA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3.1 </w:t>
      </w:r>
      <w:r w:rsidDel="00000000" w:rsidR="00000000" w:rsidRPr="00000000">
        <w:rPr>
          <w:color w:val="000000"/>
          <w:vertAlign w:val="baseline"/>
          <w:rtl w:val="0"/>
        </w:rPr>
        <w:t xml:space="preserve">O limite individual de venda do agricultor familiar é de até R$ 20.000,00 (vinte mil reais) por Declaração de Aptidão ao PRONAF (DAP), por ano civil, por órgão comprador, referente à sua produção, conforme a legislação do PNAE, modalidade Compra Institucional.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3.2 O limite de venda por organização fornecedora é de até </w:t>
      </w:r>
      <w:r w:rsidDel="00000000" w:rsidR="00000000" w:rsidRPr="00000000">
        <w:rPr>
          <w:color w:val="000000"/>
          <w:vertAlign w:val="baseline"/>
          <w:rtl w:val="0"/>
        </w:rPr>
        <w:t xml:space="preserve">R$ 6.000.000,00 (seis milhões de reais)</w:t>
      </w:r>
      <w:r w:rsidDel="00000000" w:rsidR="00000000" w:rsidRPr="00000000">
        <w:rPr>
          <w:color w:val="000000"/>
          <w:vertAlign w:val="baseline"/>
          <w:rtl w:val="0"/>
        </w:rPr>
        <w:t xml:space="preserve"> por DAP, por ano civil, por órgão comprador, referente à sua produção, conforme a legislação do PNAE, modalidade Compra Institucional.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CLÁUSULA QUARTA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4.1 As despesas decorrentes desta contratação estão programadas em dotação orçamentária própria, prevista no orçamento do Instituto Federal de Educação, Ciência e Tecnologia do Rio Grande do Sul - Campus Viamão, para o exercício de 2023, na classificação abaixo: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1418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Gestão/Unidade: ___________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1418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Fonte: ___________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1418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Programa de Trabalho: ___________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1418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Elemento de Despesa: ___________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1418"/>
        <w:jc w:val="both"/>
        <w:rPr>
          <w:b w:val="0"/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PI: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CLÁUSULA QUINTA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5.1 O início da entrega dos alimentos será imediatamente após o recebimento da Ordem de Compra, expedida pelo Departamento de Compras, sendo o prazo do fornecimento até o término da quantidade adquirida ou </w:t>
      </w:r>
      <w:r w:rsidDel="00000000" w:rsidR="00000000" w:rsidRPr="00000000">
        <w:rPr>
          <w:vertAlign w:val="baseline"/>
          <w:rtl w:val="0"/>
        </w:rPr>
        <w:t xml:space="preserve">até _____ de _____ de 20_____.</w:t>
      </w:r>
    </w:p>
    <w:p w:rsidR="00000000" w:rsidDel="00000000" w:rsidP="00000000" w:rsidRDefault="00000000" w:rsidRPr="00000000" w14:paraId="00000039">
      <w:pPr>
        <w:ind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5.2 A entrega de alimentos deverá ser feita nos locais, dias e quantidades de acordo com a Chamada Pública n.º 09/2022</w:t>
      </w:r>
    </w:p>
    <w:p w:rsidR="00000000" w:rsidDel="00000000" w:rsidP="00000000" w:rsidRDefault="00000000" w:rsidRPr="00000000" w14:paraId="0000003A">
      <w:pPr>
        <w:ind w:hanging="2"/>
        <w:jc w:val="both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5.3 O recebimento dos alimentos dar-se-á mediante apresentação das Notas Fiscais de Venda pela pessoa responsável pela entrega daqueles, no local previamente ajustado.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hanging="2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CLÁUSULA SEXTA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6.1 Pelo fornecimento dos alimentos, nos quantitativos descritos na Proposta de Venda de Alimentos da Agricultura Familiar, </w:t>
      </w:r>
      <w:r w:rsidDel="00000000" w:rsidR="00000000" w:rsidRPr="00000000">
        <w:rPr>
          <w:color w:val="000000"/>
          <w:vertAlign w:val="baseline"/>
          <w:rtl w:val="0"/>
        </w:rPr>
        <w:t xml:space="preserve">o CONTRATADO receberá o valor total de R$ _____ (valor por extenso).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CLÁUSULA SÉTIMA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7.1 No valor mencionado na cláusula sexta estão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CLÁUSULA OITAVA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8.1 O preço contratado é fixo e irreajustável.</w:t>
      </w:r>
    </w:p>
    <w:p w:rsidR="00000000" w:rsidDel="00000000" w:rsidP="00000000" w:rsidRDefault="00000000" w:rsidRPr="00000000" w14:paraId="00000041">
      <w:pPr>
        <w:ind w:hanging="2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CLÁUSULA NONA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9.1 O CONTRATANTE, após receber os documentos descritos no item 5.3, da cláusula quinta, e, após a tramitação do processo para instrução e liquidação, efetuará o seu pagamento no valor correspondente às entregas do mês anterior.</w:t>
      </w:r>
    </w:p>
    <w:p w:rsidR="00000000" w:rsidDel="00000000" w:rsidP="00000000" w:rsidRDefault="00000000" w:rsidRPr="00000000" w14:paraId="00000043">
      <w:pPr>
        <w:ind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9.2 Não será efetuado qualquer pagamento ao CONTRATADO enquanto houver pendência de liquidação da obrigação financeira em virtude de penalidade ou inadimplência contratual. As obrigações da CONTRATANTE e da CONTRATADA são aquelas previstas no Projeto Básico, além das previstas abaixo.</w:t>
      </w:r>
    </w:p>
    <w:p w:rsidR="00000000" w:rsidDel="00000000" w:rsidP="00000000" w:rsidRDefault="00000000" w:rsidRPr="00000000" w14:paraId="00000044">
      <w:pPr>
        <w:ind w:right="-17" w:hanging="2"/>
        <w:jc w:val="both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CLÁUSULA DÉCIMA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right="-17"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10.1 São obrigações do CONTRATANTE:</w:t>
      </w:r>
    </w:p>
    <w:p w:rsidR="00000000" w:rsidDel="00000000" w:rsidP="00000000" w:rsidRDefault="00000000" w:rsidRPr="00000000" w14:paraId="00000046">
      <w:pPr>
        <w:ind w:right="-15"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a) Receber o objeto no prazo e condições estabelecidas no Edital de Chamada Pública;</w:t>
      </w:r>
    </w:p>
    <w:p w:rsidR="00000000" w:rsidDel="00000000" w:rsidP="00000000" w:rsidRDefault="00000000" w:rsidRPr="00000000" w14:paraId="00000047">
      <w:pPr>
        <w:ind w:right="-15"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b) Verificar minuciosamente, no prazo fixado, a conformidade dos bens recebidos provisoriamente com as especificações constantes do Edital e da proposta, para fins de aceitação e recebimento definitivo;</w:t>
      </w:r>
    </w:p>
    <w:p w:rsidR="00000000" w:rsidDel="00000000" w:rsidP="00000000" w:rsidRDefault="00000000" w:rsidRPr="00000000" w14:paraId="00000048">
      <w:pPr>
        <w:ind w:right="-15"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c) Comunicar ao CONTRATADO, por escrito, sobre imperfeições, falhas ou irregularidades verificadas no objeto fornecido, para que seja substituído, reparado ou corrigido;</w:t>
      </w:r>
    </w:p>
    <w:p w:rsidR="00000000" w:rsidDel="00000000" w:rsidP="00000000" w:rsidRDefault="00000000" w:rsidRPr="00000000" w14:paraId="00000049">
      <w:pPr>
        <w:ind w:right="-15"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d) Acompanhar e fiscalizar o cumprimento das obrigações da Contratada;</w:t>
      </w:r>
    </w:p>
    <w:p w:rsidR="00000000" w:rsidDel="00000000" w:rsidP="00000000" w:rsidRDefault="00000000" w:rsidRPr="00000000" w14:paraId="0000004A">
      <w:pPr>
        <w:ind w:right="-15"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e) Efetuar o pagamento ao CONTRATADO no valor correspondente ao fornecimento do objeto, no prazo e forma estabelecidos no Edital.</w:t>
      </w:r>
    </w:p>
    <w:p w:rsidR="00000000" w:rsidDel="00000000" w:rsidP="00000000" w:rsidRDefault="00000000" w:rsidRPr="00000000" w14:paraId="0000004B">
      <w:pPr>
        <w:ind w:right="-17"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10.2 São obrigações do CONTRATADO:</w:t>
      </w:r>
    </w:p>
    <w:p w:rsidR="00000000" w:rsidDel="00000000" w:rsidP="00000000" w:rsidRDefault="00000000" w:rsidRPr="00000000" w14:paraId="0000004C">
      <w:pPr>
        <w:ind w:right="-15"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a) O CONTRATADO deve cumprir todas as obrigações constantes no Edital e na sua proposta, assumindo como exclusivamente seus os riscos e as despesas decorrentes da boa e perfeita execução do objeto e, ainda;</w:t>
      </w:r>
    </w:p>
    <w:p w:rsidR="00000000" w:rsidDel="00000000" w:rsidP="00000000" w:rsidRDefault="00000000" w:rsidRPr="00000000" w14:paraId="0000004D">
      <w:pPr>
        <w:ind w:right="-15"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b) Efetuar a entrega do objeto em perfeitas condições, conforme especificações, prazo e local constantes no Edital, acompanhado da respectiva nota fiscal, na qual constarão as indicações referentes a: (especificar);</w:t>
      </w:r>
    </w:p>
    <w:p w:rsidR="00000000" w:rsidDel="00000000" w:rsidP="00000000" w:rsidRDefault="00000000" w:rsidRPr="00000000" w14:paraId="0000004E">
      <w:pPr>
        <w:ind w:right="-15"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c) Substituir, às suas expensas, em prazo de dias, a contar da sua notificação, o objeto com vícios ou defeitos;</w:t>
      </w:r>
    </w:p>
    <w:p w:rsidR="00000000" w:rsidDel="00000000" w:rsidP="00000000" w:rsidRDefault="00000000" w:rsidRPr="00000000" w14:paraId="0000004F">
      <w:pPr>
        <w:ind w:right="-15"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d) Comunicar ao CONTRATANTE, no prazo máximo de 24 (vinte e quatro) horas que antecede a data da entrega, os motivos que impossibilitem o cumprimento do prazo previsto, com a devida comprovação;</w:t>
      </w:r>
    </w:p>
    <w:p w:rsidR="00000000" w:rsidDel="00000000" w:rsidP="00000000" w:rsidRDefault="00000000" w:rsidRPr="00000000" w14:paraId="00000050">
      <w:pPr>
        <w:ind w:right="-15"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e) Manter, durante toda a execução do contrato, em compatibilidade com as obrigações assumidas, todas as condições de habilitação e qualificação exigidas na licitação;</w:t>
      </w:r>
    </w:p>
    <w:p w:rsidR="00000000" w:rsidDel="00000000" w:rsidP="00000000" w:rsidRDefault="00000000" w:rsidRPr="00000000" w14:paraId="00000051">
      <w:pPr>
        <w:ind w:right="-15"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f) Indicar preposto para representá-lo durante a execução do contrato.</w:t>
      </w:r>
    </w:p>
    <w:p w:rsidR="00000000" w:rsidDel="00000000" w:rsidP="00000000" w:rsidRDefault="00000000" w:rsidRPr="00000000" w14:paraId="00000052">
      <w:pPr>
        <w:ind w:right="-17" w:hanging="2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CLÁUSULA DÉCIMA PRIMEIRA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spacing w:after="0" w:lineRule="auto"/>
        <w:ind w:left="0" w:right="-15"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Comete infração administrativa nos termos da</w:t>
      </w:r>
      <w:r w:rsidDel="00000000" w:rsidR="00000000" w:rsidRPr="00000000">
        <w:rPr>
          <w:vertAlign w:val="baseline"/>
          <w:rtl w:val="0"/>
        </w:rPr>
        <w:t xml:space="preserve"> Lei n. º 8.666, de 1993, e da Lei n.º 10.520, de 2002, o CONTRATADO que:</w:t>
      </w:r>
    </w:p>
    <w:p w:rsidR="00000000" w:rsidDel="00000000" w:rsidP="00000000" w:rsidRDefault="00000000" w:rsidRPr="00000000" w14:paraId="00000054">
      <w:pPr>
        <w:ind w:right="-15"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a) Inexecutar total ou parcialmente qualquer das obrigações assumidas em decorrência da contratação;</w:t>
      </w:r>
    </w:p>
    <w:p w:rsidR="00000000" w:rsidDel="00000000" w:rsidP="00000000" w:rsidRDefault="00000000" w:rsidRPr="00000000" w14:paraId="00000055">
      <w:pPr>
        <w:ind w:right="-15"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b) Ensejar o retardamento da execução do objeto;</w:t>
      </w:r>
    </w:p>
    <w:p w:rsidR="00000000" w:rsidDel="00000000" w:rsidP="00000000" w:rsidRDefault="00000000" w:rsidRPr="00000000" w14:paraId="00000056">
      <w:pPr>
        <w:ind w:right="-15"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c) Fraudar na execução do contrato;</w:t>
      </w:r>
    </w:p>
    <w:p w:rsidR="00000000" w:rsidDel="00000000" w:rsidP="00000000" w:rsidRDefault="00000000" w:rsidRPr="00000000" w14:paraId="00000057">
      <w:pPr>
        <w:ind w:right="-15"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d) Comportar-se de modo inidôneo;</w:t>
      </w:r>
    </w:p>
    <w:p w:rsidR="00000000" w:rsidDel="00000000" w:rsidP="00000000" w:rsidRDefault="00000000" w:rsidRPr="00000000" w14:paraId="00000058">
      <w:pPr>
        <w:ind w:right="-15"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e) Cometer fraude fiscal;</w:t>
      </w:r>
    </w:p>
    <w:p w:rsidR="00000000" w:rsidDel="00000000" w:rsidP="00000000" w:rsidRDefault="00000000" w:rsidRPr="00000000" w14:paraId="00000059">
      <w:pPr>
        <w:ind w:right="-15"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f) Não mantiver a proposta.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spacing w:after="0" w:lineRule="auto"/>
        <w:ind w:left="0" w:right="-15"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 CONTRATADO que cometer qualquer das infrações discriminadas no subitem acima ficará sujeito, sem prejuízo da responsabilidade civil e criminal, às seguintes sanções:</w:t>
      </w:r>
    </w:p>
    <w:p w:rsidR="00000000" w:rsidDel="00000000" w:rsidP="00000000" w:rsidRDefault="00000000" w:rsidRPr="00000000" w14:paraId="0000005B">
      <w:pPr>
        <w:ind w:right="-15"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a) Advertência por faltas leves, assim entendidas aquelas que não acarretem prejuízos significativos para o CONTRATANTE;</w:t>
      </w:r>
    </w:p>
    <w:p w:rsidR="00000000" w:rsidDel="00000000" w:rsidP="00000000" w:rsidRDefault="00000000" w:rsidRPr="00000000" w14:paraId="0000005C">
      <w:pPr>
        <w:ind w:right="-15"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b) Multa moratória de 1 % (um por cento) por dia de atraso injustificado sobre o valor da parcela inadimplida, até o limite de _____ (número por extenso) dias;</w:t>
      </w:r>
    </w:p>
    <w:p w:rsidR="00000000" w:rsidDel="00000000" w:rsidP="00000000" w:rsidRDefault="00000000" w:rsidRPr="00000000" w14:paraId="0000005D">
      <w:pPr>
        <w:ind w:right="-15"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c) Multa compensatória de 10 % (dez por cento) sobre o valor total do contrato, no caso de inexecução total do objeto;</w:t>
      </w:r>
    </w:p>
    <w:p w:rsidR="00000000" w:rsidDel="00000000" w:rsidP="00000000" w:rsidRDefault="00000000" w:rsidRPr="00000000" w14:paraId="0000005E">
      <w:pPr>
        <w:ind w:right="-15"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d) Em caso de inexecução parcial, a multa compensatória, no mesmo percentual do subitem acima, será aplicada de forma proporcional à obrigação inadimplida;</w:t>
      </w:r>
    </w:p>
    <w:p w:rsidR="00000000" w:rsidDel="00000000" w:rsidP="00000000" w:rsidRDefault="00000000" w:rsidRPr="00000000" w14:paraId="0000005F">
      <w:pPr>
        <w:ind w:right="-15"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e) Suspensão de licitar e impedimento de contratar com o órgão ou entidade CONTRATANTE, pelo prazo de até dois anos;</w:t>
      </w:r>
    </w:p>
    <w:p w:rsidR="00000000" w:rsidDel="00000000" w:rsidP="00000000" w:rsidRDefault="00000000" w:rsidRPr="00000000" w14:paraId="00000060">
      <w:pPr>
        <w:ind w:right="-15"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f) Declaração de inidoneidade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o CONTRATANTE pelos prejuízos causados.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spacing w:after="0" w:lineRule="auto"/>
        <w:ind w:left="0" w:right="-15"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Também ficam sujeitas às penalidades dos incisos</w:t>
      </w:r>
      <w:r w:rsidDel="00000000" w:rsidR="00000000" w:rsidRPr="00000000">
        <w:rPr>
          <w:vertAlign w:val="baseline"/>
          <w:rtl w:val="0"/>
        </w:rPr>
        <w:t xml:space="preserve"> III e IV do art. 87 da Lei n.º 8.666, de 1993, o CONTRATADO que:</w:t>
      </w:r>
    </w:p>
    <w:p w:rsidR="00000000" w:rsidDel="00000000" w:rsidP="00000000" w:rsidRDefault="00000000" w:rsidRPr="00000000" w14:paraId="00000062">
      <w:pPr>
        <w:ind w:right="-15"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a) Tenha sofrido condenação definitiva por praticar, por meio doloso, fraude fiscal no recolhimento de quaisquer tributos;</w:t>
      </w:r>
    </w:p>
    <w:p w:rsidR="00000000" w:rsidDel="00000000" w:rsidP="00000000" w:rsidRDefault="00000000" w:rsidRPr="00000000" w14:paraId="00000063">
      <w:pPr>
        <w:ind w:right="-15"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b) Tenha praticado atos ilícitos visando a frustrar os objetivos da licitação;</w:t>
      </w:r>
    </w:p>
    <w:p w:rsidR="00000000" w:rsidDel="00000000" w:rsidP="00000000" w:rsidRDefault="00000000" w:rsidRPr="00000000" w14:paraId="00000064">
      <w:pPr>
        <w:ind w:right="-15"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c) Demonstre não possuir idoneidade para contratar com a Administração em virtude de atos ilícitos praticados.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spacing w:after="0" w:lineRule="auto"/>
        <w:ind w:left="0" w:right="-15"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aplicação de qualquer das penalidades previstas realizar-se-á em processo administrativo que assegurará o contraditório e a ampla defesa ao CONTRATADO, observando-se o procedimento previsto </w:t>
      </w:r>
      <w:r w:rsidDel="00000000" w:rsidR="00000000" w:rsidRPr="00000000">
        <w:rPr>
          <w:vertAlign w:val="baseline"/>
          <w:rtl w:val="0"/>
        </w:rPr>
        <w:t xml:space="preserve">na Lei n.º 8.666, de 1993.</w:t>
      </w:r>
    </w:p>
    <w:p w:rsidR="00000000" w:rsidDel="00000000" w:rsidP="00000000" w:rsidRDefault="00000000" w:rsidRPr="00000000" w14:paraId="00000066">
      <w:pPr>
        <w:ind w:right="-15"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11.5 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000000" w:rsidDel="00000000" w:rsidP="00000000" w:rsidRDefault="00000000" w:rsidRPr="00000000" w14:paraId="00000067">
      <w:pPr>
        <w:ind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hanging="2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CLÁUSULA DÉCIMA SEGUNDA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12.1 O CONTRATADO deverá guardar, pelo prazo de 5 (cinco) anos, cópias das Notas Fiscais de Venda, ou congêneres, dos produtos participantes da Proposta de Venda de Alimentos da Agricultura Familiar, as quais ficarão à disposição para comprovação.</w:t>
      </w:r>
    </w:p>
    <w:p w:rsidR="00000000" w:rsidDel="00000000" w:rsidP="00000000" w:rsidRDefault="00000000" w:rsidRPr="00000000" w14:paraId="0000006C">
      <w:pPr>
        <w:ind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12.2 O CONTRATANTE se compromete em guardar, pelo prazo de 5 (cinco) anos, as Notas Fiscais de Compra apresentadas nas prestações de contas, bem como a Proposta de Venda de Gêneros Alimentícios da Agricultura Familiar, as quais ficarão à disposição para comprovação.</w:t>
      </w:r>
    </w:p>
    <w:p w:rsidR="00000000" w:rsidDel="00000000" w:rsidP="00000000" w:rsidRDefault="00000000" w:rsidRPr="00000000" w14:paraId="0000006D">
      <w:pPr>
        <w:ind w:hanging="2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CLÁUSULA DÉCIMA TERCEIRA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13.1 É de exclusiva responsabilidade do CONTRATADO o ressarcimento de danos causados ao CONTRATANTE ou a terceiros, decorrentes de sua culpa ou dolo na execução do contrato, não excluindo ou reduzindo esta responsabilidade a fiscalização efetuada pelo CONTRATANTE.</w:t>
      </w:r>
    </w:p>
    <w:p w:rsidR="00000000" w:rsidDel="00000000" w:rsidP="00000000" w:rsidRDefault="00000000" w:rsidRPr="00000000" w14:paraId="0000006F">
      <w:pPr>
        <w:ind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13.2 A Administração não responderá por quaisquer compromissos assumidos pelo CONTRATADO com terceiros, ainda que vinculados à execução do presente Termo de Contrato, bem como por qualquer dano causado a terceiros em decorrência de ato do CONTRATADO, de seus empregados, prepostos ou subordinados. </w:t>
      </w:r>
    </w:p>
    <w:p w:rsidR="00000000" w:rsidDel="00000000" w:rsidP="00000000" w:rsidRDefault="00000000" w:rsidRPr="00000000" w14:paraId="00000070">
      <w:pPr>
        <w:ind w:hanging="2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CLÁUSULA DÉCIMA QUARTA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14.1 A fiscalização do presente Contrato ficará a cargo do órgão ou entidade responsável pela compra.</w:t>
      </w:r>
    </w:p>
    <w:p w:rsidR="00000000" w:rsidDel="00000000" w:rsidP="00000000" w:rsidRDefault="00000000" w:rsidRPr="00000000" w14:paraId="00000072">
      <w:pPr>
        <w:ind w:hanging="2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CLÁUSULA DÉCIMA QUINTA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15.1 O presente Contrato rege-se, ainda, pelo Edital de Chamada Pública n. º 09/2022, pelas Resoluções GGP AA n.º 50, de 2012; n.º 56, de 2013; n.º 64, de 2013 e n.º 73, de 2015, pela Lei n.º 12.512, de 2011, e pela Lei n.º 8.666, de 1993</w:t>
      </w:r>
      <w:r w:rsidDel="00000000" w:rsidR="00000000" w:rsidRPr="00000000">
        <w:rPr>
          <w:vertAlign w:val="baseline"/>
          <w:rtl w:val="0"/>
        </w:rPr>
        <w:t xml:space="preserve">, em todos os seus  termos, a qual será aplicada, também, onde o contrato for omisso.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13" w:hanging="2"/>
        <w:jc w:val="both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CLÁUSULA DÉCIMA SEXTA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16.1 Este Contrato poderá ser aditado a qualquer tempo, mediante acordo formal entre as partes, resguardadas as suas condições essenciais.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CLÁUSULA DÉCIMA SÉTIMA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17.1 O presente Contrato poderá ser rescindido nas hipóteses previstas no</w:t>
      </w:r>
      <w:r w:rsidDel="00000000" w:rsidR="00000000" w:rsidRPr="00000000">
        <w:rPr>
          <w:color w:val="000000"/>
          <w:vertAlign w:val="baseline"/>
          <w:rtl w:val="0"/>
        </w:rPr>
        <w:t xml:space="preserve"> art. 78 da Lei n.º  8.666</w:t>
      </w:r>
      <w:r w:rsidDel="00000000" w:rsidR="00000000" w:rsidRPr="00000000">
        <w:rPr>
          <w:color w:val="000000"/>
          <w:vertAlign w:val="baseline"/>
          <w:rtl w:val="0"/>
        </w:rPr>
        <w:t xml:space="preserve">, de 1993, com as consequências indicadas no art.  80 da mesma Lei, sem prejuízo das sanções aplicáveis.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17.2 Os casos de rescisão contratual serão formalmente motivados, assegurando-se ao CONTRATADO o direito à prévia e ampla defesa.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17.3 O CONTRATADO reconhece os direitos do CONTRATANTE em caso de rescisão administrativa prevista no </w:t>
      </w:r>
      <w:r w:rsidDel="00000000" w:rsidR="00000000" w:rsidRPr="00000000">
        <w:rPr>
          <w:color w:val="000000"/>
          <w:vertAlign w:val="baseline"/>
          <w:rtl w:val="0"/>
        </w:rPr>
        <w:t xml:space="preserve">art. 77 da Lei n.º 8.666, de 1993.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CLÁUSULA DÉCIMA OITAVA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18.1 O presente Contrato vigorará da sua assinatura até a entrega total dos produtos adquiridos ou até ______de ______ de 20______.</w:t>
      </w:r>
    </w:p>
    <w:p w:rsidR="00000000" w:rsidDel="00000000" w:rsidP="00000000" w:rsidRDefault="00000000" w:rsidRPr="00000000" w14:paraId="0000007C">
      <w:pPr>
        <w:ind w:hanging="2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CLÁUSULA DÉCIMA NONA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19.1 É competente o Foro da Comarca de ___________ para dirimir qualquer controvérsia que se originar deste Contrato.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E, por estarem assim, justos e contratados, assinam o presente instrumento, em duas vias de igual teor e forma, na presença de duas testemunhas.</w:t>
      </w:r>
    </w:p>
    <w:p w:rsidR="00000000" w:rsidDel="00000000" w:rsidP="00000000" w:rsidRDefault="00000000" w:rsidRPr="00000000" w14:paraId="0000007F">
      <w:pPr>
        <w:ind w:hanging="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hanging="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____________________(Município), ____de________ de 20_____.</w:t>
      </w:r>
    </w:p>
    <w:p w:rsidR="00000000" w:rsidDel="00000000" w:rsidP="00000000" w:rsidRDefault="00000000" w:rsidRPr="00000000" w14:paraId="00000082">
      <w:pPr>
        <w:ind w:hanging="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1.0" w:type="dxa"/>
        <w:jc w:val="left"/>
        <w:tblInd w:w="-108.0" w:type="dxa"/>
        <w:tblLayout w:type="fixed"/>
        <w:tblLook w:val="0000"/>
      </w:tblPr>
      <w:tblGrid>
        <w:gridCol w:w="2899"/>
        <w:gridCol w:w="6382"/>
        <w:tblGridChange w:id="0">
          <w:tblGrid>
            <w:gridCol w:w="2899"/>
            <w:gridCol w:w="6382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ind w:hanging="2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ind w:hanging="2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______________________________________________</w:t>
            </w:r>
          </w:p>
          <w:p w:rsidR="00000000" w:rsidDel="00000000" w:rsidP="00000000" w:rsidRDefault="00000000" w:rsidRPr="00000000" w14:paraId="00000085">
            <w:pPr>
              <w:ind w:hanging="2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CONTRATANTE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ind w:hanging="2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ind w:hanging="2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ind w:hanging="2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______________________________________________</w:t>
            </w:r>
          </w:p>
          <w:p w:rsidR="00000000" w:rsidDel="00000000" w:rsidP="00000000" w:rsidRDefault="00000000" w:rsidRPr="00000000" w14:paraId="00000089">
            <w:pPr>
              <w:ind w:hanging="2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CONTRATADO</w:t>
            </w:r>
          </w:p>
        </w:tc>
      </w:tr>
    </w:tbl>
    <w:p w:rsidR="00000000" w:rsidDel="00000000" w:rsidP="00000000" w:rsidRDefault="00000000" w:rsidRPr="00000000" w14:paraId="0000008A">
      <w:pPr>
        <w:ind w:hanging="2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TESTEMUNHAS:</w:t>
      </w:r>
    </w:p>
    <w:p w:rsidR="00000000" w:rsidDel="00000000" w:rsidP="00000000" w:rsidRDefault="00000000" w:rsidRPr="00000000" w14:paraId="0000008C">
      <w:pPr>
        <w:spacing w:line="360" w:lineRule="auto"/>
        <w:ind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</w:t>
      </w:r>
    </w:p>
    <w:p w:rsidR="00000000" w:rsidDel="00000000" w:rsidP="00000000" w:rsidRDefault="00000000" w:rsidRPr="00000000" w14:paraId="0000008D">
      <w:pPr>
        <w:spacing w:line="360" w:lineRule="auto"/>
        <w:ind w:hanging="2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</w:t>
      </w:r>
    </w:p>
    <w:p w:rsidR="00000000" w:rsidDel="00000000" w:rsidP="00000000" w:rsidRDefault="00000000" w:rsidRPr="00000000" w14:paraId="0000008E">
      <w:pPr>
        <w:spacing w:after="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701" w:left="170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__________________________________________________</w:t>
    </w:r>
  </w:p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Inserir endereço completo da Entidade Executora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vertAlign w:val="baseline"/>
      </w:rPr>
      <w:drawing>
        <wp:inline distB="0" distT="0" distL="114300" distR="114300">
          <wp:extent cx="640715" cy="73660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0715" cy="736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spacing w:after="0" w:line="240" w:lineRule="auto"/>
      <w:jc w:val="center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spacing w:after="0" w:line="240" w:lineRule="auto"/>
      <w:jc w:val="center"/>
      <w:rPr>
        <w:vertAlign w:val="baseline"/>
      </w:rPr>
    </w:pPr>
    <w:r w:rsidDel="00000000" w:rsidR="00000000" w:rsidRPr="00000000">
      <w:rPr>
        <w:rFonts w:ascii="Arial" w:cs="Arial" w:eastAsia="Arial" w:hAnsi="Arial"/>
        <w:sz w:val="18"/>
        <w:szCs w:val="18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spacing w:after="0" w:line="240" w:lineRule="auto"/>
      <w:jc w:val="center"/>
      <w:rPr>
        <w:vertAlign w:val="baseline"/>
      </w:rPr>
    </w:pPr>
    <w:r w:rsidDel="00000000" w:rsidR="00000000" w:rsidRPr="00000000">
      <w:rPr>
        <w:rFonts w:ascii="Arial" w:cs="Arial" w:eastAsia="Arial" w:hAnsi="Arial"/>
        <w:sz w:val="18"/>
        <w:szCs w:val="18"/>
        <w:vertAlign w:val="baseline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spacing w:after="0" w:line="240" w:lineRule="auto"/>
      <w:jc w:val="center"/>
      <w:rPr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INSTITUTO FEDERAL DE EDUCAÇÃO, CIÊNCIA E TECNOLOGIA DO RIO GRANDE DO SUL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spacing w:after="0" w:line="240" w:lineRule="auto"/>
      <w:jc w:val="center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CAMPUS VIAMÃO</w:t>
    </w:r>
  </w:p>
  <w:p w:rsidR="00000000" w:rsidDel="00000000" w:rsidP="00000000" w:rsidRDefault="00000000" w:rsidRPr="00000000" w14:paraId="00000095">
    <w:pPr>
      <w:spacing w:after="0" w:line="240" w:lineRule="auto"/>
      <w:jc w:val="center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Av. Senador Salgado Filho, 7000 | Bairro Jardim Krahe | Viamão/RS</w:t>
    </w:r>
  </w:p>
  <w:p w:rsidR="00000000" w:rsidDel="00000000" w:rsidP="00000000" w:rsidRDefault="00000000" w:rsidRPr="00000000" w14:paraId="00000096">
    <w:pPr>
      <w:spacing w:after="0" w:line="240" w:lineRule="auto"/>
      <w:jc w:val="center"/>
      <w:rPr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vertAlign w:val="baseline"/>
        <w:rtl w:val="0"/>
      </w:rPr>
      <w:t xml:space="preserve">CEP: 94440-000 | Fone: (51) 33207126 | https://ifrs.edu.br/viamao/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1"/>
      <w:numFmt w:val="decimal"/>
      <w:lvlText w:val="%1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Fonteparág.padrão1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1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0"/>
      <w:spacing w:after="200" w:before="0" w:line="276" w:lineRule="auto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1"/>
    <w:pPr>
      <w:suppressAutoHyphens w:val="0"/>
      <w:spacing w:after="120" w:line="276" w:lineRule="auto"/>
      <w:ind w:left="283"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character" w:styleId="RecuodecorpodetextoChar">
    <w:name w:val="Recuo de corpo de texto Char"/>
    <w:basedOn w:val="Fonteparág.padrão"/>
    <w:next w:val="RecuodecorpodetextoChar"/>
    <w:autoRedefine w:val="0"/>
    <w:hidden w:val="0"/>
    <w:qFormat w:val="0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i7w3scQ9v5phPxwIewUMGESz7w==">AMUW2mW3u7fX0tOBQfd5P+tOVTwVR3SjA8eMDGhHvyDOG2OfTw9p1dAt6HgNYKVGzL7acaLAV4SBeNHjGxhWhPZ5sifm6V8ftQ4+lBBfNREKUWsMql2HxNo=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2022-04-01T17:55:00Z</dcterms:created>
  <dc:creator>2814766</dc:creator>
</cp:coreProperties>
</file>