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rPr>
          <w:rFonts w:ascii="Arial" w:hAnsi="Arial" w:eastAsia="Calibri" w:cs="Calibri"/>
          <w:b/>
          <w:b/>
          <w:color w:val="000000"/>
        </w:rPr>
      </w:pPr>
      <w:r>
        <w:rPr>
          <w:rFonts w:eastAsia="Calibri" w:cs="Calibri" w:ascii="Arial" w:hAnsi="Arial"/>
          <w:b/>
          <w:color w:val="000000"/>
        </w:rPr>
      </w:r>
    </w:p>
    <w:p>
      <w:pPr>
        <w:pStyle w:val="LOnormal"/>
        <w:jc w:val="center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color w:val="00000A"/>
          <w:sz w:val="20"/>
          <w:szCs w:val="20"/>
        </w:rPr>
        <w:t xml:space="preserve">ANEXO IV 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spacing w:before="0" w:after="200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eastAsia="Calibri" w:cs="Calibri" w:ascii="Arial" w:hAnsi="Arial"/>
          <w:b/>
          <w:color w:val="00000A"/>
          <w:sz w:val="20"/>
          <w:szCs w:val="20"/>
        </w:rPr>
        <w:t>FICHA DE AVALIAÇÃO DA PROVA DE DESEMPE</w:t>
      </w:r>
      <w:r>
        <w:rPr>
          <w:rFonts w:eastAsia="Calibri" w:cs="Calibri" w:ascii="Arial" w:hAnsi="Arial"/>
          <w:b/>
          <w:color w:val="000001"/>
          <w:sz w:val="20"/>
          <w:szCs w:val="20"/>
        </w:rPr>
        <w:t>NHO DIDÁ</w:t>
      </w:r>
      <w:r>
        <w:rPr>
          <w:rFonts w:eastAsia="Calibri" w:cs="Calibri" w:ascii="Arial" w:hAnsi="Arial"/>
          <w:b/>
          <w:color w:val="000000"/>
          <w:sz w:val="20"/>
          <w:szCs w:val="20"/>
        </w:rPr>
        <w:t>TICO</w:t>
      </w:r>
      <w:r>
        <w:rPr>
          <w:rFonts w:eastAsia="Calibri" w:cs="Calibri" w:ascii="Arial" w:hAnsi="Arial"/>
          <w:color w:val="000000"/>
          <w:sz w:val="20"/>
          <w:szCs w:val="20"/>
        </w:rPr>
        <w:br/>
      </w:r>
      <w:r>
        <w:rPr>
          <w:rFonts w:eastAsia="Calibri" w:cs="Calibri" w:ascii="Arial" w:hAnsi="Arial"/>
          <w:b/>
          <w:color w:val="000000"/>
          <w:sz w:val="20"/>
          <w:szCs w:val="20"/>
        </w:rPr>
        <w:t>PROCESSO SELETIVO SIMPLIFICADO - EDITAL N° 29/2022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color w:val="00000A"/>
          <w:sz w:val="20"/>
          <w:szCs w:val="20"/>
        </w:rPr>
        <w:t>Candidato:________________________________________________________________________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color w:val="00000A"/>
          <w:sz w:val="20"/>
          <w:szCs w:val="20"/>
        </w:rPr>
        <w:t>Área: ____________________________________________________________________________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color w:val="00000A"/>
          <w:sz w:val="20"/>
          <w:szCs w:val="20"/>
        </w:rPr>
        <w:t>Tema da aula: _____________________________________________________________________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color w:val="00000A"/>
          <w:sz w:val="20"/>
          <w:szCs w:val="20"/>
        </w:rPr>
        <w:t>Data: _______________ Horário inicial: __________________Horário final: ___________________</w:t>
      </w:r>
    </w:p>
    <w:tbl>
      <w:tblPr>
        <w:tblStyle w:val="TableNormal0"/>
        <w:tblW w:w="922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5154"/>
        <w:gridCol w:w="1986"/>
        <w:gridCol w:w="2085"/>
      </w:tblGrid>
      <w:tr>
        <w:trPr>
          <w:trHeight w:val="23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Critérios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Pontuação Máxima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Pontuação Atribuída</w:t>
            </w:r>
          </w:p>
        </w:tc>
      </w:tr>
      <w:tr>
        <w:trPr>
          <w:trHeight w:val="365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Bloco A – Apresentação do plano de aula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40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1. Clareza e adequação dos objetivos ao tema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75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2. Dados essenciais do conteúdo e adequação ao nível de ensino, objetivos e tema definido.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3. Adequação de tempos, metodologia e recursos didáticos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3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4. Indicação e pertinência das referências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3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Bloco B – Apresentação didática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160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1. Grau de conhecimento, domínio e atualidade do conteúdo.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2. Desenvolvimento do conteúdo de forma objetiva, clara e sequencial.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3. Consistência argumentativa e capacidade de comunicação.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4. Apresentação e relação de conteúdo com a prática e/ou aspectos da realidade.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75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5. Desenvolvimento da aula de forma adequada em relação ao tempo e recursos utilizados.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3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6. Articulação do conteúdo com o tema.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7. Facilidade de expressão e comunicação, fluência, correção e desembaraço.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49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8. Utilização dos recursos didáticos disponíveis e sua interrelação.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31" w:hRule="atLeast"/>
        </w:trPr>
        <w:tc>
          <w:tcPr>
            <w:tcW w:w="51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Total de Pontos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>200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</w:tbl>
    <w:p>
      <w:pPr>
        <w:pStyle w:val="LOnormal"/>
        <w:spacing w:before="324" w:after="0"/>
        <w:ind w:left="72" w:right="144"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color w:val="000000"/>
          <w:sz w:val="20"/>
          <w:szCs w:val="20"/>
        </w:rPr>
        <w:t xml:space="preserve">JUSTIFICATIVAS/OCORRÊNCIAS </w:t>
      </w:r>
    </w:p>
    <w:p>
      <w:pPr>
        <w:pStyle w:val="LOnormal"/>
        <w:spacing w:before="324" w:after="0"/>
        <w:ind w:left="72" w:right="144" w:hanging="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color w:val="000000"/>
          <w:sz w:val="20"/>
          <w:szCs w:val="20"/>
        </w:rPr>
        <w:t>_______________________________________________________________________________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ge">
            <wp:posOffset>191135</wp:posOffset>
          </wp:positionV>
          <wp:extent cx="527050" cy="58356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ontedodoquadro"/>
      <w:spacing w:before="13" w:after="0"/>
      <w:ind w:left="14" w:right="9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Ministério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Educação</w:t>
    </w:r>
  </w:p>
  <w:p>
    <w:pPr>
      <w:pStyle w:val="Contedodoquadro"/>
      <w:ind w:left="14" w:right="12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Secretaria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Educação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Profissional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Tecnológica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Instituto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Federal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Educação,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Ciência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Tecnologia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Rio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Grande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Sul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i/>
        <w:sz w:val="20"/>
      </w:rPr>
      <w:t>Campus</w:t>
    </w:r>
    <w:r>
      <w:rPr>
        <w:rFonts w:cs="Arial" w:ascii="Arial" w:hAnsi="Arial"/>
        <w:sz w:val="20"/>
      </w:rPr>
      <w:t xml:space="preserve"> Sertão</w:t>
    </w:r>
  </w:p>
  <w:p>
    <w:pPr>
      <w:pStyle w:val="LOnormal"/>
      <w:widowControl w:val="false"/>
      <w:ind w:left="142" w:right="136" w:hanging="0"/>
      <w:jc w:val="center"/>
      <w:rPr>
        <w:rFonts w:ascii="Arial" w:hAnsi="Arial" w:eastAsia="Arial"/>
        <w:sz w:val="20"/>
        <w:szCs w:val="20"/>
      </w:rPr>
    </w:pPr>
    <w:r>
      <w:rPr>
        <w:rFonts w:eastAsia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u w:val="single" w:color="0000FF"/>
    </w:rPr>
  </w:style>
  <w:style w:type="character" w:styleId="Hyperlink1" w:customStyle="1">
    <w:name w:val="Hyperlink.1"/>
    <w:basedOn w:val="None"/>
    <w:qFormat/>
    <w:rPr/>
  </w:style>
  <w:style w:type="character" w:styleId="Hyperlink2" w:customStyle="1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</w:rPr>
  </w:style>
  <w:style w:type="character" w:styleId="Hyperlink3" w:customStyle="1">
    <w:name w:val="Hyperlink.3"/>
    <w:basedOn w:val="None"/>
    <w:qFormat/>
    <w:rPr>
      <w:outline w:val="false"/>
      <w:color w:val="000000"/>
      <w:sz w:val="24"/>
      <w:szCs w:val="24"/>
      <w:u w:val="single" w:color="000000"/>
    </w:rPr>
  </w:style>
  <w:style w:type="character" w:styleId="Hyperlink4" w:customStyle="1">
    <w:name w:val="Hyperlink.4"/>
    <w:basedOn w:val="None"/>
    <w:qFormat/>
    <w:rPr>
      <w:outline w:val="false"/>
      <w:color w:val="1155CC"/>
      <w:sz w:val="24"/>
      <w:szCs w:val="24"/>
      <w:u w:val="single" w:color="1155CC"/>
    </w:rPr>
  </w:style>
  <w:style w:type="character" w:styleId="Link" w:customStyle="1">
    <w:name w:val="Link"/>
    <w:qFormat/>
    <w:rPr>
      <w:outline w:val="false"/>
      <w:color w:val="0000FF"/>
      <w:u w:val="single" w:color="0000FF"/>
    </w:rPr>
  </w:style>
  <w:style w:type="character" w:styleId="Hyperlink5" w:customStyle="1">
    <w:name w:val="Hyperlink.5"/>
    <w:basedOn w:val="Link"/>
    <w:qFormat/>
    <w:rPr>
      <w:outline w:val="false"/>
      <w:color w:val="0000FF"/>
      <w:sz w:val="24"/>
      <w:szCs w:val="24"/>
      <w:u w:val="single" w:color="0000FF"/>
    </w:rPr>
  </w:style>
  <w:style w:type="character" w:styleId="Hyperlink6" w:customStyle="1">
    <w:name w:val="Hyperlink.6"/>
    <w:basedOn w:val="None"/>
    <w:qFormat/>
    <w:rPr>
      <w:sz w:val="24"/>
      <w:szCs w:val="24"/>
    </w:rPr>
  </w:style>
  <w:style w:type="character" w:styleId="Hyperlink7" w:customStyle="1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52931"/>
    <w:rPr>
      <w:lang w:val="en-US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Body" w:customStyle="1">
    <w:name w:val="Body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link w:val="CabealhoChar"/>
    <w:uiPriority w:val="99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paragraph" w:styleId="Contedodoquadro" w:customStyle="1">
    <w:name w:val="Conteúdo do quadro"/>
    <w:basedOn w:val="Normal"/>
    <w:qFormat/>
    <w:rsid w:val="00c52931"/>
    <w:pPr>
      <w:widowControl w:val="false"/>
    </w:pPr>
    <w:rPr>
      <w:rFonts w:ascii="Helvetica Neue" w:hAnsi="Helvetica Neue" w:eastAsia="Helvetica Neue" w:cs="Calibri" w:asciiTheme="minorHAnsi" w:eastAsiaTheme="minorHAnsi" w:hAnsiTheme="minorHAnsi"/>
      <w:sz w:val="22"/>
      <w:szCs w:val="22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206</Words>
  <Characters>1470</Characters>
  <CharactersWithSpaces>1635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2022-05-19T02:35:00Z</dcterms:created>
  <dc:creator>Conta da Microsoft</dc:creator>
  <dc:description/>
  <dc:language>pt-BR</dc:language>
  <cp:lastModifiedBy/>
  <dcterms:modified xsi:type="dcterms:W3CDTF">2022-05-25T12:29:05Z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