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6" w:rsidRDefault="00482661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color w:val="000009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:rsidR="00786AF6" w:rsidRDefault="00482661">
      <w:pPr>
        <w:widowControl w:val="0"/>
        <w:ind w:left="119" w:right="123"/>
        <w:jc w:val="center"/>
        <w:rPr>
          <w:rFonts w:ascii="Calibri" w:eastAsia="Calibri" w:hAnsi="Calibri" w:cs="Calibri"/>
          <w:b/>
          <w:color w:val="000009"/>
          <w:sz w:val="24"/>
          <w:szCs w:val="24"/>
        </w:rPr>
      </w:pPr>
      <w:r>
        <w:rPr>
          <w:rFonts w:ascii="Calibri" w:eastAsia="Calibri" w:hAnsi="Calibri" w:cs="Calibri"/>
          <w:b/>
          <w:color w:val="000009"/>
          <w:sz w:val="24"/>
          <w:szCs w:val="24"/>
        </w:rPr>
        <w:t>TEMAS DAS BANCAS DIDÁTICAS</w:t>
      </w:r>
    </w:p>
    <w:p w:rsidR="00786AF6" w:rsidRDefault="00786AF6">
      <w:pPr>
        <w:widowControl w:val="0"/>
        <w:ind w:left="119" w:right="123"/>
        <w:rPr>
          <w:rFonts w:ascii="Calibri" w:eastAsia="Calibri" w:hAnsi="Calibri" w:cs="Calibri"/>
          <w:b/>
          <w:color w:val="000009"/>
          <w:sz w:val="24"/>
          <w:szCs w:val="24"/>
        </w:rPr>
      </w:pPr>
    </w:p>
    <w:p w:rsidR="00786AF6" w:rsidRDefault="00786AF6">
      <w:pPr>
        <w:widowControl w:val="0"/>
        <w:ind w:left="119" w:right="123"/>
        <w:jc w:val="center"/>
        <w:rPr>
          <w:rFonts w:ascii="Calibri" w:eastAsia="Calibri" w:hAnsi="Calibri" w:cs="Calibri"/>
          <w:b/>
          <w:color w:val="000009"/>
          <w:sz w:val="24"/>
          <w:szCs w:val="24"/>
        </w:rPr>
      </w:pPr>
    </w:p>
    <w:tbl>
      <w:tblPr>
        <w:tblStyle w:val="a"/>
        <w:tblW w:w="91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120"/>
      </w:tblGrid>
      <w:tr w:rsidR="00786AF6">
        <w:trPr>
          <w:trHeight w:val="440"/>
          <w:jc w:val="center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ÁREA</w:t>
            </w:r>
          </w:p>
        </w:tc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TEMAS</w:t>
            </w: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1"/>
                <w:sz w:val="24"/>
                <w:szCs w:val="24"/>
              </w:rPr>
              <w:t>Letras - Português/Inglês</w:t>
            </w:r>
          </w:p>
        </w:tc>
        <w:tc>
          <w:tcPr>
            <w:tcW w:w="6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  <w:t xml:space="preserve">1.Literatura afro-brasileira contemporânea </w:t>
            </w:r>
          </w:p>
          <w:p w:rsidR="00786AF6" w:rsidRDefault="00786AF6">
            <w:pPr>
              <w:widowControl w:val="0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</w:pPr>
          </w:p>
          <w:p w:rsidR="00786AF6" w:rsidRDefault="00482661">
            <w:pPr>
              <w:widowControl w:val="0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  <w:t xml:space="preserve">2.Gêneros do discurso: estratégias de pré-leitura e leitura do texto </w:t>
            </w:r>
          </w:p>
          <w:p w:rsidR="00786AF6" w:rsidRDefault="00786AF6">
            <w:pPr>
              <w:widowControl w:val="0"/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</w:pPr>
          </w:p>
          <w:p w:rsidR="00786AF6" w:rsidRDefault="0048266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  <w:highlight w:val="white"/>
              </w:rPr>
              <w:t xml:space="preserve">3.Multimodalidade e multiletramentos no ensino de língua inglesa </w:t>
            </w: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1"/>
                <w:sz w:val="24"/>
                <w:szCs w:val="24"/>
              </w:rPr>
              <w:t>Educação Física</w:t>
            </w:r>
          </w:p>
          <w:p w:rsidR="00786AF6" w:rsidRDefault="0078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</w:p>
          <w:p w:rsidR="00786AF6" w:rsidRDefault="0078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</w:p>
          <w:p w:rsidR="00786AF6" w:rsidRDefault="0078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</w:p>
        </w:tc>
        <w:tc>
          <w:tcPr>
            <w:tcW w:w="6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  <w:t>1.  Perspectivas do ensino do esporte no Ensino Médio</w:t>
            </w:r>
          </w:p>
          <w:p w:rsidR="00786AF6" w:rsidRDefault="00786AF6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</w:p>
          <w:p w:rsidR="00786AF6" w:rsidRDefault="00482661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  <w:t>2. Jogos de diferentes culturas.</w:t>
            </w:r>
          </w:p>
          <w:p w:rsidR="00786AF6" w:rsidRDefault="00786AF6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</w:p>
          <w:p w:rsidR="00786AF6" w:rsidRDefault="0048266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  <w:t>3. Alternativas metodológicas para o ensino da Educação Física no Ensino Médio</w:t>
            </w: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1"/>
                <w:sz w:val="24"/>
                <w:szCs w:val="24"/>
              </w:rPr>
              <w:t>Informática</w:t>
            </w:r>
          </w:p>
        </w:tc>
        <w:tc>
          <w:tcPr>
            <w:tcW w:w="6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482661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  <w:t>1. Algoritmos de Pesquisa e Ordenação</w:t>
            </w:r>
          </w:p>
          <w:p w:rsidR="00786AF6" w:rsidRDefault="00786AF6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</w:p>
          <w:p w:rsidR="00786AF6" w:rsidRDefault="00482661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  <w:t>2. Programação para Web: HTML, CSS, Javascript, PHP</w:t>
            </w:r>
          </w:p>
          <w:p w:rsidR="00786AF6" w:rsidRDefault="00786AF6">
            <w:pPr>
              <w:widowControl w:val="0"/>
              <w:spacing w:line="240" w:lineRule="auto"/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</w:pPr>
          </w:p>
          <w:p w:rsidR="00786AF6" w:rsidRDefault="0048266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1"/>
                <w:sz w:val="20"/>
                <w:szCs w:val="20"/>
                <w:highlight w:val="white"/>
              </w:rPr>
              <w:t>3. Programação para Dispositivos Android</w:t>
            </w: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</w:p>
        </w:tc>
      </w:tr>
      <w:tr w:rsidR="00786AF6">
        <w:trPr>
          <w:trHeight w:val="440"/>
          <w:jc w:val="center"/>
        </w:trPr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</w:p>
        </w:tc>
        <w:tc>
          <w:tcPr>
            <w:tcW w:w="6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AF6" w:rsidRDefault="00786AF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</w:p>
        </w:tc>
      </w:tr>
    </w:tbl>
    <w:p w:rsidR="00786AF6" w:rsidRDefault="00786AF6">
      <w:pPr>
        <w:widowControl w:val="0"/>
        <w:ind w:left="119" w:right="123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786AF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661">
      <w:pPr>
        <w:spacing w:line="240" w:lineRule="auto"/>
      </w:pPr>
      <w:r>
        <w:separator/>
      </w:r>
    </w:p>
  </w:endnote>
  <w:endnote w:type="continuationSeparator" w:id="0">
    <w:p w:rsidR="00000000" w:rsidRDefault="0048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661">
      <w:pPr>
        <w:spacing w:line="240" w:lineRule="auto"/>
      </w:pPr>
      <w:r>
        <w:separator/>
      </w:r>
    </w:p>
  </w:footnote>
  <w:footnote w:type="continuationSeparator" w:id="0">
    <w:p w:rsidR="00000000" w:rsidRDefault="00482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F6" w:rsidRDefault="00482661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6AF6" w:rsidRDefault="00482661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86AF6" w:rsidRDefault="00482661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86AF6" w:rsidRDefault="00482661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86AF6" w:rsidRDefault="00786AF6">
    <w:pPr>
      <w:widowControl w:val="0"/>
      <w:spacing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AF6"/>
    <w:rsid w:val="00482661"/>
    <w:rsid w:val="007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2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2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2021-11-18T18:44:00Z</dcterms:created>
  <dcterms:modified xsi:type="dcterms:W3CDTF">2021-11-18T18:44:00Z</dcterms:modified>
</cp:coreProperties>
</file>