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Tabela de Pontuação do Memorial Descritivo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Memorial Descritivo das ações profissionais pertinentes aos objetivos do Programa Mais Ciência e do projeto “Conecta RS: Rede de implantação e utilização de espaços Maker integrados aos ambientes escolares deve conter até 1000 (mil) palavras e irá avaliar os seguintes critérios, com seus respectivos pesos.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05"/>
        <w:gridCol w:w="2550"/>
        <w:gridCol w:w="2490"/>
        <w:tblGridChange w:id="0">
          <w:tblGrid>
            <w:gridCol w:w="4305"/>
            <w:gridCol w:w="2550"/>
            <w:gridCol w:w="24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Critérios de pontuação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na análise da documentação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na defesa do memorial descritivo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Experiências profissionais relacionadas aos objetivos do Projeto “Conecta RS: Rede de implantação e utilização de espaços Maker integrados aos ambientes escolares”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6,0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Argumentações teóricas e metodológicas que o qualifica para a função de Professor Articulador do laboratório Maker, em consonância com as atribuições descritas neste edital, em relação à orientação de estudantes, interação com pares e com a comunidade escolar.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4,0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Coerência e coesão textual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10,0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3.8582677165355" w:top="1700.7874015748032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highlight w:val="yellow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2562225</wp:posOffset>
          </wp:positionH>
          <wp:positionV relativeFrom="paragraph">
            <wp:posOffset>-238111</wp:posOffset>
          </wp:positionV>
          <wp:extent cx="523875" cy="571500"/>
          <wp:effectExtent b="0" l="0" r="0" t="0"/>
          <wp:wrapSquare wrapText="bothSides" distB="0" distT="0" distL="114300" distR="11430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000000"/>
        <w:sz w:val="20"/>
        <w:szCs w:val="20"/>
        <w:rtl w:val="0"/>
      </w:rPr>
      <w:t xml:space="preserve">Cam</w:t>
    </w:r>
    <w:r w:rsidDel="00000000" w:rsidR="00000000" w:rsidRPr="00000000">
      <w:rPr>
        <w:rFonts w:ascii="Calibri" w:cs="Calibri" w:eastAsia="Calibri" w:hAnsi="Calibri"/>
        <w:i w:val="1"/>
        <w:iCs w:val="1"/>
        <w:color w:val="000000"/>
        <w:sz w:val="20"/>
        <w:szCs w:val="20"/>
        <w:highlight w:val="white"/>
        <w:rtl w:val="0"/>
      </w:rPr>
      <w:t xml:space="preserve">pus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highlight w:val="white"/>
        <w:rtl w:val="0"/>
      </w:rPr>
      <w:t xml:space="preserve">Rio Grande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Diretoria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highlight w:val="white"/>
        <w:rtl w:val="0"/>
      </w:rPr>
      <w:t xml:space="preserve"> de Pesq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uisa, Pós-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raduação e Inovação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mk/Ad0CQnYUaVrToJ3NcD47Qg==">CgMxLjA4AHIhMUhMRmo1Ql93V2ZIWjdKZmhaQzhXa29iWnkxQ0RLNmpS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