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 N. 34/2023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DOAÇÃO DE MATERIAIS DE CONSUMO E </w:t>
      </w:r>
      <w:r w:rsidDel="00000000" w:rsidR="00000000" w:rsidRPr="00000000">
        <w:rPr>
          <w:b w:val="1"/>
          <w:sz w:val="24"/>
          <w:szCs w:val="24"/>
          <w:rtl w:val="0"/>
        </w:rPr>
        <w:t xml:space="preserve">CEDÊNCIA DE MATERIAIS DE CONSUMO E SERVIÇOS</w:t>
      </w: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1425"/>
        <w:gridCol w:w="1230"/>
        <w:gridCol w:w="1422.0000000000002"/>
        <w:gridCol w:w="1727.9999999999998"/>
        <w:gridCol w:w="1365"/>
        <w:tblGridChange w:id="0">
          <w:tblGrid>
            <w:gridCol w:w="1320"/>
            <w:gridCol w:w="1425"/>
            <w:gridCol w:w="1230"/>
            <w:gridCol w:w="1422.0000000000002"/>
            <w:gridCol w:w="1727.9999999999998"/>
            <w:gridCol w:w="1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CONJUNTO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COTAS DISPONÍVEIS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MATERIAIS DE CONSUMO / 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ERVIÇOS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QUANTIDADE/ UNIDADE*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CONTRAPARTIDA DO IFRS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Camisetas 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unidades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Camisa com o logo da Mostra Científica e do IFRS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ampus Restinga, no modelo proposto pela Comissão organizadora, manga curta de malha de algodão, branca ou colorida, tamanhos P, M, G e GG.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after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a) Logotipo da empresa/instituição no sítio eletrônico do evento + b) logotipo da empresa/instituição nos materiais de divulgação do evento + c) logotipo da empresa/instituição em exibição alternada durante a realização da abertura do evento + d) logotipo da empresa/instituição em material impresso + e) referência da empresa/instituição no cerimonial de abertura + f) montagem de estande para divulgação de produtos/serviços da empresa.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Coffee Break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unidades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Café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0kg), 1.500 copos pa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 café (80 mL),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água (600 unidades de 500 mL),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frutas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60 kg de maçã e 60 kg banana), biscoitos doces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 pacotes de 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00g)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biscoito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salgado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água e sal (60 pacotes de 500g)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para serem servidos durante os intervalos da programação do evento.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 unidades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Banner em lona, alta resolução, brilho, tamanho 60cm x 90cm, com bastão de madeira e corda.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Tenda Geodésica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unidade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Mínimo 5,0 metros de diâmetro, no período de 19 a 21/10.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diárias (mínimo 160 km cada ônibus)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Ônibus com 44 lugares para o transporte dos estudantes das escolas visitantes.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Mesas e cadeiras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 kits de uma mesa e duas cadeiras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material PVC, 75 mesas brancas (70x70cm) e 150 cadeiras brancas, no período de 19 a 21/10.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1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 quantitativo e a descrição são referências, podendo ser negociados com a comissão organizadora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3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Ao doar/conceder 2 cotas de apoio, a empresa/instituição terá direito a realizar uma palestra de 30 minutos durante a realização da mostra dentro do tema "Ciências Básicas para o Desenvolvimento Sustentável".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</w:rPr>
      <w:drawing>
        <wp:inline distB="0" distT="0" distL="0" distR="0">
          <wp:extent cx="622935" cy="6635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935" cy="663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color w:val="000000"/>
        <w:sz w:val="20"/>
        <w:szCs w:val="20"/>
        <w:rtl w:val="0"/>
      </w:rPr>
      <w:t xml:space="preserve">Restinga</w: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(51) 3247.8400 – www.restinga.ifrs.edu.br – E-mail: gabinete@restinga.ifrs.edu.br</w: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338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emEspaamento1" w:customStyle="1">
    <w:name w:val="Sem Espaçamento1"/>
    <w:qFormat w:val="1"/>
    <w:rsid w:val="00C4188E"/>
    <w:pPr>
      <w:suppressAutoHyphens w:val="1"/>
      <w:spacing w:after="0" w:line="240" w:lineRule="auto"/>
    </w:pPr>
    <w:rPr>
      <w:rFonts w:eastAsia="Arial"/>
      <w:lang w:eastAsia="ar-SA"/>
    </w:rPr>
  </w:style>
  <w:style w:type="table" w:styleId="Tabelacomgrade">
    <w:name w:val="Table Grid"/>
    <w:basedOn w:val="Tabelanormal"/>
    <w:uiPriority w:val="59"/>
    <w:rsid w:val="00D765E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argrafodaLista">
    <w:name w:val="List Paragraph"/>
    <w:basedOn w:val="Normal"/>
    <w:uiPriority w:val="34"/>
    <w:qFormat w:val="1"/>
    <w:rsid w:val="00F35C1E"/>
    <w:pPr>
      <w:ind w:left="720"/>
      <w:contextualSpacing w:val="1"/>
    </w:pPr>
  </w:style>
  <w:style w:type="paragraph" w:styleId="Cabealho">
    <w:name w:val="header"/>
    <w:basedOn w:val="Normal"/>
    <w:link w:val="CabealhoChar"/>
    <w:unhideWhenUsed w:val="1"/>
    <w:rsid w:val="00AD48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D48D8"/>
  </w:style>
  <w:style w:type="paragraph" w:styleId="Rodap">
    <w:name w:val="footer"/>
    <w:basedOn w:val="Normal"/>
    <w:link w:val="RodapChar"/>
    <w:unhideWhenUsed w:val="1"/>
    <w:rsid w:val="00AD48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AD48D8"/>
  </w:style>
  <w:style w:type="paragraph" w:styleId="SemEspaamento">
    <w:name w:val="No Spacing"/>
    <w:qFormat w:val="1"/>
    <w:rsid w:val="00AD48D8"/>
    <w:pPr>
      <w:suppressAutoHyphens w:val="1"/>
      <w:spacing w:after="0" w:line="240" w:lineRule="auto"/>
    </w:pPr>
    <w:rPr>
      <w:rFonts w:eastAsia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48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48D8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A520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D15A9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15A9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G7DL0KdCh6jlXtWU2/Qch+Ejw==">CgMxLjA4AHIhMWFabHdjai15VUV1aTFhOWFXcl9DTktEODRrc3UtbnND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2023-09-22T14:19:00Z</dcterms:created>
</cp:coreProperties>
</file>