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5"/>
        <w:gridCol w:w="169"/>
        <w:gridCol w:w="398"/>
        <w:gridCol w:w="425"/>
        <w:gridCol w:w="992"/>
        <w:gridCol w:w="851"/>
        <w:gridCol w:w="34"/>
        <w:gridCol w:w="391"/>
        <w:gridCol w:w="425"/>
        <w:gridCol w:w="567"/>
        <w:gridCol w:w="284"/>
        <w:gridCol w:w="71"/>
        <w:gridCol w:w="70"/>
        <w:gridCol w:w="291"/>
        <w:gridCol w:w="451"/>
        <w:gridCol w:w="180"/>
        <w:gridCol w:w="1630"/>
        <w:tblGridChange w:id="0">
          <w:tblGrid>
            <w:gridCol w:w="2235"/>
            <w:gridCol w:w="169"/>
            <w:gridCol w:w="398"/>
            <w:gridCol w:w="425"/>
            <w:gridCol w:w="992"/>
            <w:gridCol w:w="851"/>
            <w:gridCol w:w="34"/>
            <w:gridCol w:w="391"/>
            <w:gridCol w:w="425"/>
            <w:gridCol w:w="567"/>
            <w:gridCol w:w="284"/>
            <w:gridCol w:w="71"/>
            <w:gridCol w:w="70"/>
            <w:gridCol w:w="291"/>
            <w:gridCol w:w="451"/>
            <w:gridCol w:w="180"/>
            <w:gridCol w:w="1630"/>
          </w:tblGrid>
        </w:tblGridChange>
      </w:tblGrid>
      <w:tr>
        <w:trPr>
          <w:trHeight w:val="280" w:hRule="atLeast"/>
        </w:trPr>
        <w:tc>
          <w:tcPr>
            <w:gridSpan w:val="17"/>
            <w:shd w:fill="bfbfbf"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PROJETO DE VENDA DE GÊNEROS ALIMENTÍCIOS DA AGRICULTURA FAMILIAR PARA ALIMENTAÇÃO ESCOLAR/PNAE</w:t>
            </w:r>
            <w:r w:rsidDel="00000000" w:rsidR="00000000" w:rsidRPr="00000000">
              <w:rPr>
                <w:rtl w:val="0"/>
              </w:rPr>
            </w:r>
          </w:p>
        </w:tc>
      </w:tr>
      <w:tr>
        <w:trPr>
          <w:trHeight w:val="340" w:hRule="atLeast"/>
        </w:trPr>
        <w:tc>
          <w:tcPr>
            <w:gridSpan w:val="17"/>
            <w:vAlign w:val="cente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IDENTIFICAÇÃO DA PROPOSTA DE ATENDIMENTO À CHAMADA PÚBLICA nº </w:t>
            </w:r>
            <w:r w:rsidDel="00000000" w:rsidR="00000000" w:rsidRPr="00000000">
              <w:rPr>
                <w:rFonts w:ascii="Arial" w:cs="Arial" w:eastAsia="Arial" w:hAnsi="Arial"/>
                <w:b w:val="1"/>
                <w:sz w:val="16"/>
                <w:szCs w:val="16"/>
                <w:rtl w:val="0"/>
              </w:rPr>
              <w:t xml:space="preserve">20/2019</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Processo n.º 23369.000</w:t>
            </w:r>
            <w:r w:rsidDel="00000000" w:rsidR="00000000" w:rsidRPr="00000000">
              <w:rPr>
                <w:rFonts w:ascii="Arial" w:cs="Arial" w:eastAsia="Arial" w:hAnsi="Arial"/>
                <w:b w:val="1"/>
                <w:sz w:val="16"/>
                <w:szCs w:val="16"/>
                <w:rtl w:val="0"/>
              </w:rPr>
              <w:t xml:space="preserve">276</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.201</w:t>
            </w:r>
            <w:r w:rsidDel="00000000" w:rsidR="00000000" w:rsidRPr="00000000">
              <w:rPr>
                <w:rFonts w:ascii="Arial" w:cs="Arial" w:eastAsia="Arial" w:hAnsi="Arial"/>
                <w:b w:val="1"/>
                <w:sz w:val="16"/>
                <w:szCs w:val="16"/>
                <w:rtl w:val="0"/>
              </w:rPr>
              <w:t xml:space="preserve">9</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1"/>
                <w:sz w:val="16"/>
                <w:szCs w:val="16"/>
                <w:rtl w:val="0"/>
              </w:rPr>
              <w:t xml:space="preserve">32</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 Dispensa de Licitação nº </w:t>
            </w:r>
            <w:r w:rsidDel="00000000" w:rsidR="00000000" w:rsidRPr="00000000">
              <w:rPr>
                <w:rFonts w:ascii="Arial" w:cs="Arial" w:eastAsia="Arial" w:hAnsi="Arial"/>
                <w:b w:val="1"/>
                <w:sz w:val="16"/>
                <w:szCs w:val="16"/>
                <w:rtl w:val="0"/>
              </w:rPr>
              <w:t xml:space="preserve">155/2019</w:t>
            </w:r>
            <w:r w:rsidDel="00000000" w:rsidR="00000000" w:rsidRPr="00000000">
              <w:rPr>
                <w:rtl w:val="0"/>
              </w:rPr>
            </w:r>
          </w:p>
        </w:tc>
      </w:tr>
      <w:tr>
        <w:trPr>
          <w:trHeight w:val="280" w:hRule="atLeast"/>
        </w:trPr>
        <w:tc>
          <w:tcPr>
            <w:gridSpan w:val="17"/>
            <w:shd w:fill="bfbfbf" w:val="clear"/>
            <w:vAlign w:val="center"/>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 – IDENTIFICAÇÃO DOS FORNECEDORES</w:t>
            </w:r>
          </w:p>
        </w:tc>
      </w:tr>
      <w:tr>
        <w:trPr>
          <w:trHeight w:val="280" w:hRule="atLeast"/>
        </w:trPr>
        <w:tc>
          <w:tcPr>
            <w:gridSpan w:val="17"/>
            <w:shd w:fill="d9d9d9" w:val="clea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GRUPO FORMAL</w:t>
            </w:r>
            <w:r w:rsidDel="00000000" w:rsidR="00000000" w:rsidRPr="00000000">
              <w:rPr>
                <w:rtl w:val="0"/>
              </w:rPr>
            </w:r>
          </w:p>
        </w:tc>
      </w:tr>
      <w:tr>
        <w:trPr>
          <w:trHeight w:val="280" w:hRule="atLeast"/>
        </w:trPr>
        <w:tc>
          <w:tcPr>
            <w:gridSpan w:val="14"/>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 Nome do Proponente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tl w:val="0"/>
              </w:rPr>
            </w:r>
          </w:p>
        </w:tc>
        <w:tc>
          <w:tcPr>
            <w:gridSpan w:val="3"/>
            <w:vAlign w:val="center"/>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2. CNPJ</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14"/>
            <w:vAlign w:val="center"/>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3. Endereço</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4. Município/UF</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7"/>
            <w:vAlign w:val="cente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5. E-mail</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6. DDD/Fone</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7. CEP</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2"/>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8. Nº DAP Jurídica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5"/>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9. Banco</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6"/>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10. Nº da Agência</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11. Nº da Conta Corrente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3"/>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12. Nº de Associados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13. Nº de Associados de acordo com a Lei nº 11.236/2006</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14. Nº de Associados com DAP Física</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7"/>
            <w:vAlign w:val="center"/>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15. Nome do Representante Legal</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7"/>
            <w:vAlign w:val="cente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16. CPF </w:t>
            </w: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17. DDD/Fone </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14"/>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18. Endereço do Representante Legal</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19. Município/UF</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tc>
      </w:tr>
      <w:tr>
        <w:trPr>
          <w:trHeight w:val="280" w:hRule="atLeast"/>
        </w:trPr>
        <w:tc>
          <w:tcPr>
            <w:gridSpan w:val="17"/>
            <w:shd w:fill="bfbfbf" w:val="clea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 – IDENTIFICAÇÃO DA ENTIDADE EXECUTORA DO PNAE/FNDE/MEC</w:t>
            </w:r>
          </w:p>
        </w:tc>
      </w:tr>
      <w:tr>
        <w:trPr>
          <w:trHeight w:val="280" w:hRule="atLeast"/>
        </w:trPr>
        <w:tc>
          <w:tcPr>
            <w:gridSpan w:val="9"/>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 Nome da Entidade</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Instituto Federal de Educação, Ciência, Tecnologia do Rio Grande do Sul –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Campus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Restinga.</w:t>
            </w:r>
          </w:p>
        </w:tc>
        <w:tc>
          <w:tcPr>
            <w:gridSpan w:val="6"/>
            <w:vAlign w:val="cente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2. CNPJ</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10.637.926/0008-12</w:t>
            </w:r>
          </w:p>
        </w:tc>
        <w:tc>
          <w:tcPr>
            <w:gridSpan w:val="2"/>
            <w:vAlign w:val="cente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3. Município</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Porto Alegre/RS</w:t>
            </w:r>
          </w:p>
        </w:tc>
      </w:tr>
      <w:tr>
        <w:trPr>
          <w:trHeight w:val="280" w:hRule="atLeast"/>
        </w:trPr>
        <w:tc>
          <w:tcPr>
            <w:gridSpan w:val="14"/>
            <w:vAlign w:val="cente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4. Endereço</w:t>
            </w: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Rua Alberto Hoffmann, nº 285, bairro Restinga. CEP 91791-508</w:t>
            </w:r>
          </w:p>
        </w:tc>
        <w:tc>
          <w:tcPr>
            <w:gridSpan w:val="3"/>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5. DDD/Fone</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51 3247.8400</w:t>
            </w:r>
          </w:p>
        </w:tc>
      </w:tr>
      <w:tr>
        <w:trPr>
          <w:trHeight w:val="280" w:hRule="atLeast"/>
        </w:trPr>
        <w:tc>
          <w:tcPr>
            <w:gridSpan w:val="14"/>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6. Nome do representante e e-mail</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Gleison Samuel do Nascimento – direcao.geral@restinga.ifrs.edu.br</w:t>
            </w:r>
          </w:p>
        </w:tc>
        <w:tc>
          <w:tcPr>
            <w:gridSpan w:val="3"/>
            <w:vAlign w:val="cente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7. CPF</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935.101.790-72</w:t>
            </w:r>
          </w:p>
        </w:tc>
      </w:tr>
      <w:tr>
        <w:trPr>
          <w:trHeight w:val="280" w:hRule="atLeast"/>
        </w:trPr>
        <w:tc>
          <w:tcPr>
            <w:gridSpan w:val="17"/>
            <w:shd w:fill="bfbfbf" w:val="clea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III – RELAÇÃO DE PRODUTOS</w:t>
            </w:r>
          </w:p>
        </w:tc>
      </w:tr>
      <w:tr>
        <w:trPr>
          <w:trHeight w:val="60" w:hRule="atLeast"/>
        </w:trPr>
        <w:tc>
          <w:tcPr>
            <w:vAlign w:val="center"/>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1. Produto</w:t>
            </w:r>
          </w:p>
        </w:tc>
        <w:tc>
          <w:tcPr>
            <w:gridSpan w:val="3"/>
            <w:vAlign w:val="center"/>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2. Unidade</w:t>
            </w:r>
          </w:p>
        </w:tc>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3. Quantidade</w:t>
            </w:r>
          </w:p>
        </w:tc>
        <w:tc>
          <w:tcPr>
            <w:gridSpan w:val="3"/>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4. Preço/Unidade (R$)</w:t>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5. Total por Produto (R$)</w:t>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6. Cronograma de Entrega por Produto</w:t>
            </w:r>
          </w:p>
        </w:tc>
      </w:tr>
      <w:tr>
        <w:trPr>
          <w:trHeight w:val="280" w:hRule="atLeast"/>
        </w:trPr>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superscript"/>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1 - </w:t>
            </w:r>
            <w:r w:rsidDel="00000000" w:rsidR="00000000" w:rsidRPr="00000000">
              <w:rPr>
                <w:rFonts w:ascii="Arial" w:cs="Arial" w:eastAsia="Arial" w:hAnsi="Arial"/>
                <w:b w:val="1"/>
                <w:sz w:val="18"/>
                <w:szCs w:val="18"/>
                <w:rtl w:val="0"/>
              </w:rPr>
              <w:t xml:space="preserve">Banana. </w:t>
            </w:r>
            <w:r w:rsidDel="00000000" w:rsidR="00000000" w:rsidRPr="00000000">
              <w:rPr>
                <w:rFonts w:ascii="Arial" w:cs="Arial" w:eastAsia="Arial" w:hAnsi="Arial"/>
                <w:sz w:val="18"/>
                <w:szCs w:val="18"/>
                <w:rtl w:val="0"/>
              </w:rPr>
              <w:t xml:space="preserve">Tipo Prata ou Nanica. De 1ª qualidade. Tamanho médio: de 13 a 16cm. Peso unitário aprox.: 90 gramas por fruta. Em penca. Frutos com 60 a 70% de maturação, com casca uniforme, aroma e sabor característico da espécie. Com cascas sãs, sem rupturas, firmes e com brilho.</w:t>
            </w:r>
            <w:r w:rsidDel="00000000" w:rsidR="00000000" w:rsidRPr="00000000">
              <w:rPr>
                <w:rtl w:val="0"/>
              </w:rPr>
            </w:r>
          </w:p>
        </w:tc>
        <w:tc>
          <w:tcPr>
            <w:gridSpan w:val="3"/>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superscript"/>
              </w:rPr>
            </w:pPr>
            <w:r w:rsidDel="00000000" w:rsidR="00000000" w:rsidRPr="00000000">
              <w:rPr>
                <w:rtl w:val="0"/>
              </w:rPr>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3"/>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2 - </w:t>
            </w:r>
            <w:r w:rsidDel="00000000" w:rsidR="00000000" w:rsidRPr="00000000">
              <w:rPr>
                <w:rFonts w:ascii="Arial" w:cs="Arial" w:eastAsia="Arial" w:hAnsi="Arial"/>
                <w:b w:val="1"/>
                <w:sz w:val="18"/>
                <w:szCs w:val="18"/>
                <w:rtl w:val="0"/>
              </w:rPr>
              <w:t xml:space="preserve">Maçã.</w:t>
            </w:r>
            <w:r w:rsidDel="00000000" w:rsidR="00000000" w:rsidRPr="00000000">
              <w:rPr>
                <w:rFonts w:ascii="Arial" w:cs="Arial" w:eastAsia="Arial" w:hAnsi="Arial"/>
                <w:sz w:val="18"/>
                <w:szCs w:val="18"/>
                <w:rtl w:val="0"/>
              </w:rPr>
              <w:t xml:space="preserve"> Tipo Fuji ou Gala Nacional. Graúda. De 1ª qualidade. Grau médio de maturação. Tamanho uniforme, sem deformações, com casca sã, sem ferimentos, rupturas ou defeitos. Sem aderência de material terroso. Aprox. 10 unidades por Kg. Peso médio unitário: 70 gramas por fruta.</w:t>
            </w:r>
            <w:r w:rsidDel="00000000" w:rsidR="00000000" w:rsidRPr="00000000">
              <w:rPr>
                <w:rtl w:val="0"/>
              </w:rPr>
            </w:r>
          </w:p>
        </w:tc>
        <w:tc>
          <w:tcPr>
            <w:gridSpan w:val="3"/>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4"/>
            <w:tcBorders>
              <w:top w:color="000000" w:space="0" w:sz="8" w:val="single"/>
            </w:tcBorders>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8" w:val="single"/>
            </w:tcBorders>
            <w:vAlign w:val="top"/>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3 - </w:t>
            </w:r>
            <w:r w:rsidDel="00000000" w:rsidR="00000000" w:rsidRPr="00000000">
              <w:rPr>
                <w:rFonts w:ascii="Arial" w:cs="Arial" w:eastAsia="Arial" w:hAnsi="Arial"/>
                <w:b w:val="1"/>
                <w:sz w:val="18"/>
                <w:szCs w:val="18"/>
                <w:rtl w:val="0"/>
              </w:rPr>
              <w:t xml:space="preserve">Pastel de Forno Salgado (recheio em sabores diversos). </w:t>
            </w:r>
            <w:r w:rsidDel="00000000" w:rsidR="00000000" w:rsidRPr="00000000">
              <w:rPr>
                <w:rFonts w:ascii="Arial" w:cs="Arial" w:eastAsia="Arial" w:hAnsi="Arial"/>
                <w:sz w:val="18"/>
                <w:szCs w:val="18"/>
                <w:rtl w:val="0"/>
              </w:rPr>
              <w:t xml:space="preserve">Ingredientes: farinha de trigo enriquecida com ferro e ácido fólico, água, gordura vegetal hidrogenada, açúcar, sal, fermento biológico fresco e componentes do recheio (carnes, embutidos, queijos, vegetais). Acondicionado em embalagem de polietileno rotulado com etiqueta adesiva indicando composição do produto, tabela nutricional e datas de fabricação e validade. Peso neto unitário: aprox. 80 gramas. Validade mínima: 02 dias da data de entrega.</w:t>
            </w:r>
            <w:r w:rsidDel="00000000" w:rsidR="00000000" w:rsidRPr="00000000">
              <w:rPr>
                <w:rtl w:val="0"/>
              </w:rPr>
            </w:r>
          </w:p>
        </w:tc>
        <w:tc>
          <w:tcPr>
            <w:gridSpan w:val="3"/>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4 -</w:t>
            </w:r>
            <w:r w:rsidDel="00000000" w:rsidR="00000000" w:rsidRPr="00000000">
              <w:rPr>
                <w:rFonts w:ascii="Arial" w:cs="Arial" w:eastAsia="Arial" w:hAnsi="Arial"/>
                <w:b w:val="1"/>
                <w:sz w:val="18"/>
                <w:szCs w:val="18"/>
                <w:rtl w:val="0"/>
              </w:rPr>
              <w:t xml:space="preserve"> Biscoito tipo rosca de chocolate com mel e cobertura de glacê. </w:t>
            </w:r>
            <w:r w:rsidDel="00000000" w:rsidR="00000000" w:rsidRPr="00000000">
              <w:rPr>
                <w:rFonts w:ascii="Arial" w:cs="Arial" w:eastAsia="Arial" w:hAnsi="Arial"/>
                <w:sz w:val="18"/>
                <w:szCs w:val="18"/>
                <w:rtl w:val="0"/>
              </w:rPr>
              <w:t xml:space="preserve">Tipo caseiro/colonial. Ingredientes: farinha de trigo enriquecida com ferro e ácido fólico, amido de milho, cacau em pó, mel, açúcar, gordura vegetal hidrogenada e bicarbonato de amônia. Sem aditivos químicos. Sabor e cor característicos. Sem aditivos químicos. Sabor e cor característicos. Textura crocante. Acondicionado em embalagem atóxica, hermeticamente fechada. Rótulo com data de fabricação e validade. Porção média: 50 gramas por pessoa.</w:t>
            </w:r>
            <w:r w:rsidDel="00000000" w:rsidR="00000000" w:rsidRPr="00000000">
              <w:rPr>
                <w:rtl w:val="0"/>
              </w:rPr>
            </w:r>
          </w:p>
        </w:tc>
        <w:tc>
          <w:tcPr>
            <w:gridSpan w:val="3"/>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5 - </w:t>
            </w:r>
            <w:r w:rsidDel="00000000" w:rsidR="00000000" w:rsidRPr="00000000">
              <w:rPr>
                <w:rFonts w:ascii="Arial" w:cs="Arial" w:eastAsia="Arial" w:hAnsi="Arial"/>
                <w:b w:val="1"/>
                <w:sz w:val="18"/>
                <w:szCs w:val="18"/>
                <w:rtl w:val="0"/>
              </w:rPr>
              <w:t xml:space="preserve">Barra de Flocos de Arroz.</w:t>
            </w:r>
            <w:r w:rsidDel="00000000" w:rsidR="00000000" w:rsidRPr="00000000">
              <w:rPr>
                <w:rFonts w:ascii="Arial" w:cs="Arial" w:eastAsia="Arial" w:hAnsi="Arial"/>
                <w:sz w:val="18"/>
                <w:szCs w:val="18"/>
                <w:highlight w:val="white"/>
                <w:rtl w:val="0"/>
              </w:rPr>
              <w:t xml:space="preserve"> </w:t>
            </w:r>
            <w:r w:rsidDel="00000000" w:rsidR="00000000" w:rsidRPr="00000000">
              <w:rPr>
                <w:rFonts w:ascii="Arial" w:cs="Arial" w:eastAsia="Arial" w:hAnsi="Arial"/>
                <w:sz w:val="18"/>
                <w:szCs w:val="18"/>
                <w:rtl w:val="0"/>
              </w:rPr>
              <w:t xml:space="preserve">Sabores variados. Ingredientes: Arroz orgânico expandido, açúcar, glicose e/ou cacau. Sem glúten, sem lactose, sem conservantes artificiais.</w:t>
            </w:r>
            <w:r w:rsidDel="00000000" w:rsidR="00000000" w:rsidRPr="00000000">
              <w:rPr>
                <w:rtl w:val="0"/>
              </w:rPr>
            </w:r>
          </w:p>
          <w:p w:rsidR="00000000" w:rsidDel="00000000" w:rsidP="00000000" w:rsidRDefault="00000000" w:rsidRPr="00000000" w14:paraId="00000183">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Armazenagem: em local seco e ventilado, ao abrigo do sol e umidade, na embalagem original, fechada e protegida do contato direto com o solo. Validade: 12 meses a partir da data de fabricação. Embalagem com 100g, contendo, preferencialmente, porções de 10g ou 20g embaladas individualmente</w:t>
            </w:r>
            <w:r w:rsidDel="00000000" w:rsidR="00000000" w:rsidRPr="00000000">
              <w:rPr>
                <w:rtl w:val="0"/>
              </w:rPr>
            </w:r>
          </w:p>
        </w:tc>
        <w:tc>
          <w:tcPr>
            <w:gridSpan w:val="3"/>
            <w:vAlign w:val="top"/>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6 - </w:t>
            </w:r>
            <w:r w:rsidDel="00000000" w:rsidR="00000000" w:rsidRPr="00000000">
              <w:rPr>
                <w:rFonts w:ascii="Arial" w:cs="Arial" w:eastAsia="Arial" w:hAnsi="Arial"/>
                <w:b w:val="1"/>
                <w:sz w:val="18"/>
                <w:szCs w:val="18"/>
                <w:rtl w:val="0"/>
              </w:rPr>
              <w:t xml:space="preserve">Barra de cereal e frutas/castanhas.</w:t>
            </w:r>
            <w:r w:rsidDel="00000000" w:rsidR="00000000" w:rsidRPr="00000000">
              <w:rPr>
                <w:rFonts w:ascii="Arial" w:cs="Arial" w:eastAsia="Arial" w:hAnsi="Arial"/>
                <w:b w:val="1"/>
                <w:sz w:val="18"/>
                <w:szCs w:val="18"/>
                <w:highlight w:val="white"/>
                <w:rtl w:val="0"/>
              </w:rPr>
              <w:t xml:space="preserve"> </w:t>
            </w:r>
            <w:r w:rsidDel="00000000" w:rsidR="00000000" w:rsidRPr="00000000">
              <w:rPr>
                <w:rFonts w:ascii="Arial" w:cs="Arial" w:eastAsia="Arial" w:hAnsi="Arial"/>
                <w:sz w:val="18"/>
                <w:szCs w:val="18"/>
                <w:rtl w:val="0"/>
              </w:rPr>
              <w:t xml:space="preserve">Sabores: banana com chocolate, brigadeiro, castanha, coco e morango com chocolate. Possíveis ingredientes: aveia em flocos, flocos de arroz, quinua em flocos, flocos de milho, frutas (banana, morango, coco) desidratadas, castanhas (de Caju, do Pará), amêndoas, açúcar refinado ou mascavo, gordura vegetal/de palma, cacau em pó, leite em pó, leite de coco, óleo vegetal, glucose de milho, maltodextrina, emulsificantes de soja e poliglicerol polirricinoleato, aromatizantes idênticos aos naturais, antioxidante lecitina de soja, edulcorantes, sorbitol e sucralose. Porção de 25g, embalada individualmente.</w:t>
            </w:r>
            <w:r w:rsidDel="00000000" w:rsidR="00000000" w:rsidRPr="00000000">
              <w:rPr>
                <w:rtl w:val="0"/>
              </w:rPr>
            </w:r>
          </w:p>
        </w:tc>
        <w:tc>
          <w:tcPr>
            <w:gridSpan w:val="3"/>
            <w:vAlign w:val="top"/>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7 - </w:t>
            </w:r>
            <w:r w:rsidDel="00000000" w:rsidR="00000000" w:rsidRPr="00000000">
              <w:rPr>
                <w:rFonts w:ascii="Arial" w:cs="Arial" w:eastAsia="Arial" w:hAnsi="Arial"/>
                <w:b w:val="1"/>
                <w:sz w:val="18"/>
                <w:szCs w:val="18"/>
                <w:rtl w:val="0"/>
              </w:rPr>
              <w:t xml:space="preserve">Bebida Láctea, sabores diversos. </w:t>
            </w:r>
            <w:r w:rsidDel="00000000" w:rsidR="00000000" w:rsidRPr="00000000">
              <w:rPr>
                <w:rFonts w:ascii="Arial" w:cs="Arial" w:eastAsia="Arial" w:hAnsi="Arial"/>
                <w:sz w:val="18"/>
                <w:szCs w:val="18"/>
                <w:rtl w:val="0"/>
              </w:rPr>
              <w:t xml:space="preserve">Possíveis Ingredientes: soro de leite e/ou soro de leite em pó, leite pasteurizado integral e/ou leite em pó integral, açúcar, conservantes (sorbato de potássio, INS202), acidulante ácido cítrico (INS 330), estabilizante (carragena, INS 407, goma guar, INS 412), fermento lácteo e preparados (extrato, corante e aroma naturais e/ou idênticos aos naturais) saborizantes de: baunilha, côco, morango, pêssego, mamão, salada de frutas, entre outros. Acondicionado em embalagens de polietileno (sacos) rotuladas, indicando composição do produto, tabela nutricional e datas de fabricação e validade. Validade mínima: 05 dias da data de entrega.</w:t>
            </w:r>
            <w:r w:rsidDel="00000000" w:rsidR="00000000" w:rsidRPr="00000000">
              <w:rPr>
                <w:rtl w:val="0"/>
              </w:rPr>
            </w:r>
          </w:p>
        </w:tc>
        <w:tc>
          <w:tcPr>
            <w:gridSpan w:val="3"/>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3"/>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c>
          <w:tcPr>
            <w:gridSpan w:val="4"/>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superscript"/>
              </w:rPr>
            </w:pPr>
            <w:r w:rsidDel="00000000" w:rsidR="00000000" w:rsidRPr="00000000">
              <w:rPr>
                <w:rtl w:val="0"/>
              </w:rPr>
            </w:r>
          </w:p>
        </w:tc>
      </w:tr>
      <w:tr>
        <w:trPr>
          <w:trHeight w:val="280" w:hRule="atLeast"/>
        </w:trPr>
        <w:tc>
          <w:tcPr>
            <w:gridSpan w:val="16"/>
            <w:shd w:fill="ffff99" w:val="clea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 Preço publicado no Edital de Chamada Pública do IFRS - </w:t>
            </w:r>
            <w:r w:rsidDel="00000000" w:rsidR="00000000" w:rsidRPr="00000000">
              <w:rPr>
                <w:rFonts w:ascii="Arial" w:cs="Arial" w:eastAsia="Arial" w:hAnsi="Arial"/>
                <w:b w:val="0"/>
                <w:i w:val="1"/>
                <w:smallCaps w:val="0"/>
                <w:strike w:val="0"/>
                <w:color w:val="000000"/>
                <w:sz w:val="16"/>
                <w:szCs w:val="16"/>
                <w:u w:val="none"/>
                <w:shd w:fill="auto" w:val="clear"/>
                <w:vertAlign w:val="superscript"/>
                <w:rtl w:val="0"/>
              </w:rPr>
              <w:t xml:space="preserve">Campus</w:t>
            </w: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 Restinga.</w:t>
            </w:r>
          </w:p>
        </w:tc>
        <w:tc>
          <w:tcPr>
            <w:shd w:fill="ffff99" w:val="clear"/>
            <w:vAlign w:val="center"/>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7.Total do Projeto (R$)</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11"/>
            <w:tcBorders>
              <w:right w:color="d9d9d9" w:space="0" w:sz="4" w:val="single"/>
            </w:tcBorders>
            <w:shd w:fill="d9d9d9" w:val="clear"/>
            <w:vAlign w:val="center"/>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Declaro estar de acordo com as condições estabelecidas neste projeto e que as informações acima conferem com as condições de fornecimento. </w:t>
            </w:r>
          </w:p>
        </w:tc>
        <w:tc>
          <w:tcPr>
            <w:gridSpan w:val="6"/>
            <w:tcBorders>
              <w:left w:color="d9d9d9" w:space="0" w:sz="4" w:val="single"/>
            </w:tcBorders>
            <w:shd w:fill="d9d9d9" w:val="clea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Local e Data:</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tl w:val="0"/>
              </w:rPr>
            </w:r>
          </w:p>
        </w:tc>
      </w:tr>
      <w:tr>
        <w:trPr>
          <w:trHeight w:val="280" w:hRule="atLeast"/>
        </w:trPr>
        <w:tc>
          <w:tcPr>
            <w:gridSpan w:val="6"/>
            <w:vAlign w:val="center"/>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Assinatura do Representante Legal do Grupo Formal</w:t>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tl w:val="0"/>
              </w:rPr>
            </w:r>
          </w:p>
        </w:tc>
        <w:tc>
          <w:tcPr>
            <w:gridSpan w:val="11"/>
            <w:vAlign w:val="center"/>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Fonts w:ascii="Arial" w:cs="Arial" w:eastAsia="Arial" w:hAnsi="Arial"/>
                <w:b w:val="0"/>
                <w:i w:val="0"/>
                <w:smallCaps w:val="0"/>
                <w:strike w:val="0"/>
                <w:color w:val="000000"/>
                <w:sz w:val="16"/>
                <w:szCs w:val="16"/>
                <w:u w:val="none"/>
                <w:shd w:fill="auto" w:val="clear"/>
                <w:vertAlign w:val="superscript"/>
                <w:rtl w:val="0"/>
              </w:rPr>
              <w:t xml:space="preserve">Fone/E-mail:</w:t>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superscript"/>
              </w:rPr>
            </w:pPr>
            <w:r w:rsidDel="00000000" w:rsidR="00000000" w:rsidRPr="00000000">
              <w:rPr>
                <w:rtl w:val="0"/>
              </w:rPr>
            </w:r>
          </w:p>
        </w:tc>
      </w:tr>
    </w:tbl>
    <w:p w:rsidR="00000000" w:rsidDel="00000000" w:rsidP="00000000" w:rsidRDefault="00000000" w:rsidRPr="00000000" w14:paraId="000001ED">
      <w:pPr>
        <w:rPr>
          <w:rFonts w:ascii="Arial" w:cs="Arial" w:eastAsia="Arial" w:hAnsi="Arial"/>
          <w:sz w:val="22"/>
          <w:szCs w:val="22"/>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even"/>
      <w:pgSz w:h="16837" w:w="11905"/>
      <w:pgMar w:bottom="1134" w:top="1133.8582677165355" w:left="1701" w:right="851" w:header="555" w:footer="26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48"/>
      <w:szCs w:val="48"/>
      <w:effect w:val="none"/>
      <w:vertAlign w:val="baseline"/>
      <w:cs w:val="0"/>
      <w:em w:val="none"/>
      <w:lang w:bidi="ar-SA" w:eastAsia="pt-BR" w:val="pt-BR"/>
    </w:rPr>
  </w:style>
  <w:style w:type="paragraph" w:styleId="Título2">
    <w:name w:val="Título 2"/>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1"/>
    </w:pPr>
    <w:rPr>
      <w:b w:val="1"/>
      <w:w w:val="100"/>
      <w:position w:val="-1"/>
      <w:sz w:val="36"/>
      <w:szCs w:val="36"/>
      <w:effect w:val="none"/>
      <w:vertAlign w:val="baseline"/>
      <w:cs w:val="0"/>
      <w:em w:val="none"/>
      <w:lang w:bidi="ar-SA" w:eastAsia="pt-BR" w:val="pt-BR"/>
    </w:rPr>
  </w:style>
  <w:style w:type="paragraph" w:styleId="Título3">
    <w:name w:val="Título 3"/>
    <w:basedOn w:val="normal"/>
    <w:next w:val="normal"/>
    <w:autoRedefine w:val="0"/>
    <w:hidden w:val="0"/>
    <w:qFormat w:val="0"/>
    <w:pPr>
      <w:keepNext w:val="1"/>
      <w:keepLines w:val="1"/>
      <w:suppressAutoHyphens w:val="1"/>
      <w:spacing w:after="80" w:before="280" w:line="1" w:lineRule="atLeast"/>
      <w:ind w:leftChars="-1" w:rightChars="0" w:firstLineChars="-1"/>
      <w:textDirection w:val="btLr"/>
      <w:textAlignment w:val="top"/>
      <w:outlineLvl w:val="2"/>
    </w:pPr>
    <w:rPr>
      <w:b w:val="1"/>
      <w:w w:val="100"/>
      <w:position w:val="-1"/>
      <w:sz w:val="28"/>
      <w:szCs w:val="28"/>
      <w:effect w:val="none"/>
      <w:vertAlign w:val="baseline"/>
      <w:cs w:val="0"/>
      <w:em w:val="none"/>
      <w:lang w:bidi="ar-SA" w:eastAsia="pt-BR" w:val="pt-BR"/>
    </w:rPr>
  </w:style>
  <w:style w:type="paragraph" w:styleId="Título4">
    <w:name w:val="Título 4"/>
    <w:basedOn w:val="normal"/>
    <w:next w:val="normal"/>
    <w:autoRedefine w:val="0"/>
    <w:hidden w:val="0"/>
    <w:qFormat w:val="0"/>
    <w:pPr>
      <w:keepNext w:val="1"/>
      <w:keepLines w:val="1"/>
      <w:suppressAutoHyphens w:val="1"/>
      <w:spacing w:after="40" w:before="240" w:line="1" w:lineRule="atLeast"/>
      <w:ind w:leftChars="-1" w:rightChars="0" w:firstLineChars="-1"/>
      <w:textDirection w:val="btLr"/>
      <w:textAlignment w:val="top"/>
      <w:outlineLvl w:val="3"/>
    </w:pPr>
    <w:rPr>
      <w:b w:val="1"/>
      <w:w w:val="100"/>
      <w:position w:val="-1"/>
      <w:sz w:val="24"/>
      <w:szCs w:val="24"/>
      <w:effect w:val="none"/>
      <w:vertAlign w:val="baseline"/>
      <w:cs w:val="0"/>
      <w:em w:val="none"/>
      <w:lang w:bidi="ar-SA" w:eastAsia="pt-BR" w:val="pt-BR"/>
    </w:rPr>
  </w:style>
  <w:style w:type="paragraph" w:styleId="Título5">
    <w:name w:val="Título 5"/>
    <w:basedOn w:val="normal"/>
    <w:next w:val="normal"/>
    <w:autoRedefine w:val="0"/>
    <w:hidden w:val="0"/>
    <w:qFormat w:val="0"/>
    <w:pPr>
      <w:keepNext w:val="1"/>
      <w:keepLines w:val="1"/>
      <w:suppressAutoHyphens w:val="1"/>
      <w:spacing w:after="40" w:before="220" w:line="1" w:lineRule="atLeast"/>
      <w:ind w:leftChars="-1" w:rightChars="0" w:firstLineChars="-1"/>
      <w:textDirection w:val="btLr"/>
      <w:textAlignment w:val="top"/>
      <w:outlineLvl w:val="4"/>
    </w:pPr>
    <w:rPr>
      <w:b w:val="1"/>
      <w:w w:val="100"/>
      <w:position w:val="-1"/>
      <w:sz w:val="22"/>
      <w:szCs w:val="22"/>
      <w:effect w:val="none"/>
      <w:vertAlign w:val="baseline"/>
      <w:cs w:val="0"/>
      <w:em w:val="none"/>
      <w:lang w:bidi="ar-SA" w:eastAsia="pt-BR" w:val="pt-BR"/>
    </w:rPr>
  </w:style>
  <w:style w:type="paragraph" w:styleId="Título6">
    <w:name w:val="Título 6"/>
    <w:basedOn w:val="normal"/>
    <w:next w:val="normal"/>
    <w:autoRedefine w:val="0"/>
    <w:hidden w:val="0"/>
    <w:qFormat w:val="0"/>
    <w:pPr>
      <w:keepNext w:val="1"/>
      <w:keepLines w:val="1"/>
      <w:suppressAutoHyphens w:val="1"/>
      <w:spacing w:after="40" w:before="200" w:line="1" w:lineRule="atLeast"/>
      <w:ind w:leftChars="-1" w:rightChars="0" w:firstLineChars="-1"/>
      <w:textDirection w:val="btLr"/>
      <w:textAlignment w:val="top"/>
      <w:outlineLvl w:val="5"/>
    </w:pPr>
    <w:rPr>
      <w:b w:val="1"/>
      <w:w w:val="100"/>
      <w:position w:val="-1"/>
      <w:sz w:val="20"/>
      <w:szCs w:val="20"/>
      <w:effect w:val="none"/>
      <w:vertAlign w:val="baseline"/>
      <w:cs w:val="0"/>
      <w:em w:val="none"/>
      <w:lang w:bidi="ar-SA" w:eastAsia="pt-BR"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1"/>
      <w:w w:val="100"/>
      <w:position w:val="-1"/>
      <w:sz w:val="72"/>
      <w:szCs w:val="72"/>
      <w:effect w:val="none"/>
      <w:vertAlign w:val="baseline"/>
      <w:cs w:val="0"/>
      <w:em w:val="none"/>
      <w:lang w:bidi="ar-SA" w:eastAsia="pt-BR" w:val="pt-BR"/>
    </w:rPr>
  </w:style>
  <w:style w:type="paragraph" w:styleId="Subtítulo">
    <w:name w:val="Subtítulo"/>
    <w:basedOn w:val="normal"/>
    <w:next w:val="normal"/>
    <w:autoRedefine w:val="0"/>
    <w:hidden w:val="0"/>
    <w:qFormat w:val="0"/>
    <w:pPr>
      <w:keepNext w:val="1"/>
      <w:keepLines w:val="1"/>
      <w:suppressAutoHyphens w:val="1"/>
      <w:spacing w:after="80" w:before="360" w:line="1" w:lineRule="atLeast"/>
      <w:ind w:leftChars="-1" w:rightChars="0" w:firstLineChars="-1"/>
      <w:textDirection w:val="btLr"/>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pt-BR" w:val="pt-BR"/>
    </w:rPr>
  </w:style>
  <w:style w:type="table" w:styleId="0">
    <w:name w:val=""/>
    <w:basedOn w:val="TableNormal"/>
    <w:next w:val="0"/>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0"/>
      <w:tblStyleRowBandSize w:val="1"/>
      <w:tblStyleColBandSize w:val="1"/>
      <w:jc w:val="left"/>
      <w:tblCellMar>
        <w:left w:w="70.0" w:type="dxa"/>
        <w:right w:w="70.0" w:type="dxa"/>
      </w:tblCellMar>
    </w:tblPr>
  </w:style>
  <w:style w:type="table" w:styleId="1">
    <w:name w:val=""/>
    <w:basedOn w:val="TableNormal"/>
    <w:next w:val="1"/>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1"/>
      <w:tblStyleRowBandSize w:val="1"/>
      <w:tblStyleColBandSize w:val="1"/>
      <w:jc w:val="left"/>
      <w:tblCellMar>
        <w:left w:w="108.0" w:type="dxa"/>
        <w:right w:w="108.0" w:type="dxa"/>
      </w:tblCellMar>
    </w:tblPr>
  </w:style>
  <w:style w:type="table" w:styleId="2">
    <w:name w:val=""/>
    <w:basedOn w:val="TableNormal"/>
    <w:next w:val="2"/>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2"/>
      <w:tblStyleRowBandSize w:val="1"/>
      <w:tblStyleColBandSize w:val="1"/>
      <w:jc w:val="left"/>
      <w:tblCellMar>
        <w:left w:w="70.0" w:type="dxa"/>
        <w:right w:w="70.0" w:type="dxa"/>
      </w:tblCellMar>
    </w:tblPr>
  </w:style>
  <w:style w:type="table" w:styleId="3">
    <w:name w:val=""/>
    <w:basedOn w:val="TableNormal"/>
    <w:next w:val="3"/>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3"/>
      <w:tblStyleRowBandSize w:val="1"/>
      <w:tblStyleColBandSize w:val="1"/>
      <w:jc w:val="left"/>
      <w:tblCellMar>
        <w:left w:w="70.0" w:type="dxa"/>
        <w:right w:w="70.0" w:type="dxa"/>
      </w:tblCellMar>
    </w:tblPr>
  </w:style>
  <w:style w:type="table" w:styleId="4">
    <w:name w:val=""/>
    <w:basedOn w:val="TableNormal"/>
    <w:next w:val="4"/>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4"/>
      <w:tblStyleRowBandSize w:val="1"/>
      <w:tblStyleColBandSize w:val="1"/>
      <w:jc w:val="left"/>
      <w:tblCellMar>
        <w:left w:w="70.0" w:type="dxa"/>
        <w:right w:w="70.0" w:type="dxa"/>
      </w:tblCellMar>
    </w:tblPr>
  </w:style>
  <w:style w:type="table" w:styleId="5">
    <w:name w:val=""/>
    <w:basedOn w:val="TableNormal"/>
    <w:next w:val="5"/>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5"/>
      <w:tblStyleRowBandSize w:val="1"/>
      <w:tblStyleColBandSize w:val="1"/>
      <w:jc w:val="left"/>
      <w:tblCellMar>
        <w:left w:w="70.0" w:type="dxa"/>
        <w:right w:w="70.0" w:type="dxa"/>
      </w:tblCellMar>
    </w:tblPr>
  </w:style>
  <w:style w:type="table" w:styleId="6">
    <w:name w:val=""/>
    <w:basedOn w:val="TableNormal"/>
    <w:next w:val="6"/>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6"/>
      <w:tblStyleRowBandSize w:val="1"/>
      <w:tblStyleColBandSize w:val="1"/>
      <w:jc w:val="left"/>
      <w:tblCellMar>
        <w:left w:w="108.0" w:type="dxa"/>
        <w:right w:w="108.0" w:type="dxa"/>
      </w:tblCellMar>
    </w:tblPr>
  </w:style>
  <w:style w:type="table" w:styleId="7">
    <w:name w:val=""/>
    <w:basedOn w:val="TableNormal"/>
    <w:next w:val="7"/>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7"/>
      <w:tblStyleRowBandSize w:val="1"/>
      <w:tblStyleColBandSize w:val="1"/>
      <w:jc w:val="left"/>
      <w:tblCellMar>
        <w:left w:w="108.0" w:type="dxa"/>
        <w:right w:w="108.0" w:type="dxa"/>
      </w:tblCellMar>
    </w:tblPr>
  </w:style>
  <w:style w:type="table" w:styleId="">
    <w:name w:val=""/>
    <w:basedOn w:val="TableNormal"/>
    <w:next w:v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tblPr>
      <w:tblStyle w:val=""/>
      <w:tblStyleRowBandSize w:val="1"/>
      <w:tblStyleColBandSize w:val="1"/>
      <w:jc w:val="left"/>
      <w:tblCellMar>
        <w:left w:w="108.0" w:type="dxa"/>
        <w:right w:w="108.0" w:type="dxa"/>
      </w:tblCellMar>
    </w:tblPr>
  </w:style>
  <w:style w:type="paragraph" w:styleId="Textodebalão">
    <w:name w:val="Texto de balão"/>
    <w:basedOn w:val="Normal"/>
    <w:next w:val="Textodebalão"/>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basedOn w:val="Fonteparág.padrão"/>
    <w:next w:val="TextodebalãoChar"/>
    <w:autoRedefine w:val="0"/>
    <w:hidden w:val="0"/>
    <w:qFormat w:val="0"/>
    <w:rPr>
      <w:rFonts w:ascii="Tahoma" w:cs="Tahoma" w:hAnsi="Tahoma"/>
      <w:w w:val="100"/>
      <w:position w:val="-1"/>
      <w:sz w:val="16"/>
      <w:szCs w:val="16"/>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odapé">
    <w:name w:val="Rodapé"/>
    <w:basedOn w:val="Normal"/>
    <w:next w:val="Rodapé"/>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9AuiJ+CEB32bDUwGalARTO4lfg==">AMUW2mVcoq3qmMvpQjacUvFG+5vhej2rE+682I43Ikosq6jSWdSt/kYJQRox6PhkK6F7GaZqhK2WCMqG4hp9YMhwSn3XrK3jOaSzkZE/X5sRw62zEheHVNQ=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2018-05-25T13:35:00Z</dcterms:created>
  <dc:creator>Lelien Fritsch</dc:creator>
</cp:coreProperties>
</file>