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ANEXO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hyperlink r:id="rId7">
        <w:r w:rsidDel="00000000" w:rsidR="00000000" w:rsidRPr="00000000">
          <w:rPr>
            <w:rFonts w:ascii="Arial" w:cs="Arial" w:eastAsia="Arial" w:hAnsi="Arial"/>
            <w:b w:val="1"/>
            <w:bCs w:val="1"/>
            <w:color w:val="000000"/>
            <w:sz w:val="24"/>
            <w:szCs w:val="24"/>
            <w:vertAlign w:val="baseline"/>
            <w:rtl w:val="0"/>
          </w:rPr>
          <w:t xml:space="preserve">FORMULÁRIO DE PRESTAÇÃO DE CONTAS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vertAlign w:val="baseline"/>
          <w:rtl w:val="0"/>
        </w:rPr>
        <w:t xml:space="preserve">1. IDENTIFICAÇÃO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45.0" w:type="dxa"/>
        <w:jc w:val="left"/>
        <w:tblInd w:w="10.0" w:type="dxa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4511"/>
        <w:gridCol w:w="4534"/>
        <w:tblGridChange w:id="0">
          <w:tblGrid>
            <w:gridCol w:w="4511"/>
            <w:gridCol w:w="453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80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 Nome: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8" w:val="single"/>
              <w:bottom w:color="000001" w:space="0" w:sz="8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80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 CPF:</w:t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80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 SIAPE: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80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 Telefones: Convencional (      )                                           Celular (       )</w:t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vertAlign w:val="baseline"/>
          <w:rtl w:val="0"/>
        </w:rPr>
        <w:t xml:space="preserve">2. DADOS DO EVENTO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82.0" w:type="dxa"/>
        <w:jc w:val="left"/>
        <w:tblInd w:w="10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0" w:space="0" w:sz="0" w:val="nil"/>
          <w:insideH w:color="000001" w:space="0" w:sz="4" w:val="single"/>
          <w:insideV w:color="000000" w:space="0" w:sz="0" w:val="nil"/>
        </w:tblBorders>
        <w:tblLayout w:type="fixed"/>
        <w:tblLook w:val="0000"/>
      </w:tblPr>
      <w:tblGrid>
        <w:gridCol w:w="2693"/>
        <w:gridCol w:w="1761"/>
        <w:gridCol w:w="2130"/>
        <w:gridCol w:w="2498"/>
        <w:tblGridChange w:id="0">
          <w:tblGrid>
            <w:gridCol w:w="2693"/>
            <w:gridCol w:w="1761"/>
            <w:gridCol w:w="2130"/>
            <w:gridCol w:w="24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Nome do Evento:</w:t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Cidade: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UF: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País: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Período de inscrição:</w:t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82.0" w:type="dxa"/>
        <w:jc w:val="left"/>
        <w:tblInd w:w="10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0" w:space="0" w:sz="0" w:val="nil"/>
          <w:insideH w:color="000001" w:space="0" w:sz="4" w:val="single"/>
          <w:insideV w:color="000000" w:space="0" w:sz="0" w:val="nil"/>
        </w:tblBorders>
        <w:tblLayout w:type="fixed"/>
        <w:tblLook w:val="0000"/>
      </w:tblPr>
      <w:tblGrid>
        <w:gridCol w:w="1133"/>
        <w:gridCol w:w="709"/>
        <w:gridCol w:w="2867"/>
        <w:gridCol w:w="4373"/>
        <w:tblGridChange w:id="0">
          <w:tblGrid>
            <w:gridCol w:w="1133"/>
            <w:gridCol w:w="709"/>
            <w:gridCol w:w="2867"/>
            <w:gridCol w:w="437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Evento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Início (dia/mês):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Final (dia/mês):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Deslocamento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Ida (dia/mês):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Volta (dia/mês):</w:t>
            </w:r>
          </w:p>
        </w:tc>
      </w:tr>
    </w:tbl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vertAlign w:val="baseline"/>
          <w:rtl w:val="0"/>
        </w:rPr>
        <w:t xml:space="preserve">3. RESULTADOS OBTIDOS COM A PARTICIPAÇÃO NO EVENTO</w:t>
      </w:r>
      <w:r w:rsidDel="00000000" w:rsidR="00000000" w:rsidRPr="00000000">
        <w:rPr>
          <w:rtl w:val="0"/>
        </w:rPr>
      </w:r>
    </w:p>
    <w:tbl>
      <w:tblPr>
        <w:tblStyle w:val="Table4"/>
        <w:tblW w:w="9092.0" w:type="dxa"/>
        <w:jc w:val="left"/>
        <w:tblInd w:w="10.0" w:type="dxa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9092"/>
        <w:tblGridChange w:id="0">
          <w:tblGrid>
            <w:gridCol w:w="909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40" w:firstLine="0"/>
              <w:jc w:val="both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40" w:firstLine="0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40" w:firstLine="0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40" w:firstLine="0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40" w:firstLine="0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40" w:firstLine="0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40" w:firstLine="0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40" w:firstLine="0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vertAlign w:val="baseline"/>
          <w:rtl w:val="0"/>
        </w:rPr>
        <w:t xml:space="preserve">4. DESCRIÇÃO RESUMIDA DOS GASTOS (ANEXAR OS COMPROVANTES)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92.0" w:type="dxa"/>
        <w:jc w:val="left"/>
        <w:tblInd w:w="10.0" w:type="dxa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0" w:space="0" w:sz="0" w:val="nil"/>
          <w:insideH w:color="000001" w:space="0" w:sz="8" w:val="single"/>
          <w:insideV w:color="000000" w:space="0" w:sz="0" w:val="nil"/>
        </w:tblBorders>
        <w:tblLayout w:type="fixed"/>
        <w:tblLook w:val="0000"/>
      </w:tblPr>
      <w:tblGrid>
        <w:gridCol w:w="1842"/>
        <w:gridCol w:w="3403"/>
        <w:gridCol w:w="2268"/>
        <w:gridCol w:w="1579"/>
        <w:tblGridChange w:id="0">
          <w:tblGrid>
            <w:gridCol w:w="1842"/>
            <w:gridCol w:w="3403"/>
            <w:gridCol w:w="2268"/>
            <w:gridCol w:w="157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DOCUMENTO FISCAL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NOME DO ESTABELECIMENTO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FINALIDADE DO GASTO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 VALOR EM 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666666" w:space="0" w:sz="8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666666" w:space="0" w:sz="8" w:val="single"/>
              <w:right w:color="000001" w:space="0" w:sz="8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000000" w:val="clear"/>
            <w:vAlign w:val="top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SOMA DOS GASTOS EM 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_______________________________, ______/_____/_______.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                       </w:t>
        <w:tab/>
        <w:t xml:space="preserve">(Local)                                    </w:t>
        <w:tab/>
        <w:t xml:space="preserve">(Data)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Assinatura do servidor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8" w:top="1418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  <w:vertAlign w:val="baseline"/>
      </w:rPr>
    </w:pPr>
    <w:r w:rsidDel="00000000" w:rsidR="00000000" w:rsidRPr="00000000">
      <w:rPr>
        <w:color w:val="000000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Arial" w:cs="Arial" w:eastAsia="Arial" w:hAnsi="Arial"/>
        <w:color w:val="000000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709" w:line="360" w:lineRule="auto"/>
      <w:ind w:right="360"/>
      <w:jc w:val="center"/>
      <w:rPr>
        <w:rFonts w:ascii="Arial" w:cs="Arial" w:eastAsia="Arial" w:hAnsi="Arial"/>
        <w:color w:val="000000"/>
        <w:sz w:val="22"/>
        <w:szCs w:val="22"/>
        <w:vertAlign w:val="baseline"/>
      </w:rPr>
    </w:pPr>
    <w:r w:rsidDel="00000000" w:rsidR="00000000" w:rsidRPr="00000000">
      <w:rPr>
        <w:rFonts w:ascii="Arial" w:cs="Arial" w:eastAsia="Arial" w:hAnsi="Arial"/>
        <w:color w:val="000000"/>
        <w:sz w:val="22"/>
        <w:szCs w:val="22"/>
        <w:vertAlign w:val="baseline"/>
      </w:rPr>
      <w:drawing>
        <wp:inline distB="0" distT="0" distL="114300" distR="114300">
          <wp:extent cx="654050" cy="653415"/>
          <wp:effectExtent b="0" l="0" r="0" t="0"/>
          <wp:docPr id="10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4050" cy="6534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spacing w:before="60" w:lineRule="auto"/>
      <w:jc w:val="center"/>
      <w:rPr>
        <w:rFonts w:ascii="Arial" w:cs="Arial" w:eastAsia="Arial" w:hAnsi="Arial"/>
        <w:sz w:val="22"/>
        <w:szCs w:val="22"/>
        <w:vertAlign w:val="baseline"/>
      </w:rPr>
    </w:pPr>
    <w:r w:rsidDel="00000000" w:rsidR="00000000" w:rsidRPr="00000000">
      <w:rPr>
        <w:rFonts w:ascii="Arial" w:cs="Arial" w:eastAsia="Arial" w:hAnsi="Arial"/>
        <w:sz w:val="22"/>
        <w:szCs w:val="22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61">
    <w:pPr>
      <w:jc w:val="center"/>
      <w:rPr>
        <w:rFonts w:ascii="Arial" w:cs="Arial" w:eastAsia="Arial" w:hAnsi="Arial"/>
        <w:sz w:val="22"/>
        <w:szCs w:val="22"/>
        <w:vertAlign w:val="baseline"/>
      </w:rPr>
    </w:pPr>
    <w:r w:rsidDel="00000000" w:rsidR="00000000" w:rsidRPr="00000000">
      <w:rPr>
        <w:rFonts w:ascii="Arial" w:cs="Arial" w:eastAsia="Arial" w:hAnsi="Arial"/>
        <w:sz w:val="22"/>
        <w:szCs w:val="22"/>
        <w:vertAlign w:val="baseline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62">
    <w:pPr>
      <w:jc w:val="center"/>
      <w:rPr>
        <w:rFonts w:ascii="Arial" w:cs="Arial" w:eastAsia="Arial" w:hAnsi="Arial"/>
        <w:sz w:val="22"/>
        <w:szCs w:val="22"/>
        <w:vertAlign w:val="baseline"/>
      </w:rPr>
    </w:pPr>
    <w:r w:rsidDel="00000000" w:rsidR="00000000" w:rsidRPr="00000000">
      <w:rPr>
        <w:rFonts w:ascii="Arial" w:cs="Arial" w:eastAsia="Arial" w:hAnsi="Arial"/>
        <w:sz w:val="22"/>
        <w:szCs w:val="22"/>
        <w:vertAlign w:val="baseline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Arial" w:cs="Arial" w:eastAsia="Arial" w:hAnsi="Arial"/>
        <w:color w:val="000000"/>
        <w:sz w:val="22"/>
        <w:szCs w:val="22"/>
        <w:vertAlign w:val="baseline"/>
      </w:rPr>
    </w:pPr>
    <w:r w:rsidDel="00000000" w:rsidR="00000000" w:rsidRPr="00000000">
      <w:rPr>
        <w:rFonts w:ascii="Arial" w:cs="Arial" w:eastAsia="Arial" w:hAnsi="Arial"/>
        <w:i w:val="1"/>
        <w:iCs w:val="1"/>
        <w:color w:val="000000"/>
        <w:sz w:val="22"/>
        <w:szCs w:val="22"/>
        <w:vertAlign w:val="baseline"/>
        <w:rtl w:val="0"/>
      </w:rPr>
      <w:t xml:space="preserve">Campus</w:t>
    </w:r>
    <w:r w:rsidDel="00000000" w:rsidR="00000000" w:rsidRPr="00000000">
      <w:rPr>
        <w:rFonts w:ascii="Arial" w:cs="Arial" w:eastAsia="Arial" w:hAnsi="Arial"/>
        <w:color w:val="000000"/>
        <w:sz w:val="22"/>
        <w:szCs w:val="22"/>
        <w:vertAlign w:val="baseline"/>
        <w:rtl w:val="0"/>
      </w:rPr>
      <w:t xml:space="preserve"> Osório</w:t>
    </w:r>
  </w:p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Arial" w:cs="Arial" w:eastAsia="Arial" w:hAnsi="Arial"/>
        <w:color w:val="000000"/>
        <w:sz w:val="22"/>
        <w:szCs w:val="22"/>
        <w:vertAlign w:val="baseline"/>
      </w:rPr>
    </w:pPr>
    <w:r w:rsidDel="00000000" w:rsidR="00000000" w:rsidRPr="00000000">
      <w:rPr>
        <w:rFonts w:ascii="Arial" w:cs="Arial" w:eastAsia="Arial" w:hAnsi="Arial"/>
        <w:color w:val="000000"/>
        <w:sz w:val="22"/>
        <w:szCs w:val="22"/>
        <w:vertAlign w:val="baseline"/>
        <w:rtl w:val="0"/>
      </w:rPr>
      <w:t xml:space="preserve">Direção de Pesquisa, Pós-graduação e Inovação</w:t>
    </w:r>
  </w:p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Arial" w:cs="Arial" w:eastAsia="Arial" w:hAnsi="Arial"/>
        <w:color w:val="000000"/>
        <w:sz w:val="22"/>
        <w:szCs w:val="22"/>
        <w:vertAlign w:val="baseline"/>
      </w:rPr>
    </w:pPr>
    <w:r w:rsidDel="00000000" w:rsidR="00000000" w:rsidRPr="00000000">
      <w:rPr>
        <w:rFonts w:ascii="Arial" w:cs="Arial" w:eastAsia="Arial" w:hAnsi="Arial"/>
        <w:color w:val="000000"/>
        <w:sz w:val="22"/>
        <w:szCs w:val="22"/>
        <w:vertAlign w:val="baseline"/>
        <w:rtl w:val="0"/>
      </w:rPr>
      <w:t xml:space="preserve">Rua Santos Dumont, 2127 | Bairro Albatroz | CEP: 95520-000 | Osório/RS </w:t>
    </w:r>
  </w:p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Arial" w:cs="Arial" w:eastAsia="Arial" w:hAnsi="Arial"/>
        <w:color w:val="000000"/>
        <w:sz w:val="22"/>
        <w:szCs w:val="22"/>
        <w:vertAlign w:val="baseline"/>
      </w:rPr>
    </w:pPr>
    <w:r w:rsidDel="00000000" w:rsidR="00000000" w:rsidRPr="00000000">
      <w:rPr>
        <w:rFonts w:ascii="Arial" w:cs="Arial" w:eastAsia="Arial" w:hAnsi="Arial"/>
        <w:color w:val="000000"/>
        <w:sz w:val="22"/>
        <w:szCs w:val="22"/>
        <w:vertAlign w:val="baseline"/>
        <w:rtl w:val="0"/>
      </w:rPr>
      <w:t xml:space="preserve">Telefone: (51) 3601 3500 - Sítio eletrônico: http://www.osorio.ifrs.edu.br</w:t>
    </w:r>
  </w:p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Arial" w:cs="Arial" w:eastAsia="Arial" w:hAnsi="Arial"/>
        <w:color w:val="000000"/>
        <w:sz w:val="22"/>
        <w:szCs w:val="22"/>
        <w:vertAlign w:val="baseline"/>
      </w:rPr>
    </w:pPr>
    <w:r w:rsidDel="00000000" w:rsidR="00000000" w:rsidRPr="00000000">
      <w:rPr>
        <w:rFonts w:ascii="Arial" w:cs="Arial" w:eastAsia="Arial" w:hAnsi="Arial"/>
        <w:color w:val="000000"/>
        <w:sz w:val="22"/>
        <w:szCs w:val="22"/>
        <w:vertAlign w:val="baseline"/>
        <w:rtl w:val="0"/>
      </w:rPr>
      <w:t xml:space="preserve">E-mail: pesquisa@osorio.ifrs.edu.br </w:t>
    </w:r>
  </w:p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Arial" w:cs="Arial" w:eastAsia="Arial" w:hAnsi="Arial"/>
        <w:color w:val="000000"/>
        <w:sz w:val="22"/>
        <w:szCs w:val="22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uppressAutoHyphens w:val="1"/>
      <w:spacing w:after="120" w:before="480"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uppressAutoHyphens w:val="1"/>
      <w:spacing w:after="80" w:before="360" w:line="1" w:lineRule="atLeast"/>
      <w:ind w:leftChars="-1" w:rightChars="0" w:firstLineChars="-1"/>
      <w:textDirection w:val="btLr"/>
      <w:textAlignment w:val="top"/>
      <w:outlineLvl w:val="1"/>
    </w:pPr>
    <w:rPr>
      <w:color w:val="000000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1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uppressAutoHyphens w:val="1"/>
      <w:spacing w:after="80" w:before="280" w:line="1" w:lineRule="atLeast"/>
      <w:ind w:leftChars="-1" w:rightChars="0" w:firstLineChars="-1"/>
      <w:textDirection w:val="btLr"/>
      <w:textAlignment w:val="top"/>
      <w:outlineLvl w:val="2"/>
    </w:pPr>
    <w:rPr>
      <w:color w:val="000000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1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uppressAutoHyphens w:val="1"/>
      <w:spacing w:after="40" w:before="240" w:line="1" w:lineRule="atLeast"/>
      <w:ind w:leftChars="-1" w:rightChars="0" w:firstLineChars="-1"/>
      <w:textDirection w:val="btLr"/>
      <w:textAlignment w:val="top"/>
      <w:outlineLvl w:val="3"/>
    </w:pPr>
    <w:rPr>
      <w:b w:val="1"/>
      <w:color w:val="000000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1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uppressAutoHyphens w:val="1"/>
      <w:spacing w:after="40" w:before="220" w:line="1" w:lineRule="atLeast"/>
      <w:ind w:leftChars="-1" w:rightChars="0" w:firstLineChars="-1"/>
      <w:textDirection w:val="btLr"/>
      <w:textAlignment w:val="top"/>
      <w:outlineLvl w:val="4"/>
    </w:pPr>
    <w:rPr>
      <w:color w:val="000000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1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uppressAutoHyphens w:val="1"/>
      <w:spacing w:after="40" w:before="200" w:line="1" w:lineRule="atLeast"/>
      <w:ind w:leftChars="-1" w:rightChars="0" w:firstLineChars="-1"/>
      <w:textDirection w:val="btLr"/>
      <w:textAlignment w:val="top"/>
      <w:outlineLvl w:val="5"/>
    </w:pPr>
    <w:rPr>
      <w:color w:val="000000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Normal0">
    <w:name w:val="Table Normal"/>
    <w:next w:val="TableNormal0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TableNormal0"/>
      <w:jc w:val="left"/>
    </w:tblPr>
  </w:style>
  <w:style w:type="paragraph" w:styleId="Título">
    <w:name w:val="Título"/>
    <w:basedOn w:val="Normal"/>
    <w:next w:val="Normal"/>
    <w:autoRedefine w:val="0"/>
    <w:hidden w:val="0"/>
    <w:qFormat w:val="0"/>
    <w:pPr>
      <w:keepNext w:val="1"/>
      <w:keepLines w:val="1"/>
      <w:widowControl w:val="0"/>
      <w:suppressAutoHyphens w:val="1"/>
      <w:spacing w:after="120" w:before="48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pt-BR" w:val="pt-BR"/>
    </w:rPr>
  </w:style>
  <w:style w:type="table" w:styleId="TableNormal">
    <w:name w:val="Table Normal"/>
    <w:next w:val="TableNormal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TableNormal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ítulo">
    <w:name w:val="Subtítulo"/>
    <w:basedOn w:val="Normal"/>
    <w:next w:val="Normal"/>
    <w:autoRedefine w:val="0"/>
    <w:hidden w:val="0"/>
    <w:qFormat w:val="0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uppressAutoHyphens w:val="1"/>
      <w:spacing w:after="80" w:before="360"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table" w:styleId="1">
    <w:name w:val=""/>
    <w:basedOn w:val="TableNormal"/>
    <w:next w:val="1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1"/>
      <w:tblStyleRowBandSize w:val="1"/>
      <w:tblStyleColBandSize w:val="1"/>
      <w:jc w:val="left"/>
      <w:tblCellMar>
        <w:left w:w="103.0" w:type="dxa"/>
        <w:right w:w="108.0" w:type="dxa"/>
      </w:tblCellMar>
    </w:tblPr>
  </w:style>
  <w:style w:type="table" w:styleId="2">
    <w:name w:val=""/>
    <w:basedOn w:val="TableNormal"/>
    <w:next w:val="2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2"/>
      <w:tblStyleRowBandSize w:val="1"/>
      <w:tblStyleColBandSize w:val="1"/>
      <w:jc w:val="left"/>
      <w:tblCellMar>
        <w:left w:w="108.0" w:type="dxa"/>
        <w:right w:w="108.0" w:type="dxa"/>
      </w:tblCellMar>
    </w:tblPr>
  </w:style>
  <w:style w:type="table" w:styleId="3">
    <w:name w:val=""/>
    <w:basedOn w:val="TableNormal"/>
    <w:next w:val="3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3"/>
      <w:tblStyleRowBandSize w:val="1"/>
      <w:tblStyleColBandSize w:val="1"/>
      <w:jc w:val="left"/>
      <w:tblCellMar>
        <w:left w:w="103.0" w:type="dxa"/>
        <w:right w:w="108.0" w:type="dxa"/>
      </w:tblCellMar>
    </w:tblPr>
  </w:style>
  <w:style w:type="table" w:styleId="4">
    <w:name w:val=""/>
    <w:basedOn w:val="TableNormal"/>
    <w:next w:val="4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4"/>
      <w:tblStyleRowBandSize w:val="1"/>
      <w:tblStyleColBandSize w:val="1"/>
      <w:jc w:val="left"/>
      <w:tblCellMar>
        <w:left w:w="103.0" w:type="dxa"/>
        <w:right w:w="108.0" w:type="dxa"/>
      </w:tblCellMar>
    </w:tblPr>
  </w:style>
  <w:style w:type="table" w:styleId="5">
    <w:name w:val=""/>
    <w:basedOn w:val="TableNormal"/>
    <w:next w:val="5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5"/>
      <w:tblStyleRowBandSize w:val="1"/>
      <w:tblStyleColBandSize w:val="1"/>
      <w:jc w:val="left"/>
      <w:tblCellMar>
        <w:left w:w="103.0" w:type="dxa"/>
        <w:right w:w="108.0" w:type="dxa"/>
      </w:tblCellMar>
    </w:tblPr>
  </w:style>
  <w:style w:type="table" w:styleId="6">
    <w:name w:val=""/>
    <w:basedOn w:val="TableNormal"/>
    <w:next w:val="6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6"/>
      <w:tblStyleRowBandSize w:val="1"/>
      <w:tblStyleColBandSize w:val="1"/>
      <w:jc w:val="left"/>
      <w:tblCellMar>
        <w:left w:w="103.0" w:type="dxa"/>
        <w:right w:w="108.0" w:type="dxa"/>
      </w:tblCellMar>
    </w:tblPr>
  </w:style>
  <w:style w:type="table" w:styleId="7">
    <w:name w:val=""/>
    <w:basedOn w:val="TableNormal"/>
    <w:next w:val="7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7"/>
      <w:tblStyleRowBandSize w:val="1"/>
      <w:tblStyleColBandSize w:val="1"/>
      <w:jc w:val="left"/>
      <w:tblCellMar>
        <w:left w:w="108.0" w:type="dxa"/>
        <w:right w:w="108.0" w:type="dxa"/>
      </w:tblCellMar>
    </w:tblPr>
  </w:style>
  <w:style w:type="table" w:styleId="8">
    <w:name w:val=""/>
    <w:basedOn w:val="TableNormal"/>
    <w:next w:val="8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8"/>
      <w:tblStyleRowBandSize w:val="1"/>
      <w:tblStyleColBandSize w:val="1"/>
      <w:jc w:val="left"/>
      <w:tblCellMar>
        <w:left w:w="108.0" w:type="dxa"/>
        <w:right w:w="108.0" w:type="dxa"/>
      </w:tblCellMar>
    </w:tblPr>
  </w:style>
  <w:style w:type="table" w:styleId="9">
    <w:name w:val=""/>
    <w:basedOn w:val="TableNormal"/>
    <w:next w:val="9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9"/>
      <w:tblStyleRowBandSize w:val="1"/>
      <w:tblStyleColBandSize w:val="1"/>
      <w:jc w:val="left"/>
      <w:tblCellMar>
        <w:left w:w="103.0" w:type="dxa"/>
        <w:right w:w="108.0" w:type="dxa"/>
      </w:tblCellMar>
    </w:tblPr>
  </w:style>
  <w:style w:type="table" w:styleId="10">
    <w:name w:val=""/>
    <w:basedOn w:val="TableNormal"/>
    <w:next w:val="10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10"/>
      <w:tblStyleRowBandSize w:val="1"/>
      <w:tblStyleColBandSize w:val="1"/>
      <w:jc w:val="left"/>
      <w:tblCellMar>
        <w:left w:w="103.0" w:type="dxa"/>
        <w:right w:w="108.0" w:type="dxa"/>
      </w:tblCellMar>
    </w:tblPr>
  </w:style>
  <w:style w:type="table" w:styleId="11">
    <w:name w:val=""/>
    <w:basedOn w:val="TableNormal"/>
    <w:next w:val="11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11"/>
      <w:tblStyleRowBandSize w:val="1"/>
      <w:tblStyleColBandSize w:val="1"/>
      <w:jc w:val="left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12">
    <w:name w:val=""/>
    <w:basedOn w:val="TableNormal"/>
    <w:next w:val="12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12"/>
      <w:tblStyleRowBandSize w:val="1"/>
      <w:tblStyleColBandSize w:val="1"/>
      <w:jc w:val="left"/>
      <w:tblCellMar>
        <w:left w:w="95.0" w:type="dxa"/>
        <w:right w:w="100.0" w:type="dxa"/>
      </w:tblCellMar>
    </w:tblPr>
  </w:style>
  <w:style w:type="table" w:styleId="13">
    <w:name w:val=""/>
    <w:basedOn w:val="TableNormal"/>
    <w:next w:val="13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13"/>
      <w:tblStyleRowBandSize w:val="1"/>
      <w:tblStyleColBandSize w:val="1"/>
      <w:jc w:val="left"/>
      <w:tblCellMar>
        <w:left w:w="103.0" w:type="dxa"/>
        <w:right w:w="108.0" w:type="dxa"/>
      </w:tblCellMar>
    </w:tblPr>
  </w:style>
  <w:style w:type="table" w:styleId="14">
    <w:name w:val=""/>
    <w:basedOn w:val="TableNormal"/>
    <w:next w:val="14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14"/>
      <w:tblStyleRowBandSize w:val="1"/>
      <w:tblStyleColBandSize w:val="1"/>
      <w:jc w:val="left"/>
      <w:tblCellMar>
        <w:left w:w="103.0" w:type="dxa"/>
        <w:right w:w="108.0" w:type="dxa"/>
      </w:tblCellMar>
    </w:tblPr>
  </w:style>
  <w:style w:type="table" w:styleId="15">
    <w:name w:val=""/>
    <w:basedOn w:val="TableNormal"/>
    <w:next w:val="15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15"/>
      <w:tblStyleRowBandSize w:val="1"/>
      <w:tblStyleColBandSize w:val="1"/>
      <w:jc w:val="left"/>
      <w:tblCellMar>
        <w:left w:w="108.0" w:type="dxa"/>
        <w:right w:w="108.0" w:type="dxa"/>
      </w:tblCellMar>
    </w:tblPr>
  </w:style>
  <w:style w:type="table" w:styleId="16">
    <w:name w:val=""/>
    <w:basedOn w:val="TableNormal"/>
    <w:next w:val="16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16"/>
      <w:tblStyleRowBandSize w:val="1"/>
      <w:tblStyleColBandSize w:val="1"/>
      <w:jc w:val="left"/>
      <w:tblCellMar>
        <w:left w:w="103.0" w:type="dxa"/>
        <w:right w:w="108.0" w:type="dxa"/>
      </w:tblCellMar>
    </w:tblPr>
  </w:style>
  <w:style w:type="table" w:styleId="17">
    <w:name w:val=""/>
    <w:basedOn w:val="TableNormal"/>
    <w:next w:val="17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17"/>
      <w:tblStyleRowBandSize w:val="1"/>
      <w:tblStyleColBandSize w:val="1"/>
      <w:jc w:val="left"/>
      <w:tblCellMar>
        <w:left w:w="103.0" w:type="dxa"/>
        <w:right w:w="108.0" w:type="dxa"/>
      </w:tblCellMar>
    </w:tblPr>
  </w:style>
  <w:style w:type="table" w:styleId="18">
    <w:name w:val=""/>
    <w:basedOn w:val="TableNormal"/>
    <w:next w:val="18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18"/>
      <w:tblStyleRowBandSize w:val="1"/>
      <w:tblStyleColBandSize w:val="1"/>
      <w:jc w:val="left"/>
      <w:tblCellMar>
        <w:left w:w="-10.0" w:type="dxa"/>
      </w:tblCellMar>
    </w:tblPr>
  </w:style>
  <w:style w:type="table" w:styleId="19">
    <w:name w:val=""/>
    <w:basedOn w:val="TableNormal"/>
    <w:next w:val="19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19"/>
      <w:tblStyleRowBandSize w:val="1"/>
      <w:tblStyleColBandSize w:val="1"/>
      <w:jc w:val="left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20">
    <w:name w:val=""/>
    <w:basedOn w:val="TableNormal"/>
    <w:next w:val="20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20"/>
      <w:tblStyleRowBandSize w:val="1"/>
      <w:tblStyleColBandSize w:val="1"/>
      <w:jc w:val="left"/>
      <w:tblCellMar>
        <w:top w:w="100.0" w:type="dxa"/>
        <w:left w:w="70.0" w:type="dxa"/>
        <w:bottom w:w="100.0" w:type="dxa"/>
        <w:right w:w="80.0" w:type="dxa"/>
      </w:tblCellMar>
    </w:tblPr>
  </w:style>
  <w:style w:type="table" w:styleId="21">
    <w:name w:val=""/>
    <w:basedOn w:val="TableNormal"/>
    <w:next w:val="21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21"/>
      <w:tblStyleRowBandSize w:val="1"/>
      <w:tblStyleColBandSize w:val="1"/>
      <w:jc w:val="left"/>
      <w:tblCellMar>
        <w:left w:w="103.0" w:type="dxa"/>
        <w:right w:w="108.0" w:type="dxa"/>
      </w:tblCellMar>
    </w:tblPr>
  </w:style>
  <w:style w:type="table" w:styleId="22">
    <w:name w:val=""/>
    <w:basedOn w:val="TableNormal"/>
    <w:next w:val="22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22"/>
      <w:tblStyleRowBandSize w:val="1"/>
      <w:tblStyleColBandSize w:val="1"/>
      <w:jc w:val="left"/>
      <w:tblCellMar>
        <w:left w:w="103.0" w:type="dxa"/>
        <w:right w:w="108.0" w:type="dxa"/>
      </w:tblCellMar>
    </w:tblPr>
  </w:style>
  <w:style w:type="table" w:styleId="23">
    <w:name w:val=""/>
    <w:basedOn w:val="TableNormal"/>
    <w:next w:val="23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23"/>
      <w:tblStyleRowBandSize w:val="1"/>
      <w:tblStyleColBandSize w:val="1"/>
      <w:jc w:val="left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24">
    <w:name w:val=""/>
    <w:basedOn w:val="TableNormal"/>
    <w:next w:val="24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24"/>
      <w:tblStyleRowBandSize w:val="1"/>
      <w:tblStyleColBandSize w:val="1"/>
      <w:jc w:val="left"/>
      <w:tblCellMar>
        <w:left w:w="98.0" w:type="dxa"/>
        <w:right w:w="108.0" w:type="dxa"/>
      </w:tblCellMar>
    </w:tblPr>
  </w:style>
  <w:style w:type="table" w:styleId="25">
    <w:name w:val=""/>
    <w:basedOn w:val="TableNormal"/>
    <w:next w:val="25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25"/>
      <w:tblStyleRowBandSize w:val="1"/>
      <w:tblStyleColBandSize w:val="1"/>
      <w:jc w:val="left"/>
      <w:tblCellMar>
        <w:left w:w="-10.0" w:type="dxa"/>
      </w:tblCellMar>
    </w:tblPr>
  </w:style>
  <w:style w:type="paragraph" w:styleId="Textodecomentário">
    <w:name w:val="Texto de comentário"/>
    <w:basedOn w:val="Normal"/>
    <w:next w:val="Textodecomentário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TextodecomentárioChar">
    <w:name w:val="Texto de comentário Char"/>
    <w:basedOn w:val="Fonteparág.padrão"/>
    <w:next w:val="Textodecomentári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table" w:styleId="26">
    <w:name w:val=""/>
    <w:basedOn w:val="TableNormal"/>
    <w:next w:val="26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26"/>
      <w:tblStyleRowBandSize w:val="1"/>
      <w:tblStyleColBandSize w:val="1"/>
      <w:jc w:val="left"/>
      <w:tblCellMar>
        <w:top w:w="100.0" w:type="dxa"/>
        <w:left w:w="-10.0" w:type="dxa"/>
        <w:bottom w:w="100.0" w:type="dxa"/>
        <w:right w:w="108.0" w:type="dxa"/>
      </w:tblCellMar>
    </w:tblPr>
  </w:style>
  <w:style w:type="table" w:styleId="27">
    <w:name w:val=""/>
    <w:basedOn w:val="TableNormal"/>
    <w:next w:val="27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27"/>
      <w:tblStyleRowBandSize w:val="1"/>
      <w:tblStyleColBandSize w:val="1"/>
      <w:jc w:val="left"/>
      <w:tblCellMar>
        <w:top w:w="100.0" w:type="dxa"/>
        <w:left w:w="-10.0" w:type="dxa"/>
        <w:bottom w:w="100.0" w:type="dxa"/>
        <w:right w:w="108.0" w:type="dxa"/>
      </w:tblCellMar>
    </w:tblPr>
  </w:style>
  <w:style w:type="table" w:styleId="28">
    <w:name w:val=""/>
    <w:basedOn w:val="TableNormal"/>
    <w:next w:val="28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28"/>
      <w:tblStyleRowBandSize w:val="1"/>
      <w:tblStyleColBandSize w:val="1"/>
      <w:jc w:val="left"/>
      <w:tblCellMar>
        <w:top w:w="100.0" w:type="dxa"/>
        <w:left w:w="-10.0" w:type="dxa"/>
        <w:bottom w:w="100.0" w:type="dxa"/>
        <w:right w:w="108.0" w:type="dxa"/>
      </w:tblCellMar>
    </w:tblPr>
  </w:style>
  <w:style w:type="table" w:styleId="29">
    <w:name w:val=""/>
    <w:basedOn w:val="TableNormal"/>
    <w:next w:val="29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29"/>
      <w:tblStyleRowBandSize w:val="1"/>
      <w:tblStyleColBandSize w:val="1"/>
      <w:jc w:val="left"/>
      <w:tblCellMar>
        <w:top w:w="100.0" w:type="dxa"/>
        <w:left w:w="-10.0" w:type="dxa"/>
        <w:bottom w:w="100.0" w:type="dxa"/>
        <w:right w:w="108.0" w:type="dxa"/>
      </w:tblCellMar>
    </w:tblPr>
  </w:style>
  <w:style w:type="table" w:styleId="30">
    <w:name w:val=""/>
    <w:basedOn w:val="TableNormal"/>
    <w:next w:val="30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30"/>
      <w:tblStyleRowBandSize w:val="1"/>
      <w:tblStyleColBandSize w:val="1"/>
      <w:jc w:val="left"/>
      <w:tblCellMar>
        <w:top w:w="100.0" w:type="dxa"/>
        <w:left w:w="-10.0" w:type="dxa"/>
        <w:bottom w:w="100.0" w:type="dxa"/>
        <w:right w:w="108.0" w:type="dxa"/>
      </w:tblCellMar>
    </w:tblPr>
  </w:style>
  <w:style w:type="table" w:styleId="31">
    <w:name w:val=""/>
    <w:basedOn w:val="TableNormal"/>
    <w:next w:val="31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31"/>
      <w:tblStyleRowBandSize w:val="1"/>
      <w:tblStyleColBandSize w:val="1"/>
      <w:jc w:val="left"/>
      <w:tblCellMar>
        <w:top w:w="100.0" w:type="dxa"/>
        <w:left w:w="-10.0" w:type="dxa"/>
        <w:bottom w:w="100.0" w:type="dxa"/>
        <w:right w:w="108.0" w:type="dxa"/>
      </w:tblCellMar>
    </w:tblPr>
  </w:style>
  <w:style w:type="table" w:styleId="32">
    <w:name w:val=""/>
    <w:basedOn w:val="TableNormal"/>
    <w:next w:val="32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32"/>
      <w:tblStyleRowBandSize w:val="1"/>
      <w:tblStyleColBandSize w:val="1"/>
      <w:jc w:val="left"/>
      <w:tblCellMar>
        <w:top w:w="100.0" w:type="dxa"/>
        <w:left w:w="-10.0" w:type="dxa"/>
        <w:bottom w:w="100.0" w:type="dxa"/>
        <w:right w:w="108.0" w:type="dxa"/>
      </w:tblCellMar>
    </w:tblPr>
  </w:style>
  <w:style w:type="table" w:styleId="33">
    <w:name w:val=""/>
    <w:basedOn w:val="TableNormal"/>
    <w:next w:val="33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33"/>
      <w:tblStyleRowBandSize w:val="1"/>
      <w:tblStyleColBandSize w:val="1"/>
      <w:jc w:val="left"/>
      <w:tblCellMar>
        <w:top w:w="100.0" w:type="dxa"/>
        <w:left w:w="-10.0" w:type="dxa"/>
        <w:bottom w:w="100.0" w:type="dxa"/>
        <w:right w:w="108.0" w:type="dxa"/>
      </w:tblCellMar>
    </w:tblPr>
  </w:style>
  <w:style w:type="table" w:styleId="34">
    <w:name w:val=""/>
    <w:basedOn w:val="TableNormal"/>
    <w:next w:val="34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34"/>
      <w:tblStyleRowBandSize w:val="1"/>
      <w:tblStyleColBandSize w:val="1"/>
      <w:jc w:val="left"/>
      <w:tblCellMar>
        <w:top w:w="100.0" w:type="dxa"/>
        <w:left w:w="-10.0" w:type="dxa"/>
        <w:bottom w:w="100.0" w:type="dxa"/>
        <w:right w:w="108.0" w:type="dxa"/>
      </w:tblCellMar>
    </w:tblPr>
  </w:style>
  <w:style w:type="table" w:styleId="35">
    <w:name w:val=""/>
    <w:basedOn w:val="TableNormal"/>
    <w:next w:val="35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35"/>
      <w:tblStyleRowBandSize w:val="1"/>
      <w:tblStyleColBandSize w:val="1"/>
      <w:jc w:val="left"/>
      <w:tblCellMar>
        <w:top w:w="100.0" w:type="dxa"/>
        <w:left w:w="-10.0" w:type="dxa"/>
        <w:bottom w:w="100.0" w:type="dxa"/>
        <w:right w:w="108.0" w:type="dxa"/>
      </w:tblCellMar>
    </w:tblPr>
  </w:style>
  <w:style w:type="table" w:styleId="36">
    <w:name w:val=""/>
    <w:basedOn w:val="TableNormal"/>
    <w:next w:val="36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36"/>
      <w:tblStyleRowBandSize w:val="1"/>
      <w:tblStyleColBandSize w:val="1"/>
      <w:jc w:val="left"/>
      <w:tblCellMar>
        <w:top w:w="100.0" w:type="dxa"/>
        <w:left w:w="-10.0" w:type="dxa"/>
        <w:bottom w:w="100.0" w:type="dxa"/>
        <w:right w:w="108.0" w:type="dxa"/>
      </w:tblCellMar>
    </w:tblPr>
  </w:style>
  <w:style w:type="table" w:styleId="37">
    <w:name w:val=""/>
    <w:basedOn w:val="TableNormal"/>
    <w:next w:val="37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37"/>
      <w:tblStyleRowBandSize w:val="1"/>
      <w:tblStyleColBandSize w:val="1"/>
      <w:jc w:val="left"/>
      <w:tblCellMar>
        <w:top w:w="100.0" w:type="dxa"/>
        <w:left w:w="-10.0" w:type="dxa"/>
        <w:bottom w:w="100.0" w:type="dxa"/>
        <w:right w:w="108.0" w:type="dxa"/>
      </w:tblCellMar>
    </w:tblPr>
  </w:style>
  <w:style w:type="table" w:styleId="38">
    <w:name w:val=""/>
    <w:basedOn w:val="TableNormal"/>
    <w:next w:val="38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38"/>
      <w:tblStyleRowBandSize w:val="1"/>
      <w:tblStyleColBandSize w:val="1"/>
      <w:jc w:val="left"/>
      <w:tblCellMar>
        <w:top w:w="100.0" w:type="dxa"/>
        <w:left w:w="-10.0" w:type="dxa"/>
        <w:bottom w:w="100.0" w:type="dxa"/>
        <w:right w:w="108.0" w:type="dxa"/>
      </w:tblCellMar>
    </w:tblPr>
  </w:style>
  <w:style w:type="table" w:styleId="39">
    <w:name w:val=""/>
    <w:basedOn w:val="TableNormal"/>
    <w:next w:val="39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39"/>
      <w:tblStyleRowBandSize w:val="1"/>
      <w:tblStyleColBandSize w:val="1"/>
      <w:jc w:val="left"/>
      <w:tblCellMar>
        <w:top w:w="100.0" w:type="dxa"/>
        <w:left w:w="-10.0" w:type="dxa"/>
        <w:bottom w:w="100.0" w:type="dxa"/>
        <w:right w:w="108.0" w:type="dxa"/>
      </w:tblCellMar>
    </w:tblPr>
  </w:style>
  <w:style w:type="table" w:styleId="40">
    <w:name w:val=""/>
    <w:basedOn w:val="TableNormal"/>
    <w:next w:val="40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40"/>
      <w:tblStyleRowBandSize w:val="1"/>
      <w:tblStyleColBandSize w:val="1"/>
      <w:jc w:val="left"/>
      <w:tblCellMar>
        <w:top w:w="100.0" w:type="dxa"/>
        <w:left w:w="-10.0" w:type="dxa"/>
        <w:bottom w:w="100.0" w:type="dxa"/>
        <w:right w:w="108.0" w:type="dxa"/>
      </w:tblCellMar>
    </w:tblPr>
  </w:style>
  <w:style w:type="table" w:styleId="41">
    <w:name w:val=""/>
    <w:basedOn w:val="TableNormal"/>
    <w:next w:val="41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41"/>
      <w:tblStyleRowBandSize w:val="1"/>
      <w:tblStyleColBandSize w:val="1"/>
      <w:jc w:val="left"/>
      <w:tblCellMar>
        <w:top w:w="100.0" w:type="dxa"/>
        <w:left w:w="-10.0" w:type="dxa"/>
        <w:bottom w:w="100.0" w:type="dxa"/>
        <w:right w:w="108.0" w:type="dxa"/>
      </w:tblCellMar>
    </w:tblPr>
  </w:style>
  <w:style w:type="table" w:styleId="42">
    <w:name w:val=""/>
    <w:basedOn w:val="TableNormal"/>
    <w:next w:val="42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42"/>
      <w:tblStyleRowBandSize w:val="1"/>
      <w:tblStyleColBandSize w:val="1"/>
      <w:jc w:val="left"/>
      <w:tblCellMar>
        <w:top w:w="100.0" w:type="dxa"/>
        <w:left w:w="-10.0" w:type="dxa"/>
        <w:bottom w:w="100.0" w:type="dxa"/>
        <w:right w:w="108.0" w:type="dxa"/>
      </w:tblCellMar>
    </w:tblPr>
  </w:style>
  <w:style w:type="table" w:styleId="43">
    <w:name w:val=""/>
    <w:basedOn w:val="TableNormal"/>
    <w:next w:val="43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43"/>
      <w:tblStyleRowBandSize w:val="1"/>
      <w:tblStyleColBandSize w:val="1"/>
      <w:jc w:val="left"/>
      <w:tblCellMar>
        <w:top w:w="100.0" w:type="dxa"/>
        <w:left w:w="-10.0" w:type="dxa"/>
        <w:bottom w:w="100.0" w:type="dxa"/>
        <w:right w:w="108.0" w:type="dxa"/>
      </w:tblCellMar>
    </w:tblPr>
  </w:style>
  <w:style w:type="table" w:styleId="44">
    <w:name w:val=""/>
    <w:basedOn w:val="TableNormal"/>
    <w:next w:val="44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44"/>
      <w:tblStyleRowBandSize w:val="1"/>
      <w:tblStyleColBandSize w:val="1"/>
      <w:jc w:val="left"/>
      <w:tblCellMar>
        <w:top w:w="100.0" w:type="dxa"/>
        <w:left w:w="-10.0" w:type="dxa"/>
        <w:bottom w:w="100.0" w:type="dxa"/>
        <w:right w:w="108.0" w:type="dxa"/>
      </w:tblCellMar>
    </w:tblPr>
  </w:style>
  <w:style w:type="table" w:styleId="45">
    <w:name w:val=""/>
    <w:basedOn w:val="TableNormal"/>
    <w:next w:val="45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45"/>
      <w:tblStyleRowBandSize w:val="1"/>
      <w:tblStyleColBandSize w:val="1"/>
      <w:jc w:val="left"/>
      <w:tblCellMar>
        <w:top w:w="100.0" w:type="dxa"/>
        <w:left w:w="-10.0" w:type="dxa"/>
        <w:bottom w:w="100.0" w:type="dxa"/>
        <w:right w:w="108.0" w:type="dxa"/>
      </w:tblCellMar>
    </w:tblPr>
  </w:style>
  <w:style w:type="table" w:styleId="46">
    <w:name w:val=""/>
    <w:basedOn w:val="TableNormal"/>
    <w:next w:val="46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46"/>
      <w:tblStyleRowBandSize w:val="1"/>
      <w:tblStyleColBandSize w:val="1"/>
      <w:jc w:val="left"/>
      <w:tblCellMar>
        <w:top w:w="100.0" w:type="dxa"/>
        <w:left w:w="-10.0" w:type="dxa"/>
        <w:bottom w:w="100.0" w:type="dxa"/>
        <w:right w:w="108.0" w:type="dxa"/>
      </w:tblCellMar>
    </w:tblPr>
  </w:style>
  <w:style w:type="table" w:styleId="47">
    <w:name w:val=""/>
    <w:basedOn w:val="TableNormal"/>
    <w:next w:val="47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47"/>
      <w:tblStyleRowBandSize w:val="1"/>
      <w:tblStyleColBandSize w:val="1"/>
      <w:jc w:val="left"/>
      <w:tblCellMar>
        <w:top w:w="100.0" w:type="dxa"/>
        <w:left w:w="-10.0" w:type="dxa"/>
        <w:bottom w:w="100.0" w:type="dxa"/>
        <w:right w:w="108.0" w:type="dxa"/>
      </w:tblCellMar>
    </w:tblPr>
  </w:style>
  <w:style w:type="table" w:styleId="48">
    <w:name w:val=""/>
    <w:basedOn w:val="TableNormal"/>
    <w:next w:val="48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48"/>
      <w:tblStyleRowBandSize w:val="1"/>
      <w:tblStyleColBandSize w:val="1"/>
      <w:jc w:val="left"/>
      <w:tblCellMar>
        <w:top w:w="100.0" w:type="dxa"/>
        <w:left w:w="-10.0" w:type="dxa"/>
        <w:bottom w:w="100.0" w:type="dxa"/>
        <w:right w:w="108.0" w:type="dxa"/>
      </w:tblCellMar>
    </w:tblPr>
  </w:style>
  <w:style w:type="table" w:styleId="49">
    <w:name w:val=""/>
    <w:basedOn w:val="TableNormal"/>
    <w:next w:val="49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49"/>
      <w:tblStyleRowBandSize w:val="1"/>
      <w:tblStyleColBandSize w:val="1"/>
      <w:jc w:val="left"/>
      <w:tblCellMar>
        <w:top w:w="100.0" w:type="dxa"/>
        <w:left w:w="-10.0" w:type="dxa"/>
        <w:bottom w:w="100.0" w:type="dxa"/>
        <w:right w:w="108.0" w:type="dxa"/>
      </w:tblCellMar>
    </w:tblPr>
  </w:style>
  <w:style w:type="table" w:styleId="">
    <w:name w:val=""/>
    <w:basedOn w:val="TableNormal"/>
    <w:next w:val="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"/>
      <w:tblStyleRowBandSize w:val="1"/>
      <w:tblStyleColBandSize w:val="1"/>
      <w:jc w:val="left"/>
      <w:tblCellMar>
        <w:top w:w="100.0" w:type="dxa"/>
        <w:left w:w="-10.0" w:type="dxa"/>
        <w:bottom w:w="100.0" w:type="dxa"/>
        <w:right w:w="108.0" w:type="dxa"/>
      </w:tblCellMar>
    </w:tbl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0"/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-10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-10.0" w:type="dxa"/>
        <w:bottom w:w="10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-10.0" w:type="dxa"/>
        <w:bottom w:w="10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-10.0" w:type="dxa"/>
        <w:bottom w:w="10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-10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frs.edu.br/site/midias/arquivos/2017228113611374anexo_vi.doc" TargetMode="External"/><Relationship Id="rId8" Type="http://schemas.openxmlformats.org/officeDocument/2006/relationships/header" Target="header3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C9LhphAR2X4FHkf2dsA2JRyWqw==">CgMxLjA4AHIhMTN1YmNzb1FGMWxPTVZReGtLM0JLdG82dUxLX3JBNkg5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2022-04-14T19:46:00Z</dcterms:created>
  <dc:creator>Marcelo Vianna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