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16" w:line="233" w:lineRule="auto"/>
        <w:ind w:left="4075" w:firstLine="0"/>
        <w:rPr>
          <w:rFonts w:ascii="PSSJWC+CIDFont+F2" w:cs="PSSJWC+CIDFont+F2" w:eastAsia="PSSJWC+CIDFont+F2" w:hAnsi="PSSJWC+CIDFont+F2"/>
          <w:b w:val="1"/>
          <w:color w:val="000000"/>
          <w:sz w:val="20"/>
          <w:szCs w:val="20"/>
        </w:rPr>
      </w:pPr>
      <w:r w:rsidDel="00000000" w:rsidR="00000000" w:rsidRPr="00000000">
        <w:rPr>
          <w:rFonts w:ascii="PSSJWC+CIDFont+F2" w:cs="PSSJWC+CIDFont+F2" w:eastAsia="PSSJWC+CIDFont+F2" w:hAnsi="PSSJWC+CIDFont+F2"/>
          <w:b w:val="1"/>
          <w:color w:val="000000"/>
          <w:sz w:val="20"/>
          <w:szCs w:val="20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before="590" w:line="230" w:lineRule="auto"/>
        <w:ind w:left="425.19685039370086" w:firstLine="0"/>
        <w:jc w:val="center"/>
        <w:rPr>
          <w:rFonts w:ascii="PSSJWC+CIDFont+F2" w:cs="PSSJWC+CIDFont+F2" w:eastAsia="PSSJWC+CIDFont+F2" w:hAnsi="PSSJWC+CIDFont+F2"/>
          <w:color w:val="000000"/>
          <w:sz w:val="20"/>
          <w:szCs w:val="20"/>
        </w:rPr>
      </w:pPr>
      <w:r w:rsidDel="00000000" w:rsidR="00000000" w:rsidRPr="00000000">
        <w:rPr>
          <w:rFonts w:ascii="PSSJWC+CIDFont+F2" w:cs="PSSJWC+CIDFont+F2" w:eastAsia="PSSJWC+CIDFont+F2" w:hAnsi="PSSJWC+CIDFont+F2"/>
          <w:sz w:val="20"/>
          <w:szCs w:val="20"/>
          <w:rtl w:val="0"/>
        </w:rPr>
        <w:t xml:space="preserve">TERMO DE CONCILIAÇÃO JUDICIAL FIRMADO ENTRE O MINISTÉRIO PÚBLICO DO TRABALHO E A UNIÃO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326" w:line="264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O MINISTÉRIO PÚBLICO DO TRABALHO, neste ato representado pelo Procurador Geral do Trabalho, Dr. Guilherme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Mastrichi </w:t>
      </w: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Basso, pela Vice-Procuradora-Geral do Trabalho, Dra. Guiomar</w:t>
        <w:br w:type="textWrapping"/>
        <w:t xml:space="preserve">Rechia Gomes, pelo Procurador-Chefe da PRT da 10ª Região, Dr. Brasilino Santos Ramos e pelo</w:t>
        <w:br w:type="textWrapping"/>
        <w:t xml:space="preserve">Procurador do Trabalho Dr. Fábio Leal Cardoso, e a UNIÃO, neste ato representada pelo Procurador-Geral da União, Dr. Moacir Antonio da Silva Machado, pela Sub Procuradora Regional da União - 1ª Região, Dra. Helia Maria de Oliveira Bettero e pelo Advogado da União, Dr. Mário Luiz Guerreiro;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360" w:line="264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CONSIDERANDO que toda relação jurídica de trabalho cuja prestação laboral não eventual seja ofertada pessoalmente pelo obreiro, em estado de subordinação e mediante contraprestação pecuniária, será regida obrigatoriamente pela Consolidação das Leis do Trabalho ou por estatuto próprio, quando se tratar de relação de trabalho de natureza estatutária, com a Administração Pública;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360" w:line="264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CONSIDERANDO que a legislação consolidada em seu art. 9º, comina de nulidade absoluta todos os atos praticados com o intuito de desvirtuar, impedir ou fraudar a aplicação da lei trabalhista;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360" w:line="264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CONSIDERANDO que as sociedades cooperativas, segundo a Lei n. 5.764, de 16.12.1971, art. 4º, “(...) são sociedades de pessoas, com forma e natureza jurídica próprias, de natureza civil, não sujeitas à falência, constituídas para prestar serviços aos associados”. CONSIDERANDO que as cooperativas podem prestar serviços a não associados somente em caráter excepcional e</w:t>
        <w:br w:type="textWrapping"/>
        <w:t xml:space="preserve">desde que tal faculdade atenda aos objetivos sociais previstos na sua norma estatutária, (art. 86, da Lei n. 5.764, de 16.12.1971), aspecto legal que revela a patente impossibilidade jurídica das cooperativas funcionarem como agências de locação de mão-de-obra terceirizada;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360" w:line="264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CONSIDERANDO que a administração pública está inexoravelmente jungida ao princípio da legalidade, e que a prática do </w:t>
      </w:r>
      <w:r w:rsidDel="00000000" w:rsidR="00000000" w:rsidRPr="00000000">
        <w:rPr>
          <w:rFonts w:ascii="BEFCPM+CIDFont+F3" w:cs="BEFCPM+CIDFont+F3" w:eastAsia="BEFCPM+CIDFont+F3" w:hAnsi="BEFCPM+CIDFont+F3"/>
          <w:sz w:val="20"/>
          <w:szCs w:val="20"/>
          <w:rtl w:val="0"/>
        </w:rPr>
        <w:t xml:space="preserve">merchandage </w:t>
      </w: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é vedada pelo art. 3º, da CLT e repelida pela jurisprudência sumulada do C. TST (En. 331);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360" w:line="264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CONSIDERANDO que os trabalhadores aliciados por cooperativas de mão-de-obra, que prestam serviços de natureza subordinada à UNIÃO embora laborem em situação fática idêntica a dos empregados das empresas prestadoras de serviços terceirizáveis, encontram-se à margem de qualquer proteção jurídico-laboral, sendo-lhes sonegada a incidência de normas protetivas do</w:t>
        <w:br w:type="textWrapping"/>
        <w:t xml:space="preserve">trabalho, especialmente àquelas destinadas a tutelar a segurança e higidez do trabalho</w:t>
        <w:br w:type="textWrapping"/>
        <w:t xml:space="preserve">subordinado, o que afronta o princípio da isonomia, a dignidade da pessoa humana e os valores</w:t>
        <w:br w:type="textWrapping"/>
        <w:t xml:space="preserve">sociais do trabalho (arts. 5º, caput e 1º, III e IV da Constituição Federal);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ff0000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33" w:lineRule="auto"/>
        <w:ind w:left="3497" w:firstLine="0"/>
        <w:rPr>
          <w:rFonts w:ascii="GUJMVS+CIDFont+F1" w:cs="GUJMVS+CIDFont+F1" w:eastAsia="GUJMVS+CIDFont+F1" w:hAnsi="GUJMVS+CIDFont+F1"/>
          <w:color w:val="000000"/>
          <w:sz w:val="16"/>
          <w:szCs w:val="16"/>
        </w:rPr>
      </w:pPr>
      <w:r w:rsidDel="00000000" w:rsidR="00000000" w:rsidRPr="00000000">
        <w:rPr>
          <w:color w:val="000000"/>
          <w:sz w:val="22"/>
          <w:szCs w:val="22"/>
        </w:rPr>
        <w:drawing>
          <wp:anchor allowOverlap="1" behindDoc="1" distB="0" distT="0" distL="114300" distR="114300" hidden="0" layoutInCell="1" locked="0" relativeHeight="0" simplePos="0">
            <wp:simplePos x="0" y="0"/>
            <wp:positionH relativeFrom="page">
              <wp:posOffset>3618865</wp:posOffset>
            </wp:positionH>
            <wp:positionV relativeFrom="page">
              <wp:posOffset>433069</wp:posOffset>
            </wp:positionV>
            <wp:extent cx="685165" cy="770890"/>
            <wp:effectExtent b="0" l="0" r="0" t="0"/>
            <wp:wrapNone/>
            <wp:docPr id="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770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52" w:line="264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CONSIDERANDO que num processo de terceirização o tomador dos serviços (no caso a</w:t>
        <w:br w:type="textWrapping"/>
        <w:t xml:space="preserve">administração pública) tem responsabilidade sucessiva por eventuais débitos trabalhistas do</w:t>
        <w:br w:type="textWrapping"/>
        <w:t xml:space="preserve">fornecedor de mão-de-obra, nos termos do Enunciado 331, do TST, o que poderia gerar graves</w:t>
        <w:br w:type="textWrapping"/>
        <w:t xml:space="preserve">prejuízos financeiros ao erário, na hipótese de se apurar a presença dos requisitos do art. 3º, da</w:t>
        <w:br w:type="textWrapping"/>
        <w:t xml:space="preserve">CLT na atividade de intermediação de mão-de-obra patrocinada por falsas cooperativas;</w:t>
        <w:br w:type="textWrapping"/>
        <w:t xml:space="preserve">CONSIDERANDO o teor da Recomendação Para a Promoção das Cooperativas aprovada na 90ª</w:t>
        <w:br w:type="textWrapping"/>
        <w:t xml:space="preserve">sessão, da OIT – Organização Internacional do Trabalho, em junho de 2002, dispondo que os</w:t>
        <w:br w:type="textWrapping"/>
        <w:t xml:space="preserve">Estados devem implementar políticas nos sentido de: “8.1.b Garantir que as cooperativas não</w:t>
        <w:br w:type="textWrapping"/>
        <w:t xml:space="preserve">sejam criadas para, ou direcionadas a, o não cumprimento das leis do trabalho ou usadas para</w:t>
        <w:br w:type="textWrapping"/>
        <w:t xml:space="preserve">estabelecer relações de emprego disfarçados, e combater pseudocooperativas que violam os</w:t>
        <w:br w:type="textWrapping"/>
        <w:t xml:space="preserve">direitos dos trabalhadores velando para que a lei trabalhista seja aplicada em todas as</w:t>
        <w:br w:type="textWrapping"/>
        <w:t xml:space="preserve">empresas.”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391" w:line="233" w:lineRule="auto"/>
        <w:ind w:left="360" w:firstLine="0"/>
        <w:rPr>
          <w:rFonts w:ascii="PSSJWC+CIDFont+F2" w:cs="PSSJWC+CIDFont+F2" w:eastAsia="PSSJWC+CIDFont+F2" w:hAnsi="PSSJWC+CIDFont+F2"/>
          <w:color w:val="000000"/>
          <w:sz w:val="20"/>
          <w:szCs w:val="20"/>
        </w:rPr>
      </w:pPr>
      <w:r w:rsidDel="00000000" w:rsidR="00000000" w:rsidRPr="00000000">
        <w:rPr>
          <w:rFonts w:ascii="PSSJWC+CIDFont+F2" w:cs="PSSJWC+CIDFont+F2" w:eastAsia="PSSJWC+CIDFont+F2" w:hAnsi="PSSJWC+CIDFont+F2"/>
          <w:sz w:val="20"/>
          <w:szCs w:val="20"/>
          <w:rtl w:val="0"/>
        </w:rPr>
        <w:t xml:space="preserve">RESOLVEM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360" w:line="264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Celebrar CONCILIAÇÃO nos autos do Processo 01082-2002-020-10-00-0, em tramitação perante</w:t>
        <w:br w:type="textWrapping"/>
        <w:t xml:space="preserve">a MM. Vigésima Vara do Trabalho de Brasília-DF, mediante os seguintes termos: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360" w:line="264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Cláusula Primeira – A UNIÃO abster-se-á de contratar trabalhadores, por meio de cooperativas</w:t>
        <w:br w:type="textWrapping"/>
        <w:t xml:space="preserve">de mão-de-obra, para a prestação de serviços ligados às suas atividades-fim ou meio, quando o</w:t>
        <w:br w:type="textWrapping"/>
        <w:t xml:space="preserve">labor, por sua própria natureza, demandar execução em estado de subordinação, quer em</w:t>
        <w:br w:type="textWrapping"/>
        <w:t xml:space="preserve">relação ao tomador, ou em relação ao fornecedor dos serviços, constituindo elemento essencial</w:t>
        <w:br w:type="textWrapping"/>
        <w:t xml:space="preserve">ao desenvolvimento e à prestação dos serviços terceirizados, sendo eles: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391" w:line="233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a) – Serviços de limpeza;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391" w:line="233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b) – Serviços de conservação;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391" w:line="233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c) – Serviços de segurança, de vigilância e de portaria;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391" w:line="233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d) – Serviços de recepção;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391" w:line="233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e) – Serviços de copeiragem;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391" w:line="233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f) – Serviços de reprografia;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391" w:line="233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g) – Serviços de telefonia;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391" w:line="233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h) – Serviços de manutenção de prédios, de equipamentos, de veículos e de instalações;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391" w:line="233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i) – Serviços de secretariado e secretariado executivo;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ff0000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33" w:lineRule="auto"/>
        <w:ind w:left="0" w:firstLine="0"/>
        <w:rPr>
          <w:rFonts w:ascii="GUJMVS+CIDFont+F1" w:cs="GUJMVS+CIDFont+F1" w:eastAsia="GUJMVS+CIDFont+F1" w:hAnsi="GUJMVS+CIDFont+F1"/>
          <w:color w:val="000000"/>
          <w:sz w:val="16"/>
          <w:szCs w:val="16"/>
        </w:rPr>
      </w:pPr>
      <w:r w:rsidDel="00000000" w:rsidR="00000000" w:rsidRPr="00000000">
        <w:rPr>
          <w:color w:val="000000"/>
          <w:sz w:val="22"/>
          <w:szCs w:val="22"/>
        </w:rPr>
        <w:drawing>
          <wp:anchor allowOverlap="1" behindDoc="1" distB="0" distT="0" distL="114300" distR="114300" hidden="0" layoutInCell="1" locked="0" relativeHeight="0" simplePos="0">
            <wp:simplePos x="0" y="0"/>
            <wp:positionH relativeFrom="page">
              <wp:posOffset>3618865</wp:posOffset>
            </wp:positionH>
            <wp:positionV relativeFrom="page">
              <wp:posOffset>433069</wp:posOffset>
            </wp:positionV>
            <wp:extent cx="685165" cy="770890"/>
            <wp:effectExtent b="0" l="0" r="0" t="0"/>
            <wp:wrapNone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770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84" w:line="233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j) – Serviços de auxiliar de escritório;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391" w:line="233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k) – Serviços de auxiliar administrativo;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391" w:line="233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l) – Serviços de office boy (contínuo);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391" w:line="233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m) – Serviços de digitação;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391" w:line="233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n) – Serviços de assessoria de imprensa e de relações-públicas;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391" w:line="233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o) – Serviços de motorista, no caso de os veículos serem fornecidos pelo próprio órgão licitante;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391" w:line="233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p) – Serviços de ascensorista;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391" w:line="233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q) – Serviços de enfermagem;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391" w:line="233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r) – Serviços de agentes comunitários de saúde.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360" w:line="264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Parágrafo Primeiro – O disposto nesta Cláusula não autoriza outras formas de terceirização sem</w:t>
        <w:br w:type="textWrapping"/>
        <w:t xml:space="preserve">previsão legal.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360" w:line="264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Parágrafo Segundo – As partes podem, a qualquer momento, mediante comunicação e acordos</w:t>
        <w:br w:type="textWrapping"/>
        <w:t xml:space="preserve">prévios, ampliar o rol de serviços elencados no caput.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360" w:line="264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Cláusula Segunda – Considera-se cooperativa de mão-de-obra, aquela associação cuja atividade</w:t>
        <w:br w:type="textWrapping"/>
        <w:t xml:space="preserve">precípua seja a mera intermediação individual de trabalhadores de uma ou várias profissões</w:t>
        <w:br w:type="textWrapping"/>
        <w:t xml:space="preserve">(inexistindo assim vínculo de solidariedade entre seus associados), que não detenham qualquer</w:t>
        <w:br w:type="textWrapping"/>
        <w:t xml:space="preserve">meio de produção, e cujos serviços sejam prestados a terceiros, de forma individual (e não</w:t>
        <w:br w:type="textWrapping"/>
        <w:t xml:space="preserve">coletiva), pelos seus associados.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360" w:line="264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Cláusula Terceira – A UNIÃO obriga-se a estabelecer regras claras nos editais de licitação, a fim</w:t>
        <w:br w:type="textWrapping"/>
        <w:t xml:space="preserve">de esclarecer a natureza dos serviços licitados, determinando, por conseguinte, se os mesmos</w:t>
        <w:br w:type="textWrapping"/>
        <w:t xml:space="preserve">podem ser prestados por empresas prestadoras de serviços (trabalhadores subordinados),</w:t>
        <w:br w:type="textWrapping"/>
        <w:t xml:space="preserve">cooperativas de trabalho, trabalhadores autônomos, avulsos ou eventuais;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360" w:line="264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Parágrafo Primeiro – É lícita a contratação de genuínas sociedades cooperativas desde que os</w:t>
        <w:br w:type="textWrapping"/>
        <w:t xml:space="preserve">serviços licitados não estejam incluídos no rol inserido nas alíneas “a” a “r” da Cláusula Primeira e</w:t>
        <w:br w:type="textWrapping"/>
        <w:t xml:space="preserve">sejam prestados em caráter coletivo e com absoluta autonomia dos cooperados, seja em relação</w:t>
        <w:br w:type="textWrapping"/>
        <w:t xml:space="preserve">às cooperativas, seja em relação ao tomador dos serviços, devendo ser juntada, na fase de</w:t>
        <w:br w:type="textWrapping"/>
        <w:t xml:space="preserve">habilitação, listagem contendo o nome de todos os associados. Esclarecem as partes que</w:t>
        <w:br w:type="textWrapping"/>
        <w:t xml:space="preserve">somente os serviços podem ser terceirizados, restando absolutamente vedado o fornecimento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color w:val="ff0000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33" w:lineRule="auto"/>
        <w:ind w:left="3497" w:firstLine="0"/>
        <w:rPr>
          <w:rFonts w:ascii="GUJMVS+CIDFont+F1" w:cs="GUJMVS+CIDFont+F1" w:eastAsia="GUJMVS+CIDFont+F1" w:hAnsi="GUJMVS+CIDFont+F1"/>
          <w:color w:val="000000"/>
          <w:sz w:val="16"/>
          <w:szCs w:val="16"/>
        </w:rPr>
      </w:pPr>
      <w:r w:rsidDel="00000000" w:rsidR="00000000" w:rsidRPr="00000000">
        <w:rPr>
          <w:color w:val="000000"/>
          <w:sz w:val="22"/>
          <w:szCs w:val="22"/>
        </w:rPr>
        <w:drawing>
          <wp:anchor allowOverlap="1" behindDoc="1" distB="0" distT="0" distL="114300" distR="114300" hidden="0" layoutInCell="1" locked="0" relativeHeight="0" simplePos="0">
            <wp:simplePos x="0" y="0"/>
            <wp:positionH relativeFrom="page">
              <wp:posOffset>3618865</wp:posOffset>
            </wp:positionH>
            <wp:positionV relativeFrom="page">
              <wp:posOffset>433069</wp:posOffset>
            </wp:positionV>
            <wp:extent cx="685165" cy="770890"/>
            <wp:effectExtent b="0" l="0" r="0" t="0"/>
            <wp:wrapNone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770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152" w:line="264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(intermediação de mão-de-obra) de trabalhadores a órgãos públicos por cooperativas de qualquer</w:t>
        <w:br w:type="textWrapping"/>
        <w:t xml:space="preserve">natureza.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360" w:line="264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Parágrafo Segundo – Os editais de licitação que se destinem a contratar os serviços disciplinados</w:t>
        <w:br w:type="textWrapping"/>
        <w:t xml:space="preserve">pela Cláusula Primeira deverão fazer expressa menção ao presente termo de conciliação e sua</w:t>
        <w:br w:type="textWrapping"/>
        <w:t xml:space="preserve">homologação, se possível transcrevendo-os na íntegra ou fazendo parte integrante desses</w:t>
        <w:br w:type="textWrapping"/>
        <w:t xml:space="preserve">editais, como anexo.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360" w:line="264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Parágrafo Terceiro – Para a prestação de serviços em sua forma subordinada, a licitante</w:t>
        <w:br w:type="textWrapping"/>
        <w:t xml:space="preserve">vencedora do certame deverá comprovar a condição de empregadora dos prestadores de</w:t>
        <w:br w:type="textWrapping"/>
        <w:t xml:space="preserve">serviços para as quais se objetiva a contratação, constituindo-se esse requisito, condição</w:t>
        <w:br w:type="textWrapping"/>
        <w:t xml:space="preserve">obrigatória à assinatura do respectivo contrato.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391" w:line="233" w:lineRule="auto"/>
        <w:ind w:left="2693" w:firstLine="0"/>
        <w:rPr>
          <w:rFonts w:ascii="PSSJWC+CIDFont+F2" w:cs="PSSJWC+CIDFont+F2" w:eastAsia="PSSJWC+CIDFont+F2" w:hAnsi="PSSJWC+CIDFont+F2"/>
          <w:color w:val="000000"/>
          <w:sz w:val="20"/>
          <w:szCs w:val="20"/>
        </w:rPr>
      </w:pPr>
      <w:r w:rsidDel="00000000" w:rsidR="00000000" w:rsidRPr="00000000">
        <w:rPr>
          <w:rFonts w:ascii="PSSJWC+CIDFont+F2" w:cs="PSSJWC+CIDFont+F2" w:eastAsia="PSSJWC+CIDFont+F2" w:hAnsi="PSSJWC+CIDFont+F2"/>
          <w:sz w:val="20"/>
          <w:szCs w:val="20"/>
          <w:rtl w:val="0"/>
        </w:rPr>
        <w:t xml:space="preserve">DAS SANÇÕES PELO DESCUMPRIMENTO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360" w:line="264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Cláusula Quarta – A UNIÃO obriga-se ao pagamento de multa (astreinte) correspondente a R$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64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1.000,00 (um mil reais) por trabalhador que esteja em desacordo com as condições estabelecidas</w:t>
        <w:br w:type="textWrapping"/>
        <w:t xml:space="preserve">no presente Termo de Conciliação, sendo a mesma reversível ao Fundo de Amparo ao</w:t>
        <w:br w:type="textWrapping"/>
        <w:t xml:space="preserve">Trabalhador (FAT).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360" w:line="264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Parágrafo Primeiro – O servidor público que, em nome da Administração, firmar o contrato de</w:t>
        <w:br w:type="textWrapping"/>
        <w:t xml:space="preserve">prestação de serviços nas atividades relacionadas nas alíneas “a” a “r” da Cláusula Primeira, será</w:t>
        <w:br w:type="textWrapping"/>
        <w:t xml:space="preserve">responsável solidário por qualquer contratação irregular, respondendo pela multa prevista no</w:t>
        <w:br w:type="textWrapping"/>
        <w:t xml:space="preserve">caput, sem prejuízo das demais cominações legais.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360" w:line="264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Parágrafo Segundo – Em caso de notícia de descumprimento dos termos firmados neste ajuste, a</w:t>
        <w:br w:type="textWrapping"/>
        <w:t xml:space="preserve">UNIÃO, depois de intimada, terá prazo de 20 (vinte) dias para apresentar sua justificativa perante</w:t>
        <w:br w:type="textWrapping"/>
        <w:t xml:space="preserve">o Ministério Público do Trabalho.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391" w:line="233" w:lineRule="auto"/>
        <w:ind w:left="1442" w:firstLine="0"/>
        <w:rPr>
          <w:rFonts w:ascii="PSSJWC+CIDFont+F2" w:cs="PSSJWC+CIDFont+F2" w:eastAsia="PSSJWC+CIDFont+F2" w:hAnsi="PSSJWC+CIDFont+F2"/>
          <w:color w:val="000000"/>
          <w:sz w:val="20"/>
          <w:szCs w:val="20"/>
        </w:rPr>
      </w:pPr>
      <w:r w:rsidDel="00000000" w:rsidR="00000000" w:rsidRPr="00000000">
        <w:rPr>
          <w:rFonts w:ascii="PSSJWC+CIDFont+F2" w:cs="PSSJWC+CIDFont+F2" w:eastAsia="PSSJWC+CIDFont+F2" w:hAnsi="PSSJWC+CIDFont+F2"/>
          <w:sz w:val="20"/>
          <w:szCs w:val="20"/>
          <w:rtl w:val="0"/>
        </w:rPr>
        <w:t xml:space="preserve">DA EXTENSÃO DO AJUSTE À ADMINISTRAÇÃO PÚBLICA INDIRETA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360" w:line="264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Cláusula Quinta – A UNIÃO se compromete a recomendar o estabelecimento das mesmas</w:t>
        <w:br w:type="textWrapping"/>
        <w:t xml:space="preserve">diretrizes ora pactuadas em relação às autarquias, fundações públicas, empresas públicas e</w:t>
        <w:br w:type="textWrapping"/>
        <w:t xml:space="preserve">sociedades de economia mista, a fim de vincular todos os órgãos integrantes da administração</w:t>
        <w:br w:type="textWrapping"/>
        <w:t xml:space="preserve">pública indireta ao cumprimento do presente termo de conciliação, sendo que em relação às</w:t>
        <w:br w:type="textWrapping"/>
        <w:t xml:space="preserve">empresas públicas e sociedades de economia mista deverá ser dado conhecimento ao</w:t>
        <w:br w:type="textWrapping"/>
        <w:t xml:space="preserve">Departamento de Coordenação e Controle das Empresas Estatais – DEST, do Ministério do</w:t>
        <w:br w:type="textWrapping"/>
        <w:t xml:space="preserve">Planejamento, Orçamento e Gestão, ou órgão equivalente, para que discipline a matéria no</w:t>
        <w:br w:type="textWrapping"/>
        <w:t xml:space="preserve">âmbito de sua competência.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color w:val="ff0000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33" w:lineRule="auto"/>
        <w:ind w:left="3497" w:firstLine="0"/>
        <w:rPr>
          <w:rFonts w:ascii="GUJMVS+CIDFont+F1" w:cs="GUJMVS+CIDFont+F1" w:eastAsia="GUJMVS+CIDFont+F1" w:hAnsi="GUJMVS+CIDFont+F1"/>
          <w:color w:val="000000"/>
          <w:sz w:val="16"/>
          <w:szCs w:val="16"/>
        </w:rPr>
      </w:pPr>
      <w:r w:rsidDel="00000000" w:rsidR="00000000" w:rsidRPr="00000000">
        <w:rPr>
          <w:color w:val="000000"/>
          <w:sz w:val="22"/>
          <w:szCs w:val="22"/>
        </w:rPr>
        <w:drawing>
          <wp:anchor allowOverlap="1" behindDoc="1" distB="0" distT="0" distL="114300" distR="114300" hidden="0" layoutInCell="1" locked="0" relativeHeight="0" simplePos="0">
            <wp:simplePos x="0" y="0"/>
            <wp:positionH relativeFrom="page">
              <wp:posOffset>3618865</wp:posOffset>
            </wp:positionH>
            <wp:positionV relativeFrom="page">
              <wp:posOffset>433069</wp:posOffset>
            </wp:positionV>
            <wp:extent cx="685165" cy="770890"/>
            <wp:effectExtent b="0" l="0" r="0" t="0"/>
            <wp:wrapNone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770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184" w:line="233" w:lineRule="auto"/>
        <w:ind w:left="2630" w:firstLine="0"/>
        <w:rPr>
          <w:rFonts w:ascii="PSSJWC+CIDFont+F2" w:cs="PSSJWC+CIDFont+F2" w:eastAsia="PSSJWC+CIDFont+F2" w:hAnsi="PSSJWC+CIDFont+F2"/>
          <w:color w:val="000000"/>
          <w:sz w:val="20"/>
          <w:szCs w:val="20"/>
        </w:rPr>
      </w:pPr>
      <w:r w:rsidDel="00000000" w:rsidR="00000000" w:rsidRPr="00000000">
        <w:rPr>
          <w:rFonts w:ascii="PSSJWC+CIDFont+F2" w:cs="PSSJWC+CIDFont+F2" w:eastAsia="PSSJWC+CIDFont+F2" w:hAnsi="PSSJWC+CIDFont+F2"/>
          <w:sz w:val="20"/>
          <w:szCs w:val="20"/>
          <w:rtl w:val="0"/>
        </w:rPr>
        <w:t xml:space="preserve">DA HOMOLOGAÇÃO JUDICIAL DO AJUSTE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360" w:line="264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Cláusula Sexta – As partes submetem os termos da presente conciliação à homologação do</w:t>
        <w:br w:type="textWrapping"/>
        <w:t xml:space="preserve">Juízo da MM. Vigésima Vara do Trabalho, para que o ajuste gere os seus efeitos jurídicos.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360" w:line="264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Cláusula Sétima – Os termos da presente avença gerarão seus efeitos jurídicos a partir da data</w:t>
        <w:br w:type="textWrapping"/>
        <w:t xml:space="preserve">de sua homologação judicial.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360" w:line="264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Parágrafo único – Os contratos em vigor entre a UNIÃO e as Cooperativas, que contrariem o</w:t>
        <w:br w:type="textWrapping"/>
        <w:t xml:space="preserve">presente acordo, não serão renovados ou prorrogados.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360" w:line="264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Cláusula Oitava – A presente conciliação extingue o processo com exame do mérito apenas em</w:t>
        <w:br w:type="textWrapping"/>
        <w:t xml:space="preserve">relação à UNIÃO, prosseguindo o feito quanto aos demais réus. Dito isto, por estarem as partes</w:t>
        <w:br w:type="textWrapping"/>
        <w:t xml:space="preserve">ajustadas e compromissadas, firmam a presente conciliação em cinco vias, a qual terá eficácia de</w:t>
        <w:br w:type="textWrapping"/>
        <w:t xml:space="preserve">título judicial, nos termos dos artigos 831, parágrafo único, e 876, caput, da CLT.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391" w:line="233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Brasília, 05 de junho de 2003.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360" w:line="264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GUILHERME MASTRICHI BASSO GUIOMAR RECHIA GOMES Procurador-Geral do Trabalho</w:t>
        <w:br w:type="textWrapping"/>
        <w:t xml:space="preserve">Vice-Procuradora-Geral do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360" w:line="264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BRASILINO SANTOS RAMOS FÁBIO LEAL CARDOSO Procurador-Chefe/PRT 10ª Região</w:t>
        <w:br w:type="textWrapping"/>
        <w:t xml:space="preserve">Procurador do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391" w:line="233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MOACIR ANTONIO DA SILVA MACHADO Procurador-Geral da União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360" w:line="264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HELIA MARIA DE OLIVEIRA BETTERO Sub-Procuradora-Regional da União –1ª Região</w:t>
        <w:br w:type="textWrapping"/>
        <w:t xml:space="preserve">Advogado da União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360" w:line="264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Testemunhas: GRIJALBO FERNANDES COUTINHO Presidente da Associação Nacional dos</w:t>
        <w:br w:type="textWrapping"/>
        <w:t xml:space="preserve">Magistrados da Justiça do Trabalho – ANAMATRA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391" w:line="233" w:lineRule="auto"/>
        <w:ind w:left="360" w:firstLine="0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PAULO SÉRGIO DOMINGUES Presidente da Associação dos Juízes Federais do Brasil – AJUFE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391" w:line="233" w:lineRule="auto"/>
        <w:ind w:left="415" w:firstLine="10.196850393700885"/>
        <w:rPr>
          <w:b w:val="1"/>
          <w:color w:val="000000"/>
        </w:rPr>
      </w:pPr>
      <w:r w:rsidDel="00000000" w:rsidR="00000000" w:rsidRPr="00000000">
        <w:rPr>
          <w:rFonts w:ascii="GUJMVS+CIDFont+F1" w:cs="GUJMVS+CIDFont+F1" w:eastAsia="GUJMVS+CIDFont+F1" w:hAnsi="GUJMVS+CIDFont+F1"/>
          <w:color w:val="000000"/>
          <w:sz w:val="20"/>
          <w:szCs w:val="20"/>
          <w:rtl w:val="0"/>
        </w:rPr>
        <w:t xml:space="preserve">REGINA BUTRUS Presidente da Associação Nacional dos Procuradores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701" w:left="1701" w:right="1134" w:header="720" w:footer="5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PSSJWC+CIDFont+F2"/>
  <w:font w:name="GUJMVS+CIDFont+F1"/>
  <w:font w:name="BEFCPM+CIDFont+F3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  <w:rtl w:val="0"/>
      </w:rPr>
      <w:t xml:space="preserve">____________________________________________________________________</w:t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12"/>
        <w:szCs w:val="12"/>
        <w:u w:val="none"/>
        <w:shd w:fill="auto" w:val="clear"/>
        <w:vertAlign w:val="baseline"/>
        <w:rtl w:val="0"/>
      </w:rPr>
      <w:t xml:space="preserve">Câmara Nacional de Modelos de Licitações e Contratos Administrativos da Consultoria-Geral da União</w:t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12"/>
        <w:szCs w:val="12"/>
        <w:u w:val="none"/>
        <w:shd w:fill="auto" w:val="clear"/>
        <w:vertAlign w:val="baseline"/>
        <w:rtl w:val="0"/>
      </w:rPr>
      <w:t xml:space="preserve">Termo de Referência – Serviços Continuados com Dedicação Exclusiva de Mão-de-Obra</w:t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12"/>
        <w:szCs w:val="12"/>
        <w:u w:val="none"/>
        <w:shd w:fill="auto" w:val="clear"/>
        <w:vertAlign w:val="baseline"/>
      </w:rPr>
    </w:pPr>
    <w:bookmarkStart w:colFirst="0" w:colLast="0" w:name="_26in1rg" w:id="0"/>
    <w:bookmarkEnd w:id="0"/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a"/>
        <w:sz w:val="12"/>
        <w:szCs w:val="12"/>
        <w:u w:val="none"/>
        <w:shd w:fill="auto" w:val="clear"/>
        <w:vertAlign w:val="baseline"/>
        <w:rtl w:val="0"/>
      </w:rPr>
      <w:t xml:space="preserve">Atualização: Julho/2021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  <w:rtl w:val="0"/>
      </w:rPr>
      <w:t xml:space="preserve">____________________________________________________________________</w:t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12"/>
        <w:szCs w:val="12"/>
        <w:u w:val="none"/>
        <w:shd w:fill="auto" w:val="clear"/>
        <w:vertAlign w:val="baseline"/>
        <w:rtl w:val="0"/>
      </w:rPr>
      <w:t xml:space="preserve">Câmara Nacional de Modelos de Licitações e Contratos Administrativos da Consultoria-Geral da União</w:t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12"/>
        <w:szCs w:val="12"/>
        <w:u w:val="none"/>
        <w:shd w:fill="auto" w:val="clear"/>
        <w:vertAlign w:val="baseline"/>
        <w:rtl w:val="0"/>
      </w:rPr>
      <w:t xml:space="preserve">Termo de Referência – Serviços Continuados com Dedicação Exclusiva de Mão-de-Obra</w:t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a"/>
        <w:sz w:val="12"/>
        <w:szCs w:val="12"/>
        <w:u w:val="none"/>
        <w:shd w:fill="auto" w:val="clear"/>
        <w:vertAlign w:val="baseline"/>
        <w:rtl w:val="0"/>
      </w:rPr>
      <w:t xml:space="preserve">Atualização: Julho/2021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28650" cy="742950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22" l="-25" r="-24" t="-22"/>
                  <a:stretch>
                    <a:fillRect/>
                  </a:stretch>
                </pic:blipFill>
                <pic:spPr>
                  <a:xfrm>
                    <a:off x="0" y="0"/>
                    <a:ext cx="628650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Ministério da Educação</w:t>
      <w:br w:type="textWrapping"/>
      <w:t xml:space="preserve">Secretaria de Educação Profissional e Tecnológica</w:t>
      <w:br w:type="textWrapping"/>
      <w:t xml:space="preserve">Instituto Federal de Educação, Ciência e Tecnologia do Rio Grande do Sul</w:t>
      <w:br w:type="textWrapping"/>
      <w:t xml:space="preserve">Campus Ibirubá – Coordenadoria de Compras e Licitações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br w:type="textWrapping"/>
      <w:t xml:space="preserve">Rua Nelsi Ribas Fritsch, 1111 | Esperança | Ibirubá – RS | CEP: 98.200-000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www.ibiruba.ifrs.edu.br | </w:t>
    </w:r>
    <w:hyperlink r:id="rId2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licitacao@ibiruba.ifrs.edu.br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57225" cy="74295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2" l="-25" r="-24" t="-22"/>
                  <a:stretch>
                    <a:fillRect/>
                  </a:stretch>
                </pic:blipFill>
                <pic:spPr>
                  <a:xfrm>
                    <a:off x="0" y="0"/>
                    <a:ext cx="657225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Ministério da Educação</w:t>
      <w:br w:type="textWrapping"/>
      <w:t xml:space="preserve">Secretaria de Educação Profissional e Tecnológica</w:t>
      <w:br w:type="textWrapping"/>
      <w:t xml:space="preserve">Instituto Federal de Educação, Ciência e Tecnologia do Rio Grande do Sul</w:t>
      <w:br w:type="textWrapping"/>
      <w:t xml:space="preserve">Campus Ibirubá – Coordenadoria de Compras e Licitações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br w:type="textWrapping"/>
      <w:t xml:space="preserve">Rua Nelsi Ribas Fritsch, 1111 | Esperança | Ibirubá – RS | CEP: 98.200-000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www.ibiruba.ifrs.edu.br | </w:t>
    </w:r>
    <w:hyperlink r:id="rId2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licitacao@ibiruba.ifrs.edu.br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ind w:left="709" w:hanging="709"/>
      <w:jc w:val="both"/>
    </w:pPr>
    <w:rPr>
      <w:rFonts w:ascii="Arial" w:cs="Arial" w:eastAsia="Arial" w:hAnsi="Arial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color w:val="000000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spacing w:line="360" w:lineRule="auto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</w:rPr>
  </w:style>
  <w:style w:type="paragraph" w:styleId="Heading6">
    <w:name w:val="heading 6"/>
    <w:basedOn w:val="Normal"/>
    <w:next w:val="Normal"/>
    <w:pPr>
      <w:keepNext w:val="1"/>
      <w:spacing w:after="100" w:lineRule="auto"/>
      <w:ind w:left="1491" w:hanging="357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color w:val="000000"/>
      <w:sz w:val="56"/>
      <w:szCs w:val="56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licitacao@ibiruba.ifrs.edu.br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licitacao@ibiruba.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