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A2" w:rsidRDefault="00E907AD">
      <w:pPr>
        <w:jc w:val="center"/>
        <w:rPr>
          <w:b/>
          <w:highlight w:val="white"/>
        </w:rPr>
      </w:pPr>
      <w:r>
        <w:rPr>
          <w:b/>
          <w:highlight w:val="white"/>
        </w:rPr>
        <w:t>ANEXO VII</w:t>
      </w:r>
    </w:p>
    <w:p w:rsidR="00E855A2" w:rsidRDefault="00E907AD">
      <w:pPr>
        <w:jc w:val="center"/>
        <w:rPr>
          <w:b/>
        </w:rPr>
      </w:pPr>
      <w:r>
        <w:rPr>
          <w:b/>
        </w:rPr>
        <w:t>INSTRUMENTO DE MEDIÇÃO DE RESULTADOS (IMR)</w:t>
      </w:r>
    </w:p>
    <w:p w:rsidR="00E855A2" w:rsidRDefault="00E855A2">
      <w:pPr>
        <w:jc w:val="both"/>
        <w:rPr>
          <w:b/>
        </w:rPr>
      </w:pPr>
    </w:p>
    <w:p w:rsidR="00E855A2" w:rsidRDefault="00E855A2">
      <w:pPr>
        <w:spacing w:line="360" w:lineRule="auto"/>
        <w:jc w:val="both"/>
        <w:rPr>
          <w:b/>
        </w:rPr>
      </w:pPr>
    </w:p>
    <w:p w:rsidR="00E855A2" w:rsidRDefault="00E907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DA DEFINIÇÃO</w:t>
      </w:r>
    </w:p>
    <w:p w:rsidR="00E855A2" w:rsidRDefault="00E907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Este documento apresenta os critérios de avaliação da qualidade dos serviços, identificando indicadores, metas, mecanismos de cálculo, forma de acompanhamento e adequações de pagamento por eventual não atendimento das metas estabelecidas.</w:t>
      </w:r>
    </w:p>
    <w:p w:rsidR="00E855A2" w:rsidRDefault="00E907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Este anexo é parte indissociável do Contrato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firmado a partir do Edital do Pregão Eletrôn</w:t>
      </w:r>
      <w:r>
        <w:rPr>
          <w:color w:val="000000"/>
        </w:rPr>
        <w:t xml:space="preserve">ico nº </w:t>
      </w:r>
      <w:r>
        <w:t>09</w:t>
      </w:r>
      <w:r>
        <w:rPr>
          <w:color w:val="000000"/>
        </w:rPr>
        <w:t>/20</w:t>
      </w:r>
      <w:r>
        <w:t>22</w:t>
      </w:r>
      <w:r>
        <w:rPr>
          <w:color w:val="000000"/>
        </w:rPr>
        <w:t xml:space="preserve"> e de</w:t>
      </w:r>
      <w:r>
        <w:rPr>
          <w:color w:val="000000"/>
        </w:rPr>
        <w:t xml:space="preserve"> seus demais anexos.</w:t>
      </w:r>
    </w:p>
    <w:p w:rsidR="00E855A2" w:rsidRDefault="00E907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Na utilização do referido Instrumento de Medição serão observadas as cláusulas e disposições contidas no </w:t>
      </w:r>
      <w:r>
        <w:rPr>
          <w:color w:val="000000"/>
          <w:highlight w:val="lightGray"/>
        </w:rPr>
        <w:t>Termo de Referência – Anexo I</w:t>
      </w:r>
      <w:r>
        <w:rPr>
          <w:color w:val="000000"/>
        </w:rPr>
        <w:t xml:space="preserve"> deste</w:t>
      </w:r>
      <w:r>
        <w:rPr>
          <w:color w:val="000000"/>
        </w:rPr>
        <w:t xml:space="preserve"> Edital.</w:t>
      </w:r>
    </w:p>
    <w:p w:rsidR="00E855A2" w:rsidRDefault="00E85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E855A2" w:rsidRDefault="00E907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DOS INDICADORES, DAS METAS E DOS MECANISMOS DE CÁLCULO</w:t>
      </w:r>
    </w:p>
    <w:p w:rsidR="00E855A2" w:rsidRDefault="00E907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Os serviços e produtos da CONTRATADA serão avaliados por meio de dois indicadores de qualidade: tempo de resposta às solicitações da contratante e formulário de qualidade dos serviços prestados. </w:t>
      </w:r>
    </w:p>
    <w:p w:rsidR="00E855A2" w:rsidRDefault="00E907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Aos indicadores serão atribuídos pontos de qualidade, confor</w:t>
      </w:r>
      <w:r>
        <w:rPr>
          <w:color w:val="000000"/>
        </w:rPr>
        <w:t>me critérios apresentados nas tabelas abaixo.</w:t>
      </w:r>
    </w:p>
    <w:p w:rsidR="00E855A2" w:rsidRDefault="00E907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0"/>
        <w:jc w:val="both"/>
        <w:rPr>
          <w:color w:val="000000"/>
        </w:rPr>
      </w:pPr>
      <w:r>
        <w:rPr>
          <w:color w:val="000000"/>
        </w:rPr>
        <w:t>Cada indicador contribui com uma quantidade diferenciada de pontos de qualidade. Essa diferença está relacionada à essencialidade do indicador para a qualidade dos serviços.</w:t>
      </w:r>
    </w:p>
    <w:p w:rsidR="00E855A2" w:rsidRDefault="00E907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0"/>
        <w:jc w:val="both"/>
        <w:rPr>
          <w:color w:val="000000"/>
        </w:rPr>
      </w:pPr>
      <w:r>
        <w:rPr>
          <w:color w:val="000000"/>
        </w:rPr>
        <w:t xml:space="preserve">A pontuação final de qualidade dos serviços pode resultar em valores </w:t>
      </w:r>
      <w:r>
        <w:rPr>
          <w:color w:val="000000"/>
          <w:highlight w:val="white"/>
        </w:rPr>
        <w:t>entre 0 (zero) e 100 (cem), correspondentes respectivamente às situações de serviço</w:t>
      </w:r>
      <w:r>
        <w:rPr>
          <w:color w:val="000000"/>
        </w:rPr>
        <w:t xml:space="preserve"> desprovido de qualidade e serviço com qualidade elevada. </w:t>
      </w:r>
    </w:p>
    <w:p w:rsidR="00E855A2" w:rsidRDefault="00E907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0"/>
        <w:jc w:val="both"/>
        <w:rPr>
          <w:color w:val="000000"/>
        </w:rPr>
      </w:pPr>
      <w:r>
        <w:rPr>
          <w:color w:val="000000"/>
        </w:rPr>
        <w:t xml:space="preserve"> Para ajuste de pagamento não será necessário a abertura de processo administrativo. Para aplicação das multas acima estabelecidas será garantida a ampla defesa e o contraditório.</w:t>
      </w:r>
    </w:p>
    <w:p w:rsidR="00E855A2" w:rsidRDefault="00E907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As tabelas abaixo apresentam os indicadores, as metas, os critérios e os mec</w:t>
      </w:r>
      <w:r>
        <w:rPr>
          <w:color w:val="000000"/>
        </w:rPr>
        <w:t>anismos de cálculo da pontuação de qualidade.</w:t>
      </w:r>
    </w:p>
    <w:p w:rsidR="00E855A2" w:rsidRDefault="00E855A2">
      <w:pPr>
        <w:jc w:val="both"/>
      </w:pPr>
    </w:p>
    <w:tbl>
      <w:tblPr>
        <w:tblStyle w:val="a"/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5558"/>
      </w:tblGrid>
      <w:tr w:rsidR="00E855A2">
        <w:trPr>
          <w:trHeight w:val="175"/>
        </w:trPr>
        <w:tc>
          <w:tcPr>
            <w:tcW w:w="8644" w:type="dxa"/>
            <w:gridSpan w:val="2"/>
          </w:tcPr>
          <w:p w:rsidR="00E855A2" w:rsidRDefault="00E907AD">
            <w:pPr>
              <w:jc w:val="both"/>
              <w:rPr>
                <w:b/>
              </w:rPr>
            </w:pPr>
            <w:r>
              <w:rPr>
                <w:b/>
              </w:rPr>
              <w:t>INDICADOR 1 – TEMPO DE RESPOSTA ÀS SOLICITAÇÕES DA CONTRATANTE</w:t>
            </w:r>
          </w:p>
        </w:tc>
      </w:tr>
      <w:tr w:rsidR="00E855A2">
        <w:trPr>
          <w:trHeight w:val="250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ITEM</w:t>
            </w:r>
          </w:p>
        </w:tc>
        <w:tc>
          <w:tcPr>
            <w:tcW w:w="5558" w:type="dxa"/>
          </w:tcPr>
          <w:p w:rsidR="00E855A2" w:rsidRDefault="00E907AD">
            <w:pPr>
              <w:jc w:val="both"/>
            </w:pPr>
            <w:r>
              <w:t>DESCRIÇÃO</w:t>
            </w:r>
          </w:p>
        </w:tc>
      </w:tr>
      <w:tr w:rsidR="00E855A2">
        <w:trPr>
          <w:trHeight w:val="250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Finalidade</w:t>
            </w:r>
          </w:p>
        </w:tc>
        <w:tc>
          <w:tcPr>
            <w:tcW w:w="5558" w:type="dxa"/>
          </w:tcPr>
          <w:p w:rsidR="00E855A2" w:rsidRDefault="00E907AD">
            <w:pPr>
              <w:jc w:val="both"/>
            </w:pPr>
            <w:r>
              <w:t>Mensurar o tempo de resposta às solicitações da contratante.</w:t>
            </w:r>
          </w:p>
        </w:tc>
      </w:tr>
      <w:tr w:rsidR="00E855A2">
        <w:trPr>
          <w:trHeight w:val="200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Meta a cumprir</w:t>
            </w:r>
          </w:p>
        </w:tc>
        <w:tc>
          <w:tcPr>
            <w:tcW w:w="5558" w:type="dxa"/>
          </w:tcPr>
          <w:p w:rsidR="00E855A2" w:rsidRDefault="00E907AD">
            <w:pPr>
              <w:jc w:val="both"/>
            </w:pPr>
            <w:r>
              <w:t>Até dia útil posterior à solicitação.</w:t>
            </w:r>
          </w:p>
        </w:tc>
      </w:tr>
      <w:tr w:rsidR="00E855A2">
        <w:trPr>
          <w:trHeight w:val="184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Instrumento de medição</w:t>
            </w:r>
          </w:p>
        </w:tc>
        <w:tc>
          <w:tcPr>
            <w:tcW w:w="5558" w:type="dxa"/>
          </w:tcPr>
          <w:p w:rsidR="00E855A2" w:rsidRDefault="00E907AD">
            <w:pPr>
              <w:jc w:val="both"/>
            </w:pPr>
            <w:r>
              <w:t>Constatação formal de ocorrências</w:t>
            </w:r>
          </w:p>
        </w:tc>
      </w:tr>
      <w:tr w:rsidR="00E855A2">
        <w:trPr>
          <w:trHeight w:val="263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lastRenderedPageBreak/>
              <w:t>Forma de Acompanhamento</w:t>
            </w:r>
          </w:p>
        </w:tc>
        <w:tc>
          <w:tcPr>
            <w:tcW w:w="5558" w:type="dxa"/>
          </w:tcPr>
          <w:p w:rsidR="00E855A2" w:rsidRDefault="00E907AD">
            <w:pPr>
              <w:jc w:val="both"/>
            </w:pPr>
            <w:r>
              <w:t>Pessoal. Pelo fiscal do contrato.</w:t>
            </w:r>
          </w:p>
        </w:tc>
      </w:tr>
      <w:tr w:rsidR="00E855A2">
        <w:trPr>
          <w:trHeight w:val="175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Periodicidade</w:t>
            </w:r>
          </w:p>
        </w:tc>
        <w:tc>
          <w:tcPr>
            <w:tcW w:w="5558" w:type="dxa"/>
          </w:tcPr>
          <w:p w:rsidR="00E855A2" w:rsidRDefault="00E907AD">
            <w:pPr>
              <w:jc w:val="both"/>
            </w:pPr>
            <w:r>
              <w:t>Por evento/solicitação à contratante.</w:t>
            </w:r>
          </w:p>
        </w:tc>
      </w:tr>
      <w:tr w:rsidR="00E855A2">
        <w:trPr>
          <w:trHeight w:val="213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Mecanismo de Cálculo</w:t>
            </w:r>
          </w:p>
        </w:tc>
        <w:tc>
          <w:tcPr>
            <w:tcW w:w="5558" w:type="dxa"/>
          </w:tcPr>
          <w:p w:rsidR="00E855A2" w:rsidRDefault="00E907AD">
            <w:pPr>
              <w:jc w:val="both"/>
            </w:pPr>
            <w:r>
              <w:t xml:space="preserve">Verificação da quantidade de ocorrências registradas com tempo de resposta superior a meta. </w:t>
            </w:r>
          </w:p>
        </w:tc>
      </w:tr>
      <w:tr w:rsidR="00E855A2">
        <w:trPr>
          <w:trHeight w:val="275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Início de Vigência</w:t>
            </w:r>
          </w:p>
        </w:tc>
        <w:tc>
          <w:tcPr>
            <w:tcW w:w="5558" w:type="dxa"/>
          </w:tcPr>
          <w:p w:rsidR="00E855A2" w:rsidRDefault="00E907AD">
            <w:pPr>
              <w:jc w:val="both"/>
            </w:pPr>
            <w:r>
              <w:t>A partir do início da prestação do serviço</w:t>
            </w:r>
          </w:p>
        </w:tc>
      </w:tr>
      <w:tr w:rsidR="00E855A2">
        <w:trPr>
          <w:trHeight w:val="288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Faixas de ajuste no pagamento</w:t>
            </w:r>
          </w:p>
        </w:tc>
        <w:tc>
          <w:tcPr>
            <w:tcW w:w="5558" w:type="dxa"/>
          </w:tcPr>
          <w:p w:rsidR="00E855A2" w:rsidRDefault="00E907AD">
            <w:pPr>
              <w:jc w:val="both"/>
            </w:pPr>
            <w:r>
              <w:t>Sem atrasos: 30 pontos</w:t>
            </w:r>
          </w:p>
          <w:p w:rsidR="00E855A2" w:rsidRDefault="00E907AD">
            <w:pPr>
              <w:jc w:val="both"/>
            </w:pPr>
            <w:r>
              <w:t>1 resposta com atraso: 20 pontos</w:t>
            </w:r>
          </w:p>
          <w:p w:rsidR="00E855A2" w:rsidRDefault="00E907AD">
            <w:pPr>
              <w:jc w:val="both"/>
            </w:pPr>
            <w:r>
              <w:t>2  respostas com atraso: 15 pontos</w:t>
            </w:r>
          </w:p>
          <w:p w:rsidR="00E855A2" w:rsidRDefault="00E907AD">
            <w:pPr>
              <w:jc w:val="both"/>
            </w:pPr>
            <w:r>
              <w:t>3 respostas com atraso: 10 pontos</w:t>
            </w:r>
          </w:p>
          <w:p w:rsidR="00E855A2" w:rsidRDefault="00E907AD">
            <w:pPr>
              <w:jc w:val="both"/>
            </w:pPr>
            <w:r>
              <w:t>4  respostas com atraso: 5 pontos</w:t>
            </w:r>
          </w:p>
          <w:p w:rsidR="00E855A2" w:rsidRDefault="00E907AD">
            <w:pPr>
              <w:jc w:val="both"/>
            </w:pPr>
            <w:r>
              <w:t>5 ou mais com atraso: 0 pontos</w:t>
            </w:r>
          </w:p>
        </w:tc>
      </w:tr>
      <w:tr w:rsidR="00E855A2">
        <w:trPr>
          <w:trHeight w:val="388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Sanções</w:t>
            </w:r>
          </w:p>
        </w:tc>
        <w:tc>
          <w:tcPr>
            <w:tcW w:w="5558" w:type="dxa"/>
          </w:tcPr>
          <w:p w:rsidR="00E855A2" w:rsidRDefault="00E855A2">
            <w:pPr>
              <w:jc w:val="both"/>
              <w:rPr>
                <w:b/>
                <w:highlight w:val="yellow"/>
              </w:rPr>
            </w:pPr>
          </w:p>
        </w:tc>
      </w:tr>
      <w:tr w:rsidR="00E855A2">
        <w:trPr>
          <w:trHeight w:val="438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Observações</w:t>
            </w:r>
          </w:p>
        </w:tc>
        <w:tc>
          <w:tcPr>
            <w:tcW w:w="5558" w:type="dxa"/>
          </w:tcPr>
          <w:p w:rsidR="00E855A2" w:rsidRDefault="00E855A2">
            <w:pPr>
              <w:jc w:val="both"/>
            </w:pPr>
          </w:p>
        </w:tc>
      </w:tr>
    </w:tbl>
    <w:p w:rsidR="00E855A2" w:rsidRDefault="00E855A2">
      <w:pPr>
        <w:jc w:val="both"/>
      </w:pPr>
    </w:p>
    <w:tbl>
      <w:tblPr>
        <w:tblStyle w:val="a0"/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5558"/>
      </w:tblGrid>
      <w:tr w:rsidR="00E855A2">
        <w:trPr>
          <w:trHeight w:val="175"/>
        </w:trPr>
        <w:tc>
          <w:tcPr>
            <w:tcW w:w="8644" w:type="dxa"/>
            <w:gridSpan w:val="2"/>
          </w:tcPr>
          <w:p w:rsidR="00E855A2" w:rsidRDefault="00E907AD">
            <w:pPr>
              <w:jc w:val="both"/>
              <w:rPr>
                <w:b/>
              </w:rPr>
            </w:pPr>
            <w:r>
              <w:rPr>
                <w:b/>
              </w:rPr>
              <w:t>INDICADOR 2 – QUALIDADE DOS SERVIÇOS PRESTADOS</w:t>
            </w:r>
          </w:p>
        </w:tc>
      </w:tr>
      <w:tr w:rsidR="00E855A2">
        <w:trPr>
          <w:trHeight w:val="250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ITEM</w:t>
            </w:r>
          </w:p>
        </w:tc>
        <w:tc>
          <w:tcPr>
            <w:tcW w:w="5558" w:type="dxa"/>
          </w:tcPr>
          <w:p w:rsidR="00E855A2" w:rsidRDefault="00E907AD">
            <w:pPr>
              <w:jc w:val="both"/>
            </w:pPr>
            <w:r>
              <w:t>DESCRIÇÃO</w:t>
            </w:r>
          </w:p>
        </w:tc>
      </w:tr>
      <w:tr w:rsidR="00E855A2">
        <w:trPr>
          <w:trHeight w:val="250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Finalidade</w:t>
            </w:r>
          </w:p>
        </w:tc>
        <w:tc>
          <w:tcPr>
            <w:tcW w:w="5558" w:type="dxa"/>
          </w:tcPr>
          <w:p w:rsidR="00E855A2" w:rsidRDefault="00E907AD">
            <w:pPr>
              <w:jc w:val="both"/>
            </w:pPr>
            <w:r>
              <w:t>Garantir o nível de qualidade global na prestação do serviço.</w:t>
            </w:r>
          </w:p>
        </w:tc>
      </w:tr>
      <w:tr w:rsidR="00E855A2">
        <w:trPr>
          <w:trHeight w:val="200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Meta a cumprir</w:t>
            </w:r>
          </w:p>
        </w:tc>
        <w:tc>
          <w:tcPr>
            <w:tcW w:w="5558" w:type="dxa"/>
          </w:tcPr>
          <w:p w:rsidR="00E855A2" w:rsidRDefault="00E907AD">
            <w:pPr>
              <w:jc w:val="both"/>
            </w:pPr>
            <w:r>
              <w:t>Garantir a excelência no serviço prestado.</w:t>
            </w:r>
          </w:p>
        </w:tc>
      </w:tr>
      <w:tr w:rsidR="00E855A2">
        <w:trPr>
          <w:trHeight w:val="184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Instrumento de medição</w:t>
            </w:r>
          </w:p>
        </w:tc>
        <w:tc>
          <w:tcPr>
            <w:tcW w:w="5558" w:type="dxa"/>
          </w:tcPr>
          <w:p w:rsidR="00E855A2" w:rsidRDefault="00E907AD">
            <w:pPr>
              <w:jc w:val="both"/>
            </w:pPr>
            <w:r>
              <w:t>Pesquisa de satisfação por meio de formulário eletrônico ou ferramenta similar.</w:t>
            </w:r>
          </w:p>
        </w:tc>
      </w:tr>
      <w:tr w:rsidR="00E855A2">
        <w:trPr>
          <w:trHeight w:val="263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Forma de Acompanhamento</w:t>
            </w:r>
          </w:p>
        </w:tc>
        <w:tc>
          <w:tcPr>
            <w:tcW w:w="5558" w:type="dxa"/>
          </w:tcPr>
          <w:p w:rsidR="00E855A2" w:rsidRDefault="00E907AD">
            <w:pPr>
              <w:jc w:val="both"/>
            </w:pPr>
            <w:r>
              <w:t>Aplicação mensal de pesquisa de satisfação com o público usuário.</w:t>
            </w:r>
          </w:p>
        </w:tc>
      </w:tr>
      <w:tr w:rsidR="00E855A2">
        <w:trPr>
          <w:trHeight w:val="175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Periodicidade</w:t>
            </w:r>
          </w:p>
        </w:tc>
        <w:tc>
          <w:tcPr>
            <w:tcW w:w="5558" w:type="dxa"/>
          </w:tcPr>
          <w:p w:rsidR="00E855A2" w:rsidRDefault="00E907AD">
            <w:pPr>
              <w:jc w:val="both"/>
            </w:pPr>
            <w:r>
              <w:t>Mensal.</w:t>
            </w:r>
          </w:p>
        </w:tc>
      </w:tr>
      <w:tr w:rsidR="00E855A2">
        <w:trPr>
          <w:trHeight w:val="213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Mecanismo de Cálculo</w:t>
            </w:r>
          </w:p>
        </w:tc>
        <w:tc>
          <w:tcPr>
            <w:tcW w:w="5558" w:type="dxa"/>
          </w:tcPr>
          <w:p w:rsidR="00E855A2" w:rsidRDefault="00E907AD">
            <w:pPr>
              <w:jc w:val="both"/>
            </w:pPr>
            <w:r>
              <w:t>Descrita na Planilha de Avaliação da Qualidade dos Serviços prestados.</w:t>
            </w:r>
          </w:p>
        </w:tc>
      </w:tr>
      <w:tr w:rsidR="00E855A2">
        <w:trPr>
          <w:trHeight w:val="275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Início de Vigência</w:t>
            </w:r>
          </w:p>
        </w:tc>
        <w:tc>
          <w:tcPr>
            <w:tcW w:w="5558" w:type="dxa"/>
          </w:tcPr>
          <w:p w:rsidR="00E855A2" w:rsidRDefault="00E907AD">
            <w:pPr>
              <w:jc w:val="both"/>
            </w:pPr>
            <w:r>
              <w:t>A partir do início da prestação do serviço</w:t>
            </w:r>
          </w:p>
        </w:tc>
      </w:tr>
      <w:tr w:rsidR="00E855A2">
        <w:trPr>
          <w:trHeight w:val="288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Faixas de ajuste no pagamento</w:t>
            </w:r>
          </w:p>
        </w:tc>
        <w:tc>
          <w:tcPr>
            <w:tcW w:w="5558" w:type="dxa"/>
          </w:tcPr>
          <w:p w:rsidR="00E855A2" w:rsidRDefault="00E907AD">
            <w:pPr>
              <w:jc w:val="both"/>
            </w:pPr>
            <w:r>
              <w:t>De 0 a 70 pontos conforme resultados da pesquisa.</w:t>
            </w:r>
          </w:p>
        </w:tc>
      </w:tr>
      <w:tr w:rsidR="00E855A2">
        <w:trPr>
          <w:trHeight w:val="388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Sanções</w:t>
            </w:r>
          </w:p>
        </w:tc>
        <w:tc>
          <w:tcPr>
            <w:tcW w:w="5558" w:type="dxa"/>
          </w:tcPr>
          <w:p w:rsidR="00E855A2" w:rsidRDefault="00E855A2">
            <w:pPr>
              <w:jc w:val="both"/>
              <w:rPr>
                <w:b/>
                <w:highlight w:val="yellow"/>
              </w:rPr>
            </w:pPr>
          </w:p>
        </w:tc>
      </w:tr>
      <w:tr w:rsidR="00E855A2">
        <w:trPr>
          <w:trHeight w:val="438"/>
        </w:trPr>
        <w:tc>
          <w:tcPr>
            <w:tcW w:w="3086" w:type="dxa"/>
          </w:tcPr>
          <w:p w:rsidR="00E855A2" w:rsidRDefault="00E907AD">
            <w:pPr>
              <w:jc w:val="both"/>
            </w:pPr>
            <w:r>
              <w:t>Observações</w:t>
            </w:r>
          </w:p>
        </w:tc>
        <w:tc>
          <w:tcPr>
            <w:tcW w:w="5558" w:type="dxa"/>
          </w:tcPr>
          <w:p w:rsidR="00E855A2" w:rsidRDefault="00E907AD">
            <w:pPr>
              <w:jc w:val="both"/>
            </w:pPr>
            <w:r>
              <w:t>Quesitos avaliados na pesquisa encontram-se no formulário abaixo.</w:t>
            </w:r>
          </w:p>
        </w:tc>
      </w:tr>
    </w:tbl>
    <w:p w:rsidR="00E855A2" w:rsidRDefault="00E855A2">
      <w:pPr>
        <w:jc w:val="both"/>
      </w:pPr>
    </w:p>
    <w:tbl>
      <w:tblPr>
        <w:tblStyle w:val="a1"/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4134"/>
        <w:gridCol w:w="470"/>
        <w:gridCol w:w="712"/>
        <w:gridCol w:w="617"/>
        <w:gridCol w:w="603"/>
        <w:gridCol w:w="510"/>
      </w:tblGrid>
      <w:tr w:rsidR="00E855A2">
        <w:trPr>
          <w:gridAfter w:val="5"/>
          <w:wAfter w:w="2912" w:type="dxa"/>
          <w:trHeight w:val="288"/>
        </w:trPr>
        <w:tc>
          <w:tcPr>
            <w:tcW w:w="5732" w:type="dxa"/>
            <w:gridSpan w:val="2"/>
          </w:tcPr>
          <w:p w:rsidR="00E855A2" w:rsidRDefault="00E907AD">
            <w:pPr>
              <w:spacing w:line="360" w:lineRule="auto"/>
              <w:jc w:val="both"/>
              <w:rPr>
                <w:i/>
                <w:smallCaps/>
              </w:rPr>
            </w:pPr>
            <w:r>
              <w:rPr>
                <w:i/>
                <w:smallCaps/>
              </w:rPr>
              <w:t>PLANILHA DE AVALIAÇÃO DA QUALIDADE DOS SERVIÇOS PRESTADOS</w:t>
            </w:r>
          </w:p>
        </w:tc>
      </w:tr>
      <w:tr w:rsidR="00E855A2">
        <w:trPr>
          <w:gridAfter w:val="5"/>
          <w:wAfter w:w="2912" w:type="dxa"/>
          <w:trHeight w:val="313"/>
        </w:trPr>
        <w:tc>
          <w:tcPr>
            <w:tcW w:w="5732" w:type="dxa"/>
            <w:gridSpan w:val="2"/>
          </w:tcPr>
          <w:p w:rsidR="00E855A2" w:rsidRDefault="00E907AD">
            <w:pPr>
              <w:jc w:val="both"/>
            </w:pPr>
            <w:r>
              <w:t>ÓRGÃO/UNIDADE:</w:t>
            </w:r>
          </w:p>
        </w:tc>
      </w:tr>
      <w:tr w:rsidR="00E855A2">
        <w:trPr>
          <w:gridAfter w:val="5"/>
          <w:wAfter w:w="2912" w:type="dxa"/>
          <w:trHeight w:val="153"/>
        </w:trPr>
        <w:tc>
          <w:tcPr>
            <w:tcW w:w="5732" w:type="dxa"/>
            <w:gridSpan w:val="2"/>
          </w:tcPr>
          <w:p w:rsidR="00E855A2" w:rsidRDefault="00E907AD">
            <w:pPr>
              <w:spacing w:line="360" w:lineRule="auto"/>
              <w:jc w:val="both"/>
              <w:rPr>
                <w:smallCaps/>
              </w:rPr>
            </w:pPr>
            <w:r>
              <w:rPr>
                <w:smallCaps/>
              </w:rPr>
              <w:t>Nº CONTRATO:</w:t>
            </w:r>
          </w:p>
        </w:tc>
      </w:tr>
      <w:tr w:rsidR="00E855A2">
        <w:trPr>
          <w:gridAfter w:val="5"/>
          <w:wAfter w:w="2912" w:type="dxa"/>
          <w:trHeight w:val="187"/>
        </w:trPr>
        <w:tc>
          <w:tcPr>
            <w:tcW w:w="5732" w:type="dxa"/>
            <w:gridSpan w:val="2"/>
          </w:tcPr>
          <w:p w:rsidR="00E855A2" w:rsidRDefault="00E907AD">
            <w:pPr>
              <w:spacing w:line="360" w:lineRule="auto"/>
              <w:jc w:val="both"/>
              <w:rPr>
                <w:smallCaps/>
              </w:rPr>
            </w:pPr>
            <w:r>
              <w:rPr>
                <w:smallCaps/>
              </w:rPr>
              <w:t>GESTOR / RESPONSÁVEL:</w:t>
            </w:r>
          </w:p>
        </w:tc>
      </w:tr>
      <w:tr w:rsidR="00E855A2">
        <w:trPr>
          <w:gridAfter w:val="5"/>
          <w:wAfter w:w="2912" w:type="dxa"/>
          <w:trHeight w:val="179"/>
        </w:trPr>
        <w:tc>
          <w:tcPr>
            <w:tcW w:w="1598" w:type="dxa"/>
          </w:tcPr>
          <w:p w:rsidR="00E855A2" w:rsidRDefault="00E907AD">
            <w:pPr>
              <w:spacing w:line="360" w:lineRule="auto"/>
              <w:jc w:val="both"/>
              <w:rPr>
                <w:smallCaps/>
              </w:rPr>
            </w:pPr>
            <w:r>
              <w:rPr>
                <w:smallCaps/>
              </w:rPr>
              <w:t>CONTRATADA:</w:t>
            </w:r>
          </w:p>
        </w:tc>
        <w:tc>
          <w:tcPr>
            <w:tcW w:w="4134" w:type="dxa"/>
          </w:tcPr>
          <w:p w:rsidR="00E855A2" w:rsidRDefault="00E907AD">
            <w:pPr>
              <w:spacing w:line="360" w:lineRule="auto"/>
              <w:jc w:val="both"/>
              <w:rPr>
                <w:smallCaps/>
              </w:rPr>
            </w:pPr>
            <w:r>
              <w:rPr>
                <w:smallCaps/>
              </w:rPr>
              <w:t>MÊS DE REFERÊNCIA:</w:t>
            </w:r>
          </w:p>
        </w:tc>
      </w:tr>
      <w:tr w:rsidR="00E855A2">
        <w:trPr>
          <w:trHeight w:val="375"/>
        </w:trPr>
        <w:tc>
          <w:tcPr>
            <w:tcW w:w="8644" w:type="dxa"/>
            <w:gridSpan w:val="7"/>
          </w:tcPr>
          <w:p w:rsidR="00E855A2" w:rsidRDefault="00E907AD">
            <w:pPr>
              <w:spacing w:line="360" w:lineRule="auto"/>
              <w:jc w:val="both"/>
              <w:rPr>
                <w:smallCaps/>
              </w:rPr>
            </w:pPr>
            <w:r>
              <w:rPr>
                <w:smallCaps/>
              </w:rPr>
              <w:t>LEGENDA DO GRAU DE SATISFAÇÃO:</w:t>
            </w:r>
          </w:p>
          <w:p w:rsidR="00E855A2" w:rsidRDefault="00E907AD">
            <w:pPr>
              <w:spacing w:line="360" w:lineRule="auto"/>
              <w:jc w:val="both"/>
              <w:rPr>
                <w:smallCaps/>
              </w:rPr>
            </w:pPr>
            <w:r>
              <w:rPr>
                <w:b/>
                <w:smallCaps/>
              </w:rPr>
              <w:t>O</w:t>
            </w:r>
            <w:r>
              <w:rPr>
                <w:smallCaps/>
              </w:rPr>
              <w:t xml:space="preserve"> = OTIMO  </w:t>
            </w:r>
            <w:r>
              <w:rPr>
                <w:b/>
                <w:smallCaps/>
              </w:rPr>
              <w:t>B</w:t>
            </w:r>
            <w:r>
              <w:rPr>
                <w:smallCaps/>
              </w:rPr>
              <w:t xml:space="preserve"> = BOM  </w:t>
            </w:r>
            <w:r>
              <w:rPr>
                <w:b/>
                <w:smallCaps/>
              </w:rPr>
              <w:t>R</w:t>
            </w:r>
            <w:r>
              <w:rPr>
                <w:smallCaps/>
              </w:rPr>
              <w:t xml:space="preserve"> = REGULAR  </w:t>
            </w:r>
            <w:r>
              <w:rPr>
                <w:b/>
                <w:smallCaps/>
              </w:rPr>
              <w:t>I</w:t>
            </w:r>
            <w:r>
              <w:rPr>
                <w:smallCaps/>
              </w:rPr>
              <w:t xml:space="preserve"> = INSATISFATÓRIO  </w:t>
            </w:r>
            <w:r>
              <w:rPr>
                <w:b/>
                <w:smallCaps/>
              </w:rPr>
              <w:t>N</w:t>
            </w:r>
            <w:r>
              <w:rPr>
                <w:smallCaps/>
              </w:rPr>
              <w:t xml:space="preserve"> = NÃO SE APLICA/NÃO SEI RESPONDER </w:t>
            </w:r>
          </w:p>
        </w:tc>
      </w:tr>
      <w:tr w:rsidR="00E855A2">
        <w:trPr>
          <w:trHeight w:val="426"/>
        </w:trPr>
        <w:tc>
          <w:tcPr>
            <w:tcW w:w="1598" w:type="dxa"/>
          </w:tcPr>
          <w:p w:rsidR="00E855A2" w:rsidRDefault="00E907AD">
            <w:pPr>
              <w:jc w:val="both"/>
            </w:pPr>
            <w:r>
              <w:t>Descrição</w:t>
            </w:r>
          </w:p>
        </w:tc>
        <w:tc>
          <w:tcPr>
            <w:tcW w:w="4134" w:type="dxa"/>
          </w:tcPr>
          <w:p w:rsidR="00E855A2" w:rsidRDefault="00E907AD">
            <w:pPr>
              <w:jc w:val="both"/>
            </w:pPr>
            <w:r>
              <w:t>Serviços/Procedimentos/Especificações</w:t>
            </w:r>
          </w:p>
        </w:tc>
        <w:tc>
          <w:tcPr>
            <w:tcW w:w="2912" w:type="dxa"/>
            <w:gridSpan w:val="5"/>
          </w:tcPr>
          <w:p w:rsidR="00E855A2" w:rsidRDefault="00E907AD">
            <w:pPr>
              <w:jc w:val="both"/>
            </w:pPr>
            <w:r>
              <w:t>Grau de satisfação</w:t>
            </w:r>
          </w:p>
        </w:tc>
      </w:tr>
      <w:tr w:rsidR="00E855A2">
        <w:trPr>
          <w:trHeight w:val="437"/>
        </w:trPr>
        <w:tc>
          <w:tcPr>
            <w:tcW w:w="1598" w:type="dxa"/>
            <w:vMerge w:val="restart"/>
            <w:vAlign w:val="center"/>
          </w:tcPr>
          <w:p w:rsidR="00E855A2" w:rsidRDefault="00E907AD">
            <w:pPr>
              <w:spacing w:line="360" w:lineRule="auto"/>
              <w:jc w:val="center"/>
            </w:pPr>
            <w:r>
              <w:lastRenderedPageBreak/>
              <w:t>Rotina Geral</w:t>
            </w:r>
          </w:p>
        </w:tc>
        <w:tc>
          <w:tcPr>
            <w:tcW w:w="4134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Cortesia, educação, prestatividade, proatividade e agilidade no atendimento ao público usuário.</w:t>
            </w:r>
          </w:p>
        </w:tc>
        <w:tc>
          <w:tcPr>
            <w:tcW w:w="2912" w:type="dxa"/>
            <w:gridSpan w:val="5"/>
          </w:tcPr>
          <w:p w:rsidR="00E855A2" w:rsidRDefault="00E855A2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E855A2">
        <w:trPr>
          <w:trHeight w:val="463"/>
        </w:trPr>
        <w:tc>
          <w:tcPr>
            <w:tcW w:w="1598" w:type="dxa"/>
            <w:vMerge/>
            <w:vAlign w:val="center"/>
          </w:tcPr>
          <w:p w:rsidR="00E855A2" w:rsidRDefault="00E8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u w:val="single"/>
              </w:rPr>
            </w:pPr>
          </w:p>
        </w:tc>
        <w:tc>
          <w:tcPr>
            <w:tcW w:w="4134" w:type="dxa"/>
          </w:tcPr>
          <w:p w:rsidR="00E855A2" w:rsidRDefault="00E907AD">
            <w:pPr>
              <w:jc w:val="both"/>
            </w:pPr>
            <w:r>
              <w:t>Zelo pela higiene do alimento preparado, adoção de medidas de Boas Práticas na produção e distribuição dos itens da lanchonete e refeições.</w:t>
            </w:r>
          </w:p>
        </w:tc>
        <w:tc>
          <w:tcPr>
            <w:tcW w:w="2912" w:type="dxa"/>
            <w:gridSpan w:val="5"/>
          </w:tcPr>
          <w:p w:rsidR="00E855A2" w:rsidRDefault="00E855A2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E855A2">
        <w:trPr>
          <w:trHeight w:val="551"/>
        </w:trPr>
        <w:tc>
          <w:tcPr>
            <w:tcW w:w="1598" w:type="dxa"/>
            <w:vMerge/>
            <w:vAlign w:val="center"/>
          </w:tcPr>
          <w:p w:rsidR="00E855A2" w:rsidRDefault="00E8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u w:val="single"/>
              </w:rPr>
            </w:pPr>
          </w:p>
        </w:tc>
        <w:tc>
          <w:tcPr>
            <w:tcW w:w="4134" w:type="dxa"/>
          </w:tcPr>
          <w:p w:rsidR="00E855A2" w:rsidRDefault="00E907AD">
            <w:pPr>
              <w:jc w:val="both"/>
            </w:pPr>
            <w:r>
              <w:t>Condições de higiene das áreas utilizadas pela Contratada, louças e talheres e demais utensílios utilizados.</w:t>
            </w:r>
          </w:p>
        </w:tc>
        <w:tc>
          <w:tcPr>
            <w:tcW w:w="2912" w:type="dxa"/>
            <w:gridSpan w:val="5"/>
          </w:tcPr>
          <w:p w:rsidR="00E855A2" w:rsidRDefault="00E855A2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E855A2">
        <w:trPr>
          <w:trHeight w:val="525"/>
        </w:trPr>
        <w:tc>
          <w:tcPr>
            <w:tcW w:w="1598" w:type="dxa"/>
            <w:vMerge/>
            <w:vAlign w:val="center"/>
          </w:tcPr>
          <w:p w:rsidR="00E855A2" w:rsidRDefault="00E8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u w:val="single"/>
              </w:rPr>
            </w:pPr>
          </w:p>
        </w:tc>
        <w:tc>
          <w:tcPr>
            <w:tcW w:w="4134" w:type="dxa"/>
          </w:tcPr>
          <w:p w:rsidR="00E855A2" w:rsidRDefault="00E907AD">
            <w:pPr>
              <w:jc w:val="both"/>
            </w:pPr>
            <w:r>
              <w:t>Pontualidade na prestação do serviço, respeitando os horários estabelecidos, quantitativo necessário de lanches/refeições e organização dos alunos, quando necessário.</w:t>
            </w:r>
          </w:p>
        </w:tc>
        <w:tc>
          <w:tcPr>
            <w:tcW w:w="2912" w:type="dxa"/>
            <w:gridSpan w:val="5"/>
          </w:tcPr>
          <w:p w:rsidR="00E855A2" w:rsidRDefault="00E855A2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E855A2">
        <w:trPr>
          <w:trHeight w:val="488"/>
        </w:trPr>
        <w:tc>
          <w:tcPr>
            <w:tcW w:w="1598" w:type="dxa"/>
            <w:vMerge/>
            <w:vAlign w:val="center"/>
          </w:tcPr>
          <w:p w:rsidR="00E855A2" w:rsidRDefault="00E8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u w:val="single"/>
              </w:rPr>
            </w:pPr>
          </w:p>
        </w:tc>
        <w:tc>
          <w:tcPr>
            <w:tcW w:w="4134" w:type="dxa"/>
          </w:tcPr>
          <w:p w:rsidR="00E855A2" w:rsidRDefault="00E907AD">
            <w:pPr>
              <w:jc w:val="both"/>
            </w:pPr>
            <w:r>
              <w:t>Cumprimento do cardápio previsto, qualidade e apresentação dos alimentos servidos.</w:t>
            </w:r>
          </w:p>
        </w:tc>
        <w:tc>
          <w:tcPr>
            <w:tcW w:w="2912" w:type="dxa"/>
            <w:gridSpan w:val="5"/>
          </w:tcPr>
          <w:p w:rsidR="00E855A2" w:rsidRDefault="00E855A2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E855A2">
        <w:trPr>
          <w:trHeight w:val="375"/>
        </w:trPr>
        <w:tc>
          <w:tcPr>
            <w:tcW w:w="8644" w:type="dxa"/>
            <w:gridSpan w:val="7"/>
          </w:tcPr>
          <w:p w:rsidR="00E855A2" w:rsidRDefault="00E907AD">
            <w:pPr>
              <w:jc w:val="both"/>
            </w:pPr>
            <w:r>
              <w:t>Deixe aqui seu comentário ou observação para melhorar a qualidade dos serviços prestados ou queira esclarecer sua avaliação.</w:t>
            </w:r>
          </w:p>
          <w:p w:rsidR="00E855A2" w:rsidRDefault="00E855A2">
            <w:pPr>
              <w:jc w:val="both"/>
            </w:pPr>
          </w:p>
          <w:p w:rsidR="00E855A2" w:rsidRDefault="00E855A2">
            <w:pPr>
              <w:jc w:val="both"/>
            </w:pPr>
          </w:p>
          <w:p w:rsidR="00E855A2" w:rsidRDefault="00E855A2">
            <w:pPr>
              <w:jc w:val="both"/>
            </w:pPr>
          </w:p>
        </w:tc>
      </w:tr>
      <w:tr w:rsidR="00E855A2">
        <w:trPr>
          <w:trHeight w:val="314"/>
        </w:trPr>
        <w:tc>
          <w:tcPr>
            <w:tcW w:w="6202" w:type="dxa"/>
            <w:gridSpan w:val="3"/>
            <w:vMerge w:val="restart"/>
          </w:tcPr>
          <w:p w:rsidR="00E855A2" w:rsidRDefault="00E907AD">
            <w:pPr>
              <w:jc w:val="both"/>
            </w:pPr>
            <w:r>
              <w:t>A – Número de quesitos pontuados, por grau de satisfação</w:t>
            </w:r>
          </w:p>
          <w:p w:rsidR="00E855A2" w:rsidRDefault="00E855A2">
            <w:pPr>
              <w:jc w:val="both"/>
            </w:pPr>
          </w:p>
          <w:p w:rsidR="00E855A2" w:rsidRDefault="00E855A2">
            <w:pPr>
              <w:jc w:val="both"/>
            </w:pPr>
          </w:p>
        </w:tc>
        <w:tc>
          <w:tcPr>
            <w:tcW w:w="712" w:type="dxa"/>
          </w:tcPr>
          <w:p w:rsidR="00E855A2" w:rsidRDefault="00E907AD">
            <w:pPr>
              <w:jc w:val="both"/>
            </w:pPr>
            <w:r>
              <w:t>O</w:t>
            </w:r>
          </w:p>
        </w:tc>
        <w:tc>
          <w:tcPr>
            <w:tcW w:w="617" w:type="dxa"/>
          </w:tcPr>
          <w:p w:rsidR="00E855A2" w:rsidRDefault="00E907AD">
            <w:pPr>
              <w:jc w:val="both"/>
            </w:pPr>
            <w:r>
              <w:t>B</w:t>
            </w:r>
          </w:p>
        </w:tc>
        <w:tc>
          <w:tcPr>
            <w:tcW w:w="603" w:type="dxa"/>
          </w:tcPr>
          <w:p w:rsidR="00E855A2" w:rsidRDefault="00E907AD">
            <w:pPr>
              <w:jc w:val="both"/>
            </w:pPr>
            <w:r>
              <w:t>R</w:t>
            </w:r>
          </w:p>
        </w:tc>
        <w:tc>
          <w:tcPr>
            <w:tcW w:w="510" w:type="dxa"/>
          </w:tcPr>
          <w:p w:rsidR="00E855A2" w:rsidRDefault="00E907AD">
            <w:pPr>
              <w:jc w:val="both"/>
            </w:pPr>
            <w:r>
              <w:t>I</w:t>
            </w:r>
          </w:p>
        </w:tc>
      </w:tr>
      <w:tr w:rsidR="00E855A2">
        <w:trPr>
          <w:trHeight w:val="363"/>
        </w:trPr>
        <w:tc>
          <w:tcPr>
            <w:tcW w:w="6202" w:type="dxa"/>
            <w:gridSpan w:val="3"/>
            <w:vMerge/>
          </w:tcPr>
          <w:p w:rsidR="00E855A2" w:rsidRDefault="00E8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2" w:type="dxa"/>
          </w:tcPr>
          <w:p w:rsidR="00E855A2" w:rsidRDefault="00E855A2">
            <w:pPr>
              <w:jc w:val="both"/>
            </w:pPr>
          </w:p>
        </w:tc>
        <w:tc>
          <w:tcPr>
            <w:tcW w:w="617" w:type="dxa"/>
          </w:tcPr>
          <w:p w:rsidR="00E855A2" w:rsidRDefault="00E855A2">
            <w:pPr>
              <w:jc w:val="both"/>
            </w:pPr>
          </w:p>
        </w:tc>
        <w:tc>
          <w:tcPr>
            <w:tcW w:w="603" w:type="dxa"/>
          </w:tcPr>
          <w:p w:rsidR="00E855A2" w:rsidRDefault="00E855A2">
            <w:pPr>
              <w:jc w:val="both"/>
            </w:pPr>
          </w:p>
        </w:tc>
        <w:tc>
          <w:tcPr>
            <w:tcW w:w="510" w:type="dxa"/>
          </w:tcPr>
          <w:p w:rsidR="00E855A2" w:rsidRDefault="00E855A2">
            <w:pPr>
              <w:jc w:val="both"/>
            </w:pPr>
          </w:p>
        </w:tc>
      </w:tr>
      <w:tr w:rsidR="00E855A2">
        <w:trPr>
          <w:trHeight w:val="425"/>
        </w:trPr>
        <w:tc>
          <w:tcPr>
            <w:tcW w:w="6202" w:type="dxa"/>
            <w:gridSpan w:val="3"/>
          </w:tcPr>
          <w:p w:rsidR="00E855A2" w:rsidRDefault="00E907AD">
            <w:pPr>
              <w:jc w:val="both"/>
            </w:pPr>
            <w:r>
              <w:t xml:space="preserve">B – Total de quesitos avaliados </w:t>
            </w:r>
          </w:p>
          <w:p w:rsidR="00E855A2" w:rsidRDefault="00E907AD">
            <w:pPr>
              <w:jc w:val="both"/>
            </w:pPr>
            <w:r>
              <w:t>(excluindo-se os N – Não se aplica/Não sei responder)</w:t>
            </w:r>
          </w:p>
        </w:tc>
        <w:tc>
          <w:tcPr>
            <w:tcW w:w="2442" w:type="dxa"/>
            <w:gridSpan w:val="4"/>
          </w:tcPr>
          <w:p w:rsidR="00E855A2" w:rsidRDefault="00E855A2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E855A2">
        <w:trPr>
          <w:trHeight w:val="313"/>
        </w:trPr>
        <w:tc>
          <w:tcPr>
            <w:tcW w:w="6202" w:type="dxa"/>
            <w:gridSpan w:val="3"/>
          </w:tcPr>
          <w:p w:rsidR="00E855A2" w:rsidRDefault="00E907AD">
            <w:pPr>
              <w:jc w:val="both"/>
            </w:pPr>
            <w:r>
              <w:t>C - Índice de Avaliação, por quesito (*)</w:t>
            </w:r>
          </w:p>
        </w:tc>
        <w:tc>
          <w:tcPr>
            <w:tcW w:w="712" w:type="dxa"/>
          </w:tcPr>
          <w:p w:rsidR="00E855A2" w:rsidRDefault="00E907AD">
            <w:pPr>
              <w:jc w:val="both"/>
            </w:pPr>
            <w:r>
              <w:t>O</w:t>
            </w:r>
          </w:p>
        </w:tc>
        <w:tc>
          <w:tcPr>
            <w:tcW w:w="617" w:type="dxa"/>
          </w:tcPr>
          <w:p w:rsidR="00E855A2" w:rsidRDefault="00E907AD">
            <w:pPr>
              <w:jc w:val="both"/>
            </w:pPr>
            <w:r>
              <w:t>B</w:t>
            </w:r>
          </w:p>
        </w:tc>
        <w:tc>
          <w:tcPr>
            <w:tcW w:w="603" w:type="dxa"/>
          </w:tcPr>
          <w:p w:rsidR="00E855A2" w:rsidRDefault="00E907AD">
            <w:pPr>
              <w:jc w:val="both"/>
            </w:pPr>
            <w:r>
              <w:t>R</w:t>
            </w:r>
          </w:p>
        </w:tc>
        <w:tc>
          <w:tcPr>
            <w:tcW w:w="510" w:type="dxa"/>
          </w:tcPr>
          <w:p w:rsidR="00E855A2" w:rsidRDefault="00E907AD">
            <w:pPr>
              <w:jc w:val="both"/>
            </w:pPr>
            <w:r>
              <w:t>I</w:t>
            </w:r>
          </w:p>
        </w:tc>
      </w:tr>
      <w:tr w:rsidR="00E855A2">
        <w:trPr>
          <w:trHeight w:val="153"/>
        </w:trPr>
        <w:tc>
          <w:tcPr>
            <w:tcW w:w="6202" w:type="dxa"/>
            <w:gridSpan w:val="3"/>
          </w:tcPr>
          <w:p w:rsidR="00E855A2" w:rsidRDefault="00E855A2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  <w:tc>
          <w:tcPr>
            <w:tcW w:w="712" w:type="dxa"/>
          </w:tcPr>
          <w:p w:rsidR="00E855A2" w:rsidRDefault="00E855A2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  <w:tc>
          <w:tcPr>
            <w:tcW w:w="617" w:type="dxa"/>
          </w:tcPr>
          <w:p w:rsidR="00E855A2" w:rsidRDefault="00E855A2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  <w:tc>
          <w:tcPr>
            <w:tcW w:w="603" w:type="dxa"/>
          </w:tcPr>
          <w:p w:rsidR="00E855A2" w:rsidRDefault="00E855A2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  <w:tc>
          <w:tcPr>
            <w:tcW w:w="510" w:type="dxa"/>
          </w:tcPr>
          <w:p w:rsidR="00E855A2" w:rsidRDefault="00E855A2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E855A2">
        <w:trPr>
          <w:trHeight w:val="213"/>
        </w:trPr>
        <w:tc>
          <w:tcPr>
            <w:tcW w:w="8644" w:type="dxa"/>
            <w:gridSpan w:val="7"/>
          </w:tcPr>
          <w:p w:rsidR="00E855A2" w:rsidRDefault="00E907AD">
            <w:pPr>
              <w:spacing w:line="360" w:lineRule="auto"/>
              <w:jc w:val="both"/>
              <w:rPr>
                <w:smallCaps/>
                <w:u w:val="single"/>
              </w:rPr>
            </w:pPr>
            <w:r>
              <w:t>(*) Dividir o número correspondente a cada grau de satisfação (O,B,R,I), pelo total de quesitos avaliados . [A/B]</w:t>
            </w:r>
          </w:p>
        </w:tc>
      </w:tr>
      <w:tr w:rsidR="00E855A2">
        <w:trPr>
          <w:trHeight w:val="225"/>
        </w:trPr>
        <w:tc>
          <w:tcPr>
            <w:tcW w:w="6202" w:type="dxa"/>
            <w:gridSpan w:val="3"/>
          </w:tcPr>
          <w:p w:rsidR="00E855A2" w:rsidRDefault="00E907AD">
            <w:pPr>
              <w:jc w:val="both"/>
            </w:pPr>
            <w:r>
              <w:t>D- Pontuação Total (**)</w:t>
            </w:r>
          </w:p>
        </w:tc>
        <w:tc>
          <w:tcPr>
            <w:tcW w:w="2442" w:type="dxa"/>
            <w:gridSpan w:val="4"/>
          </w:tcPr>
          <w:p w:rsidR="00E855A2" w:rsidRDefault="00E855A2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E855A2">
        <w:trPr>
          <w:trHeight w:val="858"/>
        </w:trPr>
        <w:tc>
          <w:tcPr>
            <w:tcW w:w="8644" w:type="dxa"/>
            <w:gridSpan w:val="7"/>
            <w:tcBorders>
              <w:bottom w:val="single" w:sz="4" w:space="0" w:color="000000"/>
            </w:tcBorders>
          </w:tcPr>
          <w:p w:rsidR="00E855A2" w:rsidRDefault="00E907AD">
            <w:pPr>
              <w:jc w:val="both"/>
            </w:pPr>
            <w:r>
              <w:t>(**) Somatório dos índices de avaliação (item C) para os graus e satisfação (Ótimo e Bom), multiplicados pela pontuação limite 70. [(O+B)x70]</w:t>
            </w:r>
          </w:p>
        </w:tc>
      </w:tr>
    </w:tbl>
    <w:p w:rsidR="00E855A2" w:rsidRDefault="00E855A2">
      <w:pPr>
        <w:jc w:val="both"/>
      </w:pPr>
      <w:bookmarkStart w:id="1" w:name="_gjdgxs" w:colFirst="0" w:colLast="0"/>
      <w:bookmarkEnd w:id="1"/>
    </w:p>
    <w:p w:rsidR="00E855A2" w:rsidRDefault="00E907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FAIXAS DE AJUSTE DE PAGAMENTO</w:t>
      </w:r>
    </w:p>
    <w:p w:rsidR="00E855A2" w:rsidRDefault="00E907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As pontuações de qualidade devem ser totalizadas para o mês de referência, conforme métodos apresentados nas tabelas acima.</w:t>
      </w:r>
    </w:p>
    <w:p w:rsidR="00E855A2" w:rsidRDefault="00E907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0"/>
        <w:jc w:val="both"/>
        <w:rPr>
          <w:color w:val="000000"/>
        </w:rPr>
      </w:pPr>
      <w:r>
        <w:rPr>
          <w:color w:val="000000"/>
        </w:rPr>
        <w:t>A aplicação dos critérios de averiguação da qualidade resultará em uma pontuação final no intervalo de 0 a 100 pontos, correspondente à soma das pontuações obtidas para cada indicador, conforme fórmula abaixo:</w:t>
      </w:r>
    </w:p>
    <w:tbl>
      <w:tblPr>
        <w:tblStyle w:val="a2"/>
        <w:tblW w:w="8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6"/>
        <w:gridCol w:w="5368"/>
      </w:tblGrid>
      <w:tr w:rsidR="00E855A2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5A2" w:rsidRDefault="00E907A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Pontuação total do serviço =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5A2" w:rsidRDefault="00E907A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Pontos “Indicado</w:t>
            </w:r>
            <w:r>
              <w:rPr>
                <w:color w:val="000000"/>
              </w:rPr>
              <w:t>r 1” + Pontos “Indicador 2”.</w:t>
            </w:r>
          </w:p>
        </w:tc>
      </w:tr>
    </w:tbl>
    <w:p w:rsidR="00E855A2" w:rsidRDefault="00E907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Os pagamentos devidos, relativos a cada mês de referência, devem ser ajustados pela pontuação total do serviço, conforme tabela e fórmula apresentadas abaixo:</w:t>
      </w:r>
    </w:p>
    <w:tbl>
      <w:tblPr>
        <w:tblStyle w:val="a3"/>
        <w:tblW w:w="8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3305"/>
        <w:gridCol w:w="2804"/>
      </w:tblGrid>
      <w:tr w:rsidR="00E855A2">
        <w:trPr>
          <w:trHeight w:val="401"/>
        </w:trPr>
        <w:tc>
          <w:tcPr>
            <w:tcW w:w="2466" w:type="dxa"/>
            <w:vAlign w:val="center"/>
          </w:tcPr>
          <w:p w:rsidR="00E855A2" w:rsidRDefault="00E907AD">
            <w:pPr>
              <w:spacing w:line="360" w:lineRule="auto"/>
              <w:jc w:val="center"/>
            </w:pPr>
            <w:r>
              <w:t>Faixas de pontuação de qualidade da ordem de serviço</w:t>
            </w:r>
          </w:p>
        </w:tc>
        <w:tc>
          <w:tcPr>
            <w:tcW w:w="3305" w:type="dxa"/>
            <w:vAlign w:val="center"/>
          </w:tcPr>
          <w:p w:rsidR="00E855A2" w:rsidRDefault="00E907AD">
            <w:pPr>
              <w:spacing w:line="360" w:lineRule="auto"/>
              <w:jc w:val="center"/>
            </w:pPr>
            <w:r>
              <w:t>Pagamento devido</w:t>
            </w:r>
          </w:p>
        </w:tc>
        <w:tc>
          <w:tcPr>
            <w:tcW w:w="2804" w:type="dxa"/>
            <w:vAlign w:val="center"/>
          </w:tcPr>
          <w:p w:rsidR="00E855A2" w:rsidRDefault="00E907AD">
            <w:pPr>
              <w:spacing w:line="360" w:lineRule="auto"/>
              <w:jc w:val="center"/>
            </w:pPr>
            <w:r>
              <w:t>Fator de ajuste de nível de serviço</w:t>
            </w:r>
          </w:p>
        </w:tc>
      </w:tr>
      <w:tr w:rsidR="00E855A2">
        <w:trPr>
          <w:trHeight w:val="512"/>
        </w:trPr>
        <w:tc>
          <w:tcPr>
            <w:tcW w:w="2466" w:type="dxa"/>
          </w:tcPr>
          <w:p w:rsidR="00E855A2" w:rsidRDefault="00E907AD">
            <w:pPr>
              <w:spacing w:line="360" w:lineRule="auto"/>
              <w:jc w:val="both"/>
            </w:pPr>
            <w:r>
              <w:t>De 80 a 100 pontos</w:t>
            </w:r>
          </w:p>
        </w:tc>
        <w:tc>
          <w:tcPr>
            <w:tcW w:w="3305" w:type="dxa"/>
          </w:tcPr>
          <w:p w:rsidR="00E855A2" w:rsidRDefault="00E907AD">
            <w:pPr>
              <w:spacing w:line="360" w:lineRule="auto"/>
              <w:jc w:val="both"/>
            </w:pPr>
            <w:r>
              <w:t>100% do valor previsto</w:t>
            </w:r>
          </w:p>
        </w:tc>
        <w:tc>
          <w:tcPr>
            <w:tcW w:w="2804" w:type="dxa"/>
          </w:tcPr>
          <w:p w:rsidR="00E855A2" w:rsidRDefault="00E907AD">
            <w:pPr>
              <w:spacing w:line="360" w:lineRule="auto"/>
              <w:jc w:val="both"/>
            </w:pPr>
            <w:r>
              <w:t>1,00</w:t>
            </w:r>
          </w:p>
        </w:tc>
      </w:tr>
      <w:tr w:rsidR="00E855A2">
        <w:trPr>
          <w:trHeight w:val="213"/>
        </w:trPr>
        <w:tc>
          <w:tcPr>
            <w:tcW w:w="2466" w:type="dxa"/>
          </w:tcPr>
          <w:p w:rsidR="00E855A2" w:rsidRDefault="00E907AD">
            <w:pPr>
              <w:spacing w:line="360" w:lineRule="auto"/>
              <w:jc w:val="both"/>
            </w:pPr>
            <w:r>
              <w:t>De 70 a 79 pontos</w:t>
            </w:r>
          </w:p>
        </w:tc>
        <w:tc>
          <w:tcPr>
            <w:tcW w:w="3305" w:type="dxa"/>
          </w:tcPr>
          <w:p w:rsidR="00E855A2" w:rsidRDefault="00E907AD">
            <w:pPr>
              <w:spacing w:line="360" w:lineRule="auto"/>
              <w:jc w:val="both"/>
            </w:pPr>
            <w:r>
              <w:t>97% do valor previsto</w:t>
            </w:r>
          </w:p>
        </w:tc>
        <w:tc>
          <w:tcPr>
            <w:tcW w:w="2804" w:type="dxa"/>
          </w:tcPr>
          <w:p w:rsidR="00E855A2" w:rsidRDefault="00E907AD">
            <w:pPr>
              <w:spacing w:line="360" w:lineRule="auto"/>
              <w:jc w:val="both"/>
            </w:pPr>
            <w:r>
              <w:t>0,97</w:t>
            </w:r>
          </w:p>
        </w:tc>
      </w:tr>
      <w:tr w:rsidR="00E855A2">
        <w:trPr>
          <w:trHeight w:val="137"/>
        </w:trPr>
        <w:tc>
          <w:tcPr>
            <w:tcW w:w="2466" w:type="dxa"/>
          </w:tcPr>
          <w:p w:rsidR="00E855A2" w:rsidRDefault="00E907AD">
            <w:pPr>
              <w:spacing w:line="360" w:lineRule="auto"/>
              <w:jc w:val="both"/>
            </w:pPr>
            <w:r>
              <w:t>De 60 a 69 pontos</w:t>
            </w:r>
          </w:p>
        </w:tc>
        <w:tc>
          <w:tcPr>
            <w:tcW w:w="3305" w:type="dxa"/>
          </w:tcPr>
          <w:p w:rsidR="00E855A2" w:rsidRDefault="00E907AD">
            <w:pPr>
              <w:spacing w:line="360" w:lineRule="auto"/>
              <w:jc w:val="both"/>
            </w:pPr>
            <w:r>
              <w:t>95% do valor previsto</w:t>
            </w:r>
          </w:p>
        </w:tc>
        <w:tc>
          <w:tcPr>
            <w:tcW w:w="2804" w:type="dxa"/>
          </w:tcPr>
          <w:p w:rsidR="00E855A2" w:rsidRDefault="00E907AD">
            <w:pPr>
              <w:spacing w:line="360" w:lineRule="auto"/>
              <w:jc w:val="both"/>
            </w:pPr>
            <w:r>
              <w:t>0,95</w:t>
            </w:r>
          </w:p>
        </w:tc>
      </w:tr>
      <w:tr w:rsidR="00E855A2">
        <w:trPr>
          <w:trHeight w:val="137"/>
        </w:trPr>
        <w:tc>
          <w:tcPr>
            <w:tcW w:w="2466" w:type="dxa"/>
          </w:tcPr>
          <w:p w:rsidR="00E855A2" w:rsidRDefault="00E907AD">
            <w:pPr>
              <w:spacing w:line="360" w:lineRule="auto"/>
              <w:jc w:val="both"/>
            </w:pPr>
            <w:r>
              <w:t>De 50 a 59 pontos</w:t>
            </w:r>
          </w:p>
        </w:tc>
        <w:tc>
          <w:tcPr>
            <w:tcW w:w="3305" w:type="dxa"/>
          </w:tcPr>
          <w:p w:rsidR="00E855A2" w:rsidRDefault="00E907AD">
            <w:pPr>
              <w:spacing w:line="360" w:lineRule="auto"/>
              <w:jc w:val="both"/>
            </w:pPr>
            <w:r>
              <w:t>93% do valor previsto</w:t>
            </w:r>
          </w:p>
        </w:tc>
        <w:tc>
          <w:tcPr>
            <w:tcW w:w="2804" w:type="dxa"/>
          </w:tcPr>
          <w:p w:rsidR="00E855A2" w:rsidRDefault="00E907AD">
            <w:pPr>
              <w:spacing w:line="360" w:lineRule="auto"/>
              <w:jc w:val="both"/>
            </w:pPr>
            <w:r>
              <w:t>0,93</w:t>
            </w:r>
          </w:p>
        </w:tc>
      </w:tr>
      <w:tr w:rsidR="00E855A2">
        <w:trPr>
          <w:trHeight w:val="138"/>
        </w:trPr>
        <w:tc>
          <w:tcPr>
            <w:tcW w:w="2466" w:type="dxa"/>
          </w:tcPr>
          <w:p w:rsidR="00E855A2" w:rsidRDefault="00E907AD">
            <w:pPr>
              <w:spacing w:line="360" w:lineRule="auto"/>
              <w:jc w:val="both"/>
            </w:pPr>
            <w:r>
              <w:t>De 40 a 49 pontos</w:t>
            </w:r>
          </w:p>
        </w:tc>
        <w:tc>
          <w:tcPr>
            <w:tcW w:w="3305" w:type="dxa"/>
          </w:tcPr>
          <w:p w:rsidR="00E855A2" w:rsidRDefault="00E907AD">
            <w:pPr>
              <w:spacing w:line="360" w:lineRule="auto"/>
              <w:jc w:val="both"/>
            </w:pPr>
            <w:r>
              <w:t>90% do valor previsto</w:t>
            </w:r>
          </w:p>
        </w:tc>
        <w:tc>
          <w:tcPr>
            <w:tcW w:w="2804" w:type="dxa"/>
          </w:tcPr>
          <w:p w:rsidR="00E855A2" w:rsidRDefault="00E907AD">
            <w:pPr>
              <w:spacing w:line="360" w:lineRule="auto"/>
              <w:jc w:val="both"/>
            </w:pPr>
            <w:r>
              <w:t>0,90</w:t>
            </w:r>
          </w:p>
        </w:tc>
      </w:tr>
      <w:tr w:rsidR="00E855A2">
        <w:trPr>
          <w:trHeight w:val="126"/>
        </w:trPr>
        <w:tc>
          <w:tcPr>
            <w:tcW w:w="2466" w:type="dxa"/>
          </w:tcPr>
          <w:p w:rsidR="00E855A2" w:rsidRDefault="00E907AD">
            <w:pPr>
              <w:spacing w:line="360" w:lineRule="auto"/>
              <w:jc w:val="both"/>
            </w:pPr>
            <w:r>
              <w:t>Abaixo de 40 pontos</w:t>
            </w:r>
          </w:p>
        </w:tc>
        <w:tc>
          <w:tcPr>
            <w:tcW w:w="3305" w:type="dxa"/>
          </w:tcPr>
          <w:p w:rsidR="00E855A2" w:rsidRDefault="00E907AD">
            <w:pPr>
              <w:spacing w:line="360" w:lineRule="auto"/>
              <w:jc w:val="both"/>
            </w:pPr>
            <w:r>
              <w:t>90% do valor previsto + multa</w:t>
            </w:r>
          </w:p>
        </w:tc>
        <w:tc>
          <w:tcPr>
            <w:tcW w:w="2804" w:type="dxa"/>
          </w:tcPr>
          <w:p w:rsidR="00E855A2" w:rsidRDefault="00E907AD">
            <w:pPr>
              <w:spacing w:line="360" w:lineRule="auto"/>
              <w:jc w:val="both"/>
            </w:pPr>
            <w:r>
              <w:t>0,90 + avaliar necessidade de aplicação de multa contratual</w:t>
            </w:r>
          </w:p>
        </w:tc>
      </w:tr>
      <w:tr w:rsidR="00E855A2">
        <w:trPr>
          <w:trHeight w:val="275"/>
        </w:trPr>
        <w:tc>
          <w:tcPr>
            <w:tcW w:w="8575" w:type="dxa"/>
            <w:gridSpan w:val="3"/>
          </w:tcPr>
          <w:p w:rsidR="00E855A2" w:rsidRDefault="00E907AD">
            <w:pPr>
              <w:spacing w:line="360" w:lineRule="auto"/>
              <w:jc w:val="both"/>
            </w:pPr>
            <w:r>
              <w:t>Valor devido por ordem de serviço = [(Valor mensal previsto) X (Fator de ajuste de nível de serviço)]</w:t>
            </w:r>
          </w:p>
        </w:tc>
      </w:tr>
    </w:tbl>
    <w:p w:rsidR="00E855A2" w:rsidRDefault="00E855A2">
      <w:pPr>
        <w:jc w:val="both"/>
      </w:pPr>
    </w:p>
    <w:p w:rsidR="00E855A2" w:rsidRDefault="00E907A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ab/>
        <w:t>A avaliação abaixo de 40 pontos por três vezes poderá ensejar a rescisão do contrato.</w:t>
      </w:r>
    </w:p>
    <w:p w:rsidR="00E855A2" w:rsidRDefault="00E855A2">
      <w:pPr>
        <w:jc w:val="both"/>
      </w:pPr>
    </w:p>
    <w:p w:rsidR="00E855A2" w:rsidRDefault="00E907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CHECK LIST PARA A AVALIAÇÃO DE NÍVEL DE SERVIÇOS</w:t>
      </w:r>
    </w:p>
    <w:p w:rsidR="00E855A2" w:rsidRDefault="00E855A2">
      <w:pPr>
        <w:tabs>
          <w:tab w:val="left" w:pos="990"/>
        </w:tabs>
        <w:jc w:val="both"/>
      </w:pPr>
    </w:p>
    <w:tbl>
      <w:tblPr>
        <w:tblStyle w:val="a4"/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2386"/>
        <w:gridCol w:w="1995"/>
        <w:gridCol w:w="2462"/>
      </w:tblGrid>
      <w:tr w:rsidR="00E855A2">
        <w:trPr>
          <w:trHeight w:val="125"/>
        </w:trPr>
        <w:tc>
          <w:tcPr>
            <w:tcW w:w="1801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Indicador</w:t>
            </w:r>
          </w:p>
        </w:tc>
        <w:tc>
          <w:tcPr>
            <w:tcW w:w="2386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 (Faixas de Pontuação)</w:t>
            </w:r>
          </w:p>
        </w:tc>
        <w:tc>
          <w:tcPr>
            <w:tcW w:w="1995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Pontos</w:t>
            </w:r>
          </w:p>
        </w:tc>
        <w:tc>
          <w:tcPr>
            <w:tcW w:w="2462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Avaliação</w:t>
            </w:r>
          </w:p>
        </w:tc>
      </w:tr>
      <w:tr w:rsidR="00E855A2">
        <w:trPr>
          <w:trHeight w:val="165"/>
        </w:trPr>
        <w:tc>
          <w:tcPr>
            <w:tcW w:w="1801" w:type="dxa"/>
            <w:vMerge w:val="restart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>1 – Tempo de resposta às solicitações da contratante</w:t>
            </w:r>
          </w:p>
        </w:tc>
        <w:tc>
          <w:tcPr>
            <w:tcW w:w="2386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>Sem atrasos</w:t>
            </w:r>
          </w:p>
        </w:tc>
        <w:tc>
          <w:tcPr>
            <w:tcW w:w="1995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62" w:type="dxa"/>
            <w:vMerge w:val="restart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855A2">
        <w:trPr>
          <w:trHeight w:val="225"/>
        </w:trPr>
        <w:tc>
          <w:tcPr>
            <w:tcW w:w="1801" w:type="dxa"/>
            <w:vMerge/>
          </w:tcPr>
          <w:p w:rsidR="00E855A2" w:rsidRDefault="00E8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86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>1 resposta com atraso</w:t>
            </w:r>
          </w:p>
        </w:tc>
        <w:tc>
          <w:tcPr>
            <w:tcW w:w="1995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62" w:type="dxa"/>
            <w:vMerge/>
          </w:tcPr>
          <w:p w:rsidR="00E855A2" w:rsidRDefault="00E8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855A2">
        <w:trPr>
          <w:trHeight w:val="212"/>
        </w:trPr>
        <w:tc>
          <w:tcPr>
            <w:tcW w:w="1801" w:type="dxa"/>
            <w:vMerge/>
          </w:tcPr>
          <w:p w:rsidR="00E855A2" w:rsidRDefault="00E8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86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>2 respostas com atraso</w:t>
            </w:r>
          </w:p>
        </w:tc>
        <w:tc>
          <w:tcPr>
            <w:tcW w:w="1995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62" w:type="dxa"/>
            <w:vMerge/>
          </w:tcPr>
          <w:p w:rsidR="00E855A2" w:rsidRDefault="00E8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855A2">
        <w:trPr>
          <w:trHeight w:val="213"/>
        </w:trPr>
        <w:tc>
          <w:tcPr>
            <w:tcW w:w="1801" w:type="dxa"/>
            <w:vMerge/>
          </w:tcPr>
          <w:p w:rsidR="00E855A2" w:rsidRDefault="00E8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86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>3 respostas com atraso</w:t>
            </w:r>
          </w:p>
        </w:tc>
        <w:tc>
          <w:tcPr>
            <w:tcW w:w="1995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62" w:type="dxa"/>
            <w:vMerge/>
          </w:tcPr>
          <w:p w:rsidR="00E855A2" w:rsidRDefault="00E8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855A2">
        <w:trPr>
          <w:trHeight w:val="237"/>
        </w:trPr>
        <w:tc>
          <w:tcPr>
            <w:tcW w:w="1801" w:type="dxa"/>
            <w:vMerge/>
          </w:tcPr>
          <w:p w:rsidR="00E855A2" w:rsidRDefault="00E8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86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>4 respostas com atraso</w:t>
            </w:r>
          </w:p>
        </w:tc>
        <w:tc>
          <w:tcPr>
            <w:tcW w:w="1995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62" w:type="dxa"/>
            <w:vMerge/>
          </w:tcPr>
          <w:p w:rsidR="00E855A2" w:rsidRDefault="00E8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855A2">
        <w:trPr>
          <w:trHeight w:val="263"/>
        </w:trPr>
        <w:tc>
          <w:tcPr>
            <w:tcW w:w="1801" w:type="dxa"/>
            <w:vMerge/>
          </w:tcPr>
          <w:p w:rsidR="00E855A2" w:rsidRDefault="00E8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86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>5 respostas com atraso ou mais</w:t>
            </w:r>
          </w:p>
        </w:tc>
        <w:tc>
          <w:tcPr>
            <w:tcW w:w="1995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62" w:type="dxa"/>
            <w:vMerge/>
          </w:tcPr>
          <w:p w:rsidR="00E855A2" w:rsidRDefault="00E8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855A2">
        <w:trPr>
          <w:trHeight w:val="237"/>
        </w:trPr>
        <w:tc>
          <w:tcPr>
            <w:tcW w:w="1801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>4 – Qualidade dos serviços prestados</w:t>
            </w:r>
          </w:p>
        </w:tc>
        <w:tc>
          <w:tcPr>
            <w:tcW w:w="2386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>Conforme resultados da pesquisa</w:t>
            </w:r>
          </w:p>
        </w:tc>
        <w:tc>
          <w:tcPr>
            <w:tcW w:w="1995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>0-70</w:t>
            </w:r>
          </w:p>
        </w:tc>
        <w:tc>
          <w:tcPr>
            <w:tcW w:w="2462" w:type="dxa"/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855A2">
        <w:trPr>
          <w:trHeight w:val="126"/>
        </w:trPr>
        <w:tc>
          <w:tcPr>
            <w:tcW w:w="6182" w:type="dxa"/>
            <w:gridSpan w:val="3"/>
            <w:tcBorders>
              <w:bottom w:val="single" w:sz="4" w:space="0" w:color="000000"/>
            </w:tcBorders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right"/>
              <w:rPr>
                <w:color w:val="000000"/>
              </w:rPr>
            </w:pPr>
            <w:r>
              <w:rPr>
                <w:color w:val="000000"/>
              </w:rPr>
              <w:t>Pontuação Total do Serviço</w:t>
            </w:r>
          </w:p>
        </w:tc>
        <w:tc>
          <w:tcPr>
            <w:tcW w:w="2462" w:type="dxa"/>
            <w:tcBorders>
              <w:bottom w:val="single" w:sz="4" w:space="0" w:color="000000"/>
            </w:tcBorders>
          </w:tcPr>
          <w:p w:rsidR="00E855A2" w:rsidRDefault="00E90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E855A2" w:rsidRDefault="00E855A2">
      <w:pPr>
        <w:tabs>
          <w:tab w:val="left" w:pos="990"/>
        </w:tabs>
        <w:jc w:val="both"/>
      </w:pPr>
    </w:p>
    <w:sectPr w:rsidR="00E855A2">
      <w:headerReference w:type="default" r:id="rId8"/>
      <w:footerReference w:type="default" r:id="rId9"/>
      <w:pgSz w:w="11906" w:h="16838"/>
      <w:pgMar w:top="1134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07AD">
      <w:r>
        <w:separator/>
      </w:r>
    </w:p>
  </w:endnote>
  <w:endnote w:type="continuationSeparator" w:id="0">
    <w:p w:rsidR="00000000" w:rsidRDefault="00E9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A2" w:rsidRDefault="00E907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Coordenadoria </w:t>
    </w:r>
    <w:r>
      <w:rPr>
        <w:color w:val="000000"/>
        <w:sz w:val="16"/>
        <w:szCs w:val="16"/>
      </w:rPr>
      <w:t>de Licitações e Contratos</w:t>
    </w:r>
  </w:p>
  <w:p w:rsidR="00E855A2" w:rsidRDefault="00E907AD">
    <w:pPr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Nelsi Ribas Fritsch, 1111 | Bairro Esperança | Ibirubá/RS | CEP: 98200-000</w:t>
    </w:r>
  </w:p>
  <w:p w:rsidR="00E855A2" w:rsidRDefault="00E907AD">
    <w:pPr>
      <w:tabs>
        <w:tab w:val="center" w:pos="4252"/>
        <w:tab w:val="right" w:pos="8504"/>
      </w:tabs>
      <w:jc w:val="center"/>
      <w:rPr>
        <w:color w:val="000080"/>
        <w:u w:val="single"/>
      </w:rPr>
    </w:pPr>
    <w:r>
      <w:rPr>
        <w:sz w:val="16"/>
        <w:szCs w:val="16"/>
      </w:rPr>
      <w:t xml:space="preserve">Fone: (054) 3324-8141 | </w:t>
    </w:r>
    <w:hyperlink r:id="rId1">
      <w:r>
        <w:rPr>
          <w:color w:val="000080"/>
          <w:sz w:val="16"/>
          <w:szCs w:val="16"/>
          <w:u w:val="single"/>
        </w:rPr>
        <w:t>https://ifrs.edu.br/ibiruba/</w:t>
      </w:r>
    </w:hyperlink>
    <w:r>
      <w:rPr>
        <w:sz w:val="16"/>
        <w:szCs w:val="16"/>
      </w:rPr>
      <w:t xml:space="preserve"> | </w:t>
    </w:r>
    <w:hyperlink r:id="rId2">
      <w:r>
        <w:rPr>
          <w:color w:val="000080"/>
          <w:sz w:val="16"/>
          <w:szCs w:val="16"/>
          <w:u w:val="single"/>
        </w:rPr>
        <w:t>licitacao@ibiruba.ifrs.edu.br</w:t>
      </w:r>
    </w:hyperlink>
  </w:p>
  <w:p w:rsidR="00E855A2" w:rsidRDefault="00E907AD">
    <w:pPr>
      <w:tabs>
        <w:tab w:val="center" w:pos="4252"/>
        <w:tab w:val="right" w:pos="8504"/>
      </w:tabs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07AD">
      <w:r>
        <w:separator/>
      </w:r>
    </w:p>
  </w:footnote>
  <w:footnote w:type="continuationSeparator" w:id="0">
    <w:p w:rsidR="00000000" w:rsidRDefault="00E9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A2" w:rsidRDefault="00E907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noProof/>
        <w:color w:val="000000"/>
        <w:sz w:val="22"/>
        <w:szCs w:val="22"/>
      </w:rPr>
      <w:drawing>
        <wp:inline distT="0" distB="0" distL="0" distR="0">
          <wp:extent cx="627380" cy="75501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380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-219074</wp:posOffset>
          </wp:positionH>
          <wp:positionV relativeFrom="paragraph">
            <wp:posOffset>85090</wp:posOffset>
          </wp:positionV>
          <wp:extent cx="1521460" cy="798195"/>
          <wp:effectExtent l="0" t="0" r="0" b="0"/>
          <wp:wrapNone/>
          <wp:docPr id="1" name="image1.png" descr="Descrição: Descrição: logo_reitor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Descrição: logo_reitor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1460" cy="798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55A2" w:rsidRDefault="00E855A2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sz w:val="22"/>
        <w:szCs w:val="22"/>
      </w:rPr>
    </w:pPr>
  </w:p>
  <w:p w:rsidR="00E855A2" w:rsidRDefault="00E907AD">
    <w:pPr>
      <w:jc w:val="center"/>
    </w:pPr>
    <w:r>
      <w:t>SERVIÇO PÚBLICO FEDERAL</w:t>
    </w:r>
  </w:p>
  <w:p w:rsidR="00E855A2" w:rsidRDefault="00E907AD">
    <w:pPr>
      <w:jc w:val="center"/>
    </w:pPr>
    <w:r>
      <w:t>MINISTÉRIO DA EDUCAÇÃO</w:t>
    </w:r>
  </w:p>
  <w:p w:rsidR="00E855A2" w:rsidRDefault="00E907AD">
    <w:pPr>
      <w:jc w:val="center"/>
    </w:pPr>
    <w:r>
      <w:t>Secretaria de Educação Profissional e Tecnológica</w:t>
    </w:r>
  </w:p>
  <w:p w:rsidR="00E855A2" w:rsidRDefault="00E907AD">
    <w:pPr>
      <w:tabs>
        <w:tab w:val="center" w:pos="4252"/>
        <w:tab w:val="right" w:pos="8504"/>
      </w:tabs>
      <w:jc w:val="center"/>
    </w:pPr>
    <w:r>
      <w:t>Instituto Federal de Educação, Ciência e Tecnologia do Rio Grande do Sul</w:t>
    </w:r>
  </w:p>
  <w:p w:rsidR="00E855A2" w:rsidRDefault="00E907AD">
    <w:pPr>
      <w:tabs>
        <w:tab w:val="center" w:pos="4252"/>
        <w:tab w:val="right" w:pos="8504"/>
      </w:tabs>
      <w:jc w:val="center"/>
    </w:pPr>
    <w:r>
      <w:rPr>
        <w:i/>
      </w:rPr>
      <w:t>Campus</w:t>
    </w:r>
    <w:r>
      <w:t xml:space="preserve"> Ibirubá</w:t>
    </w:r>
  </w:p>
  <w:p w:rsidR="00E855A2" w:rsidRDefault="00E855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632F"/>
    <w:multiLevelType w:val="multilevel"/>
    <w:tmpl w:val="B43290C2"/>
    <w:lvl w:ilvl="0">
      <w:start w:val="3"/>
      <w:numFmt w:val="decimal"/>
      <w:lvlText w:val="%1"/>
      <w:lvlJc w:val="left"/>
      <w:pPr>
        <w:ind w:left="765" w:hanging="360"/>
      </w:pPr>
    </w:lvl>
    <w:lvl w:ilvl="1">
      <w:start w:val="1"/>
      <w:numFmt w:val="decimal"/>
      <w:lvlText w:val="%1.%2"/>
      <w:lvlJc w:val="left"/>
      <w:pPr>
        <w:ind w:left="930" w:hanging="360"/>
      </w:pPr>
    </w:lvl>
    <w:lvl w:ilvl="2">
      <w:start w:val="1"/>
      <w:numFmt w:val="decimal"/>
      <w:lvlText w:val="%1.%2.%3"/>
      <w:lvlJc w:val="left"/>
      <w:pPr>
        <w:ind w:left="1455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145" w:hanging="1080"/>
      </w:pPr>
    </w:lvl>
    <w:lvl w:ilvl="5">
      <w:start w:val="1"/>
      <w:numFmt w:val="decimal"/>
      <w:lvlText w:val="%1.%2.%3.%4.%5.%6"/>
      <w:lvlJc w:val="left"/>
      <w:pPr>
        <w:ind w:left="2310" w:hanging="1080"/>
      </w:pPr>
    </w:lvl>
    <w:lvl w:ilvl="6">
      <w:start w:val="1"/>
      <w:numFmt w:val="decimal"/>
      <w:lvlText w:val="%1.%2.%3.%4.%5.%6.%7"/>
      <w:lvlJc w:val="left"/>
      <w:pPr>
        <w:ind w:left="2835" w:hanging="1440"/>
      </w:pPr>
    </w:lvl>
    <w:lvl w:ilvl="7">
      <w:start w:val="1"/>
      <w:numFmt w:val="decimal"/>
      <w:lvlText w:val="%1.%2.%3.%4.%5.%6.%7.%8"/>
      <w:lvlJc w:val="left"/>
      <w:pPr>
        <w:ind w:left="3000" w:hanging="1440"/>
      </w:pPr>
    </w:lvl>
    <w:lvl w:ilvl="8">
      <w:start w:val="1"/>
      <w:numFmt w:val="decimal"/>
      <w:lvlText w:val="%1.%2.%3.%4.%5.%6.%7.%8.%9"/>
      <w:lvlJc w:val="left"/>
      <w:pPr>
        <w:ind w:left="3525" w:hanging="1800"/>
      </w:pPr>
    </w:lvl>
  </w:abstractNum>
  <w:abstractNum w:abstractNumId="1">
    <w:nsid w:val="63AC139C"/>
    <w:multiLevelType w:val="multilevel"/>
    <w:tmpl w:val="EAC63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76266769"/>
    <w:multiLevelType w:val="multilevel"/>
    <w:tmpl w:val="DA8229FE"/>
    <w:lvl w:ilvl="0">
      <w:start w:val="3"/>
      <w:numFmt w:val="decimal"/>
      <w:lvlText w:val="%1"/>
      <w:lvlJc w:val="left"/>
      <w:pPr>
        <w:ind w:left="765" w:hanging="360"/>
      </w:pPr>
    </w:lvl>
    <w:lvl w:ilvl="1">
      <w:start w:val="3"/>
      <w:numFmt w:val="decimal"/>
      <w:lvlText w:val="%1.%2"/>
      <w:lvlJc w:val="left"/>
      <w:pPr>
        <w:ind w:left="930" w:hanging="360"/>
      </w:pPr>
    </w:lvl>
    <w:lvl w:ilvl="2">
      <w:start w:val="1"/>
      <w:numFmt w:val="decimal"/>
      <w:lvlText w:val="%1.%2.%3"/>
      <w:lvlJc w:val="left"/>
      <w:pPr>
        <w:ind w:left="1455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145" w:hanging="1080"/>
      </w:pPr>
    </w:lvl>
    <w:lvl w:ilvl="5">
      <w:start w:val="1"/>
      <w:numFmt w:val="decimal"/>
      <w:lvlText w:val="%1.%2.%3.%4.%5.%6"/>
      <w:lvlJc w:val="left"/>
      <w:pPr>
        <w:ind w:left="2310" w:hanging="1080"/>
      </w:pPr>
    </w:lvl>
    <w:lvl w:ilvl="6">
      <w:start w:val="1"/>
      <w:numFmt w:val="decimal"/>
      <w:lvlText w:val="%1.%2.%3.%4.%5.%6.%7"/>
      <w:lvlJc w:val="left"/>
      <w:pPr>
        <w:ind w:left="2835" w:hanging="1440"/>
      </w:pPr>
    </w:lvl>
    <w:lvl w:ilvl="7">
      <w:start w:val="1"/>
      <w:numFmt w:val="decimal"/>
      <w:lvlText w:val="%1.%2.%3.%4.%5.%6.%7.%8"/>
      <w:lvlJc w:val="left"/>
      <w:pPr>
        <w:ind w:left="3000" w:hanging="1440"/>
      </w:pPr>
    </w:lvl>
    <w:lvl w:ilvl="8">
      <w:start w:val="1"/>
      <w:numFmt w:val="decimal"/>
      <w:lvlText w:val="%1.%2.%3.%4.%5.%6.%7.%8.%9"/>
      <w:lvlJc w:val="left"/>
      <w:pPr>
        <w:ind w:left="3525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55A2"/>
    <w:rsid w:val="00E855A2"/>
    <w:rsid w:val="00E9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tabs>
        <w:tab w:val="left" w:pos="1701"/>
      </w:tabs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tabs>
        <w:tab w:val="left" w:pos="1701"/>
      </w:tabs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</cp:lastModifiedBy>
  <cp:revision>2</cp:revision>
  <dcterms:created xsi:type="dcterms:W3CDTF">2022-03-29T14:47:00Z</dcterms:created>
  <dcterms:modified xsi:type="dcterms:W3CDTF">2022-03-29T14:48:00Z</dcterms:modified>
</cp:coreProperties>
</file>