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568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2">
      <w:pPr>
        <w:spacing w:before="240" w:line="240" w:lineRule="auto"/>
        <w:ind w:right="-568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-568"/>
        <w:rPr>
          <w:rFonts w:ascii="Calibri" w:cs="Calibri" w:eastAsia="Calibri" w:hAnsi="Calibri"/>
          <w:color w:val="ff0000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green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before="40" w:line="240" w:lineRule="auto"/>
        <w:ind w:left="120" w:right="-568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wgv4g4puye43" w:id="0"/>
      <w:bookmarkEnd w:id="0"/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  CPF nº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Edital, da divulgação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40" w:line="240" w:lineRule="auto"/>
        <w:ind w:left="120" w:right="-56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homologação preliminar das inscrições/resultado preliminar final/resultado do procedimento de heteroidentificação complementar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p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ind w:left="120" w:right="-56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40" w:lineRule="auto"/>
        <w:ind w:left="120" w:right="-568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40" w:line="240" w:lineRule="auto"/>
        <w:ind w:left="120" w:right="-56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="240" w:lineRule="auto"/>
        <w:ind w:left="120" w:right="-56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20" w:right="-56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-56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" w:lineRule="auto"/>
        <w:ind w:right="-568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-568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-568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