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/>
        <w:tab/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 w:before="20" w:after="240"/>
        <w:ind w:end="48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ANEXO I</w:t>
      </w:r>
    </w:p>
    <w:p>
      <w:pPr>
        <w:pStyle w:val="normal1"/>
        <w:widowControl w:val="false"/>
        <w:spacing w:lineRule="auto" w:line="240" w:before="40" w:after="240"/>
        <w:ind w:end="48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Análise Técnica Documental</w:t>
      </w:r>
    </w:p>
    <w:p>
      <w:pPr>
        <w:pStyle w:val="normal1"/>
        <w:widowControl w:val="false"/>
        <w:spacing w:lineRule="auto" w:line="240" w:before="100" w:after="240"/>
        <w:jc w:val="both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76" w:before="240" w:after="240"/>
        <w:ind w:hanging="0" w:start="100" w:end="60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4"/>
          <w:szCs w:val="24"/>
        </w:rPr>
        <w:t>A classificação será realizada em duas fases, (análise técnica documental e entrevista). Os critérios e a pontuação da análise documental são descritos no quadro abaixo que, se aplica apenas para os candidatos homologados.</w:t>
      </w:r>
      <w:r>
        <w:rPr>
          <w:rFonts w:eastAsia="Calibri" w:cs="Calibri" w:ascii="Calibri" w:hAnsi="Calibri"/>
          <w:sz w:val="20"/>
          <w:szCs w:val="20"/>
        </w:rPr>
        <w:t xml:space="preserve"> </w:t>
      </w:r>
    </w:p>
    <w:tbl>
      <w:tblPr>
        <w:tblStyle w:val="Table1"/>
        <w:tblW w:w="8745" w:type="dxa"/>
        <w:jc w:val="start"/>
        <w:tblInd w:w="3" w:type="dxa"/>
        <w:tblLayout w:type="fixed"/>
        <w:tblCellMar>
          <w:top w:w="0" w:type="dxa"/>
          <w:start w:w="12" w:type="dxa"/>
          <w:bottom w:w="0" w:type="dxa"/>
          <w:end w:w="12" w:type="dxa"/>
        </w:tblCellMar>
        <w:tblLook w:val="0600"/>
      </w:tblPr>
      <w:tblGrid>
        <w:gridCol w:w="989"/>
        <w:gridCol w:w="5566"/>
        <w:gridCol w:w="2190"/>
      </w:tblGrid>
      <w:tr>
        <w:trPr>
          <w:trHeight w:val="420" w:hRule="atLeast"/>
        </w:trPr>
        <w:tc>
          <w:tcPr>
            <w:tcW w:w="989" w:type="dxa"/>
            <w:tcBorders>
              <w:top w:val="single" w:sz="10" w:space="0" w:color="000000"/>
              <w:start w:val="single" w:sz="10" w:space="0" w:color="000000"/>
              <w:bottom w:val="single" w:sz="10" w:space="0" w:color="000000"/>
              <w:end w:val="single" w:sz="10" w:space="0" w:color="000000"/>
            </w:tcBorders>
          </w:tcPr>
          <w:p>
            <w:pPr>
              <w:pStyle w:val="normal1"/>
              <w:widowControl w:val="false"/>
              <w:spacing w:lineRule="auto" w:line="276" w:before="100" w:after="0"/>
              <w:ind w:hanging="0" w:start="140" w:end="240"/>
              <w:jc w:val="end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5566" w:type="dxa"/>
            <w:tcBorders>
              <w:top w:val="single" w:sz="10" w:space="0" w:color="000000"/>
              <w:bottom w:val="single" w:sz="10" w:space="0" w:color="000000"/>
              <w:end w:val="single" w:sz="10" w:space="0" w:color="000000"/>
            </w:tcBorders>
          </w:tcPr>
          <w:p>
            <w:pPr>
              <w:pStyle w:val="normal1"/>
              <w:widowControl w:val="false"/>
              <w:spacing w:lineRule="auto" w:line="276" w:before="100" w:after="0"/>
              <w:ind w:hanging="0" w:start="200" w:end="4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2190" w:type="dxa"/>
            <w:tcBorders>
              <w:top w:val="single" w:sz="10" w:space="0" w:color="000000"/>
              <w:bottom w:val="single" w:sz="10" w:space="0" w:color="000000"/>
              <w:end w:val="single" w:sz="10" w:space="0" w:color="000000"/>
            </w:tcBorders>
          </w:tcPr>
          <w:p>
            <w:pPr>
              <w:pStyle w:val="normal1"/>
              <w:widowControl w:val="false"/>
              <w:spacing w:lineRule="auto" w:line="276" w:before="100" w:after="240"/>
              <w:ind w:hanging="0" w:start="14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Pontuação</w:t>
            </w:r>
          </w:p>
        </w:tc>
      </w:tr>
      <w:tr>
        <w:trPr>
          <w:trHeight w:val="1110" w:hRule="atLeast"/>
        </w:trPr>
        <w:tc>
          <w:tcPr>
            <w:tcW w:w="989" w:type="dxa"/>
            <w:tcBorders>
              <w:start w:val="single" w:sz="10" w:space="0" w:color="000000"/>
              <w:bottom w:val="single" w:sz="10" w:space="0" w:color="000000"/>
              <w:end w:val="single" w:sz="10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 w:before="120" w:after="0"/>
              <w:ind w:hanging="0" w:start="140" w:end="28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1.</w:t>
            </w:r>
          </w:p>
        </w:tc>
        <w:tc>
          <w:tcPr>
            <w:tcW w:w="5566" w:type="dxa"/>
            <w:tcBorders>
              <w:bottom w:val="single" w:sz="10" w:space="0" w:color="000000"/>
              <w:end w:val="single" w:sz="10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firstLine="283" w:start="0" w:end="0"/>
              <w:jc w:val="star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Experiência na área específica para vaga/encargo que   se inscreveu.</w:t>
            </w:r>
          </w:p>
        </w:tc>
        <w:tc>
          <w:tcPr>
            <w:tcW w:w="2190" w:type="dxa"/>
            <w:tcBorders>
              <w:bottom w:val="single" w:sz="10" w:space="0" w:color="000000"/>
              <w:end w:val="single" w:sz="10" w:space="0" w:color="000000"/>
            </w:tcBorders>
          </w:tcPr>
          <w:p>
            <w:pPr>
              <w:pStyle w:val="normal1"/>
              <w:widowControl w:val="false"/>
              <w:spacing w:lineRule="auto" w:line="276"/>
              <w:ind w:hanging="0" w:start="180" w:end="2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25 (2,5 pontos por ano de experiência, máximo 50 pontos)</w:t>
            </w:r>
          </w:p>
        </w:tc>
      </w:tr>
      <w:tr>
        <w:trPr>
          <w:trHeight w:val="1155" w:hRule="atLeast"/>
        </w:trPr>
        <w:tc>
          <w:tcPr>
            <w:tcW w:w="989" w:type="dxa"/>
            <w:tcBorders>
              <w:start w:val="single" w:sz="10" w:space="0" w:color="000000"/>
              <w:bottom w:val="single" w:sz="10" w:space="0" w:color="000000"/>
              <w:end w:val="single" w:sz="10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 w:before="100" w:after="0"/>
              <w:ind w:hanging="0" w:start="140" w:end="28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2.</w:t>
            </w:r>
          </w:p>
        </w:tc>
        <w:tc>
          <w:tcPr>
            <w:tcW w:w="5566" w:type="dxa"/>
            <w:tcBorders>
              <w:bottom w:val="single" w:sz="10" w:space="0" w:color="000000"/>
              <w:end w:val="single" w:sz="10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firstLine="283" w:start="0" w:end="0"/>
              <w:jc w:val="star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Curso de Especialização em terapias integrativas ou áreas afins.</w:t>
            </w:r>
          </w:p>
        </w:tc>
        <w:tc>
          <w:tcPr>
            <w:tcW w:w="2190" w:type="dxa"/>
            <w:tcBorders>
              <w:bottom w:val="single" w:sz="10" w:space="0" w:color="000000"/>
              <w:end w:val="single" w:sz="10" w:space="0" w:color="000000"/>
            </w:tcBorders>
          </w:tcPr>
          <w:p>
            <w:pPr>
              <w:pStyle w:val="normal1"/>
              <w:widowControl w:val="false"/>
              <w:spacing w:lineRule="auto" w:line="276"/>
              <w:ind w:hanging="0" w:start="1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40"/>
              <w:ind w:hanging="0" w:start="140" w:end="2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10 (2,5 pontos cada especialização)</w:t>
            </w:r>
          </w:p>
        </w:tc>
      </w:tr>
      <w:tr>
        <w:trPr>
          <w:trHeight w:val="1155" w:hRule="atLeast"/>
        </w:trPr>
        <w:tc>
          <w:tcPr>
            <w:tcW w:w="989" w:type="dxa"/>
            <w:tcBorders>
              <w:start w:val="single" w:sz="10" w:space="0" w:color="000000"/>
              <w:bottom w:val="single" w:sz="10" w:space="0" w:color="000000"/>
              <w:end w:val="single" w:sz="10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 w:before="120" w:after="0"/>
              <w:ind w:hanging="0" w:start="140" w:end="28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3.</w:t>
            </w:r>
          </w:p>
        </w:tc>
        <w:tc>
          <w:tcPr>
            <w:tcW w:w="5566" w:type="dxa"/>
            <w:tcBorders>
              <w:bottom w:val="single" w:sz="10" w:space="0" w:color="000000"/>
              <w:end w:val="single" w:sz="10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firstLine="283" w:start="0" w:end="0"/>
              <w:jc w:val="star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Cursos livres com mais de 100 horas de duração na área das PICS.</w:t>
            </w:r>
          </w:p>
        </w:tc>
        <w:tc>
          <w:tcPr>
            <w:tcW w:w="2190" w:type="dxa"/>
            <w:tcBorders>
              <w:bottom w:val="single" w:sz="10" w:space="0" w:color="000000"/>
              <w:end w:val="single" w:sz="10" w:space="0" w:color="000000"/>
            </w:tcBorders>
          </w:tcPr>
          <w:p>
            <w:pPr>
              <w:pStyle w:val="normal1"/>
              <w:widowControl w:val="false"/>
              <w:spacing w:lineRule="auto" w:line="276"/>
              <w:ind w:hanging="0" w:start="1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40"/>
              <w:ind w:hanging="0" w:start="140" w:end="2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5 (1 ponto cada curso)</w:t>
            </w:r>
          </w:p>
        </w:tc>
      </w:tr>
      <w:tr>
        <w:trPr>
          <w:trHeight w:val="1155" w:hRule="atLeast"/>
        </w:trPr>
        <w:tc>
          <w:tcPr>
            <w:tcW w:w="989" w:type="dxa"/>
            <w:tcBorders>
              <w:start w:val="single" w:sz="10" w:space="0" w:color="000000"/>
              <w:bottom w:val="single" w:sz="10" w:space="0" w:color="000000"/>
              <w:end w:val="single" w:sz="10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 w:before="120" w:after="0"/>
              <w:ind w:hanging="0" w:start="140" w:end="28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4.</w:t>
            </w:r>
          </w:p>
        </w:tc>
        <w:tc>
          <w:tcPr>
            <w:tcW w:w="5566" w:type="dxa"/>
            <w:tcBorders>
              <w:bottom w:val="single" w:sz="10" w:space="0" w:color="000000"/>
              <w:end w:val="single" w:sz="10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firstLine="283" w:start="0" w:end="0"/>
              <w:jc w:val="star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Experiência como ministrante de curso relacionado com ás PICS.</w:t>
            </w:r>
          </w:p>
        </w:tc>
        <w:tc>
          <w:tcPr>
            <w:tcW w:w="2190" w:type="dxa"/>
            <w:tcBorders>
              <w:bottom w:val="single" w:sz="10" w:space="0" w:color="000000"/>
              <w:end w:val="single" w:sz="10" w:space="0" w:color="000000"/>
            </w:tcBorders>
          </w:tcPr>
          <w:p>
            <w:pPr>
              <w:pStyle w:val="normal1"/>
              <w:widowControl w:val="false"/>
              <w:spacing w:lineRule="auto" w:line="276"/>
              <w:ind w:hanging="0" w:start="1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40"/>
              <w:ind w:hanging="0" w:start="140" w:end="2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10 (2,5 pontos por curso em que participou)</w:t>
            </w:r>
          </w:p>
        </w:tc>
      </w:tr>
      <w:tr>
        <w:trPr>
          <w:trHeight w:val="705" w:hRule="atLeast"/>
        </w:trPr>
        <w:tc>
          <w:tcPr>
            <w:tcW w:w="6555" w:type="dxa"/>
            <w:gridSpan w:val="2"/>
            <w:tcBorders>
              <w:start w:val="single" w:sz="10" w:space="0" w:color="000000"/>
              <w:bottom w:val="single" w:sz="10" w:space="0" w:color="000000"/>
              <w:end w:val="single" w:sz="10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ind w:hanging="0" w:start="1960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PONTUAÇÃO MÁXIMA</w:t>
            </w:r>
          </w:p>
        </w:tc>
        <w:tc>
          <w:tcPr>
            <w:tcW w:w="2190" w:type="dxa"/>
            <w:tcBorders>
              <w:bottom w:val="single" w:sz="10" w:space="0" w:color="000000"/>
              <w:end w:val="single" w:sz="10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76"/>
              <w:ind w:hanging="0" w:start="180" w:end="2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50</w:t>
            </w:r>
          </w:p>
        </w:tc>
      </w:tr>
    </w:tbl>
    <w:p>
      <w:pPr>
        <w:pStyle w:val="normal1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 w:characterSet="windows-1252"/>
    <w:family w:val="roman"/>
    <w:pitch w:val="variable"/>
    <w:embedRegular r:id="rId18" w:fontKey="{12014A78-CABC-4EF0-12AC-5CD89AEFDE12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3437255</wp:posOffset>
          </wp:positionH>
          <wp:positionV relativeFrom="page">
            <wp:posOffset>302260</wp:posOffset>
          </wp:positionV>
          <wp:extent cx="523875" cy="5715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jc w:val="center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MINISTÉRIO DA EDUCAÇÃO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>Secretaria de Educação Profissional e Tecnológica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Instituto Federal de Educação, Ciência e Tecnologia do Rio Grande do Sul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  <w:i/>
        <w:iCs/>
      </w:rPr>
      <w:t>Campu</w:t>
    </w:r>
    <w:r>
      <w:rPr>
        <w:rFonts w:eastAsia="Calibri" w:cs="Calibri" w:ascii="Calibri" w:hAnsi="Calibri"/>
      </w:rPr>
      <w:t xml:space="preserve">s Erechim </w:t>
    </w:r>
  </w:p>
  <w:p>
    <w:pPr>
      <w:pStyle w:val="normal1"/>
      <w:spacing w:lineRule="auto" w:line="276"/>
      <w:jc w:val="center"/>
      <w:rPr/>
    </w:pPr>
    <w:r>
      <w:rPr>
        <w:rFonts w:eastAsia="Calibri" w:cs="Calibri" w:ascii="Calibri" w:hAnsi="Calibri"/>
        <w:b/>
        <w:bCs/>
      </w:rPr>
      <w:t>Coordenadoria de Extensão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3437255</wp:posOffset>
          </wp:positionH>
          <wp:positionV relativeFrom="page">
            <wp:posOffset>302260</wp:posOffset>
          </wp:positionV>
          <wp:extent cx="523875" cy="57150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jc w:val="center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MINISTÉRIO DA EDUCAÇÃO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>Secretaria de Educação Profissional e Tecnológica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Instituto Federal de Educação, Ciência e Tecnologia do Rio Grande do Sul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  <w:i/>
        <w:iCs/>
      </w:rPr>
      <w:t>Campu</w:t>
    </w:r>
    <w:r>
      <w:rPr>
        <w:rFonts w:eastAsia="Calibri" w:cs="Calibri" w:ascii="Calibri" w:hAnsi="Calibri"/>
      </w:rPr>
      <w:t xml:space="preserve">s Erechim </w:t>
    </w:r>
  </w:p>
  <w:p>
    <w:pPr>
      <w:pStyle w:val="normal1"/>
      <w:spacing w:lineRule="auto" w:line="276"/>
      <w:jc w:val="center"/>
      <w:rPr/>
    </w:pPr>
    <w:r>
      <w:rPr>
        <w:rFonts w:eastAsia="Calibri" w:cs="Calibri" w:ascii="Calibri" w:hAnsi="Calibri"/>
        <w:b/>
        <w:bCs/>
      </w:rPr>
      <w:t>Coordenadoria de Extensão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1</Pages>
  <Words>168</Words>
  <Characters>941</Characters>
  <CharactersWithSpaces>1092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2026-05-06T14:56:04Z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