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79" w:rsidRDefault="00BF6A79">
      <w:pPr>
        <w:pStyle w:val="LO-normal"/>
        <w:widowControl w:val="0"/>
        <w:spacing w:after="0" w:line="240" w:lineRule="auto"/>
        <w:ind w:left="142" w:right="134"/>
        <w:jc w:val="center"/>
        <w:rPr>
          <w:b/>
        </w:rPr>
      </w:pPr>
    </w:p>
    <w:p w:rsidR="00BF6A79" w:rsidRDefault="00640EA0">
      <w:pPr>
        <w:pStyle w:val="LO-normal"/>
        <w:widowControl w:val="0"/>
        <w:spacing w:after="0" w:line="240" w:lineRule="auto"/>
        <w:ind w:left="142" w:right="134"/>
        <w:jc w:val="center"/>
        <w:rPr>
          <w:b/>
        </w:rPr>
      </w:pPr>
      <w:r>
        <w:rPr>
          <w:b/>
        </w:rPr>
        <w:t>ANEXO V</w:t>
      </w:r>
    </w:p>
    <w:p w:rsidR="00BF6A79" w:rsidRDefault="00640EA0">
      <w:pPr>
        <w:pStyle w:val="LO-normal"/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BF6A79" w:rsidRDefault="00640EA0">
      <w:pPr>
        <w:pStyle w:val="LO-normal"/>
        <w:widowControl w:val="0"/>
        <w:spacing w:after="0" w:line="240" w:lineRule="auto"/>
        <w:ind w:left="119" w:right="123"/>
        <w:jc w:val="center"/>
        <w:rPr>
          <w:color w:val="000000"/>
          <w:highlight w:val="white"/>
        </w:rPr>
      </w:pPr>
      <w:r>
        <w:rPr>
          <w:b/>
          <w:color w:val="000009"/>
        </w:rPr>
        <w:t>PROCESSO SELETIVO SIMPLIFICADO</w:t>
      </w:r>
      <w:r>
        <w:rPr>
          <w:b/>
          <w:color w:val="000009"/>
          <w:highlight w:val="white"/>
        </w:rPr>
        <w:t xml:space="preserve"> – EDITAL Nº 21</w:t>
      </w:r>
      <w:r>
        <w:rPr>
          <w:b/>
          <w:color w:val="000009"/>
          <w:highlight w:val="white"/>
        </w:rPr>
        <w:t>/2024</w:t>
      </w:r>
    </w:p>
    <w:p w:rsidR="00BF6A79" w:rsidRDefault="00BF6A79">
      <w:pPr>
        <w:pStyle w:val="LO-normal"/>
        <w:widowControl w:val="0"/>
        <w:spacing w:before="6" w:after="0" w:line="240" w:lineRule="auto"/>
        <w:rPr>
          <w:color w:val="000000"/>
        </w:rPr>
      </w:pPr>
    </w:p>
    <w:p w:rsidR="00BF6A79" w:rsidRDefault="00BF6A79">
      <w:pPr>
        <w:pStyle w:val="LO-normal"/>
        <w:widowControl w:val="0"/>
        <w:spacing w:before="34" w:after="0" w:line="240" w:lineRule="auto"/>
        <w:ind w:left="116" w:right="81"/>
        <w:jc w:val="both"/>
        <w:rPr>
          <w:color w:val="000009"/>
        </w:rPr>
      </w:pPr>
    </w:p>
    <w:p w:rsidR="00BF6A79" w:rsidRDefault="00640EA0">
      <w:pPr>
        <w:pStyle w:val="LO-normal"/>
        <w:widowControl w:val="0"/>
        <w:spacing w:before="34" w:after="0" w:line="24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21</w:t>
      </w:r>
      <w:r>
        <w:t xml:space="preserve">, </w:t>
      </w:r>
      <w:r>
        <w:rPr>
          <w:highlight w:val="white"/>
        </w:rPr>
        <w:t>de 17 de junho</w:t>
      </w:r>
      <w:r>
        <w:rPr>
          <w:highlight w:val="white"/>
        </w:rPr>
        <w:t xml:space="preserve"> de 2024</w:t>
      </w:r>
      <w:r>
        <w:rPr>
          <w:color w:val="000009"/>
          <w:highlight w:val="white"/>
        </w:rPr>
        <w:t xml:space="preserve">, </w:t>
      </w:r>
      <w:r>
        <w:rPr>
          <w:color w:val="000009"/>
        </w:rPr>
        <w:t>venho</w:t>
      </w:r>
      <w:r>
        <w:rPr>
          <w:color w:val="000009"/>
        </w:rPr>
        <w:t xml:space="preserve">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 ___________________________________________________________________________________</w:t>
      </w:r>
    </w:p>
    <w:p w:rsidR="00BF6A79" w:rsidRDefault="00640EA0">
      <w:pPr>
        <w:pStyle w:val="LO-normal"/>
        <w:widowControl w:val="0"/>
        <w:spacing w:before="34" w:after="0" w:line="240" w:lineRule="auto"/>
        <w:ind w:left="116" w:right="81"/>
        <w:jc w:val="both"/>
        <w:rPr>
          <w:color w:val="000009"/>
        </w:rPr>
      </w:pPr>
      <w:r>
        <w:rPr>
          <w:b/>
        </w:rPr>
        <w:t>(homologação preliminar das inscrições/resultado da prova de títulos/resultado do procedimento de heteroide</w:t>
      </w:r>
      <w:r>
        <w:rPr>
          <w:b/>
        </w:rPr>
        <w:t>ntificação complementar/resultado preliminar final)</w:t>
      </w:r>
      <w:r>
        <w:rPr>
          <w:b/>
          <w:color w:val="000009"/>
        </w:rPr>
        <w:t xml:space="preserve">, </w:t>
      </w:r>
      <w:r>
        <w:rPr>
          <w:color w:val="000009"/>
        </w:rPr>
        <w:t>pelas razões abaixo expostas:</w:t>
      </w:r>
    </w:p>
    <w:p w:rsidR="00BF6A79" w:rsidRDefault="00BF6A79">
      <w:pPr>
        <w:pStyle w:val="LO-normal"/>
        <w:widowControl w:val="0"/>
        <w:spacing w:before="34" w:after="0" w:line="240" w:lineRule="auto"/>
        <w:ind w:left="116" w:right="81"/>
        <w:jc w:val="both"/>
        <w:rPr>
          <w:color w:val="000009"/>
        </w:rPr>
      </w:pPr>
    </w:p>
    <w:p w:rsidR="00BF6A79" w:rsidRDefault="00640EA0">
      <w:pPr>
        <w:pStyle w:val="LO-normal"/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</w:t>
      </w:r>
    </w:p>
    <w:p w:rsidR="00BF6A79" w:rsidRDefault="00BF6A79">
      <w:pPr>
        <w:pStyle w:val="LO-normal"/>
        <w:widowControl w:val="0"/>
        <w:spacing w:before="34" w:after="0" w:line="240" w:lineRule="auto"/>
        <w:ind w:left="116" w:right="92"/>
        <w:rPr>
          <w:color w:val="000009"/>
        </w:rPr>
      </w:pPr>
    </w:p>
    <w:p w:rsidR="00BF6A79" w:rsidRDefault="00640EA0">
      <w:pPr>
        <w:pStyle w:val="LO-normal"/>
        <w:widowControl w:val="0"/>
        <w:spacing w:before="34" w:after="0" w:line="24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rPr>
          <w:highlight w:val="white"/>
        </w:rPr>
        <w:t>Edital nº 21, de 17 de junho</w:t>
      </w:r>
      <w:bookmarkStart w:id="0" w:name="_GoBack"/>
      <w:bookmarkEnd w:id="0"/>
      <w:r>
        <w:rPr>
          <w:highlight w:val="white"/>
        </w:rPr>
        <w:t xml:space="preserve">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2024</w:t>
      </w:r>
      <w:r>
        <w:rPr>
          <w:color w:val="000009"/>
          <w:highlight w:val="white"/>
        </w:rPr>
        <w:t>,</w:t>
      </w:r>
      <w:r>
        <w:rPr>
          <w:color w:val="000009"/>
        </w:rPr>
        <w:t xml:space="preserve"> poderá ensejar o INDEFERIMENTO deste.</w:t>
      </w: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640EA0">
      <w:pPr>
        <w:pStyle w:val="LO-normal"/>
        <w:widowControl w:val="0"/>
        <w:spacing w:after="0" w:line="240" w:lineRule="auto"/>
        <w:ind w:left="116"/>
        <w:rPr>
          <w:color w:val="000009"/>
        </w:rPr>
      </w:pPr>
      <w:r>
        <w:rPr>
          <w:color w:val="000009"/>
        </w:rPr>
        <w:t xml:space="preserve">                     </w:t>
      </w:r>
      <w:r>
        <w:rPr>
          <w:color w:val="000009"/>
        </w:rPr>
        <w:t xml:space="preserve">             </w:t>
      </w:r>
    </w:p>
    <w:p w:rsidR="00BF6A79" w:rsidRDefault="00640EA0">
      <w:pPr>
        <w:pStyle w:val="LO-normal"/>
        <w:widowControl w:val="0"/>
        <w:spacing w:after="0" w:line="240" w:lineRule="auto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640EA0">
      <w:pPr>
        <w:pStyle w:val="LO-normal"/>
        <w:widowControl w:val="0"/>
        <w:tabs>
          <w:tab w:val="left" w:pos="3023"/>
        </w:tabs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______________________________________________</w:t>
      </w:r>
    </w:p>
    <w:p w:rsidR="00BF6A79" w:rsidRDefault="00BF6A79">
      <w:pPr>
        <w:pStyle w:val="LO-normal"/>
        <w:widowControl w:val="0"/>
        <w:tabs>
          <w:tab w:val="left" w:pos="3023"/>
        </w:tabs>
        <w:spacing w:after="0" w:line="240" w:lineRule="auto"/>
        <w:rPr>
          <w:sz w:val="24"/>
          <w:szCs w:val="24"/>
        </w:rPr>
      </w:pPr>
    </w:p>
    <w:p w:rsidR="00BF6A79" w:rsidRDefault="00640EA0">
      <w:pPr>
        <w:pStyle w:val="LO-normal"/>
        <w:widowControl w:val="0"/>
        <w:tabs>
          <w:tab w:val="left" w:pos="3023"/>
        </w:tabs>
        <w:spacing w:after="0" w:line="240" w:lineRule="auto"/>
        <w:rPr>
          <w:color w:val="000000"/>
        </w:rPr>
      </w:pPr>
      <w:r>
        <w:t xml:space="preserve">                 </w:t>
      </w:r>
    </w:p>
    <w:p w:rsidR="00BF6A79" w:rsidRDefault="00640EA0">
      <w:pPr>
        <w:pStyle w:val="LO-normal"/>
        <w:widowControl w:val="0"/>
        <w:tabs>
          <w:tab w:val="left" w:pos="3023"/>
        </w:tabs>
        <w:spacing w:after="0" w:line="240" w:lineRule="auto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sz w:val="24"/>
          <w:szCs w:val="24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sz w:val="24"/>
          <w:szCs w:val="24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sz w:val="24"/>
          <w:szCs w:val="24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color w:val="000000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BF6A79" w:rsidRDefault="00BF6A79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BF6A79" w:rsidRDefault="00BF6A79">
      <w:pPr>
        <w:pStyle w:val="LO-normal"/>
        <w:widowControl w:val="0"/>
        <w:spacing w:after="0" w:line="240" w:lineRule="auto"/>
        <w:jc w:val="center"/>
        <w:rPr>
          <w:sz w:val="24"/>
          <w:szCs w:val="24"/>
        </w:rPr>
      </w:pPr>
    </w:p>
    <w:p w:rsidR="00BF6A79" w:rsidRDefault="00BF6A79">
      <w:pPr>
        <w:pStyle w:val="LO-normal"/>
        <w:widowControl w:val="0"/>
        <w:spacing w:after="0" w:line="240" w:lineRule="auto"/>
        <w:ind w:left="142" w:right="134"/>
        <w:jc w:val="center"/>
        <w:rPr>
          <w:sz w:val="24"/>
          <w:szCs w:val="24"/>
        </w:rPr>
      </w:pPr>
    </w:p>
    <w:sectPr w:rsidR="00BF6A79">
      <w:headerReference w:type="default" r:id="rId7"/>
      <w:pgSz w:w="11906" w:h="16838"/>
      <w:pgMar w:top="1418" w:right="1134" w:bottom="709" w:left="1418" w:header="285" w:footer="0" w:gutter="0"/>
      <w:pgNumType w:start="13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EA0">
      <w:pPr>
        <w:spacing w:after="0" w:line="240" w:lineRule="auto"/>
      </w:pPr>
      <w:r>
        <w:separator/>
      </w:r>
    </w:p>
  </w:endnote>
  <w:endnote w:type="continuationSeparator" w:id="0">
    <w:p w:rsidR="00000000" w:rsidRDefault="0064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EA0">
      <w:pPr>
        <w:spacing w:after="0" w:line="240" w:lineRule="auto"/>
      </w:pPr>
      <w:r>
        <w:separator/>
      </w:r>
    </w:p>
  </w:footnote>
  <w:footnote w:type="continuationSeparator" w:id="0">
    <w:p w:rsidR="00000000" w:rsidRDefault="0064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79" w:rsidRDefault="00640EA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A79" w:rsidRDefault="00640EA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F6A79" w:rsidRDefault="00640EA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Secretaria de Educação Profissional e </w:t>
    </w:r>
    <w:r>
      <w:rPr>
        <w:rFonts w:ascii="Arial" w:eastAsia="Arial" w:hAnsi="Arial" w:cs="Arial"/>
        <w:sz w:val="20"/>
        <w:szCs w:val="20"/>
      </w:rPr>
      <w:t>Tecnológica</w:t>
    </w:r>
  </w:p>
  <w:p w:rsidR="00BF6A79" w:rsidRDefault="00640EA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F6A79" w:rsidRDefault="00BF6A7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9"/>
    <w:rsid w:val="00640EA0"/>
    <w:rsid w:val="00B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2DF"/>
  <w15:docId w15:val="{DE8B4074-E99A-4C01-B29C-F039F49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Denise Tonin</cp:lastModifiedBy>
  <cp:revision>11</cp:revision>
  <dcterms:created xsi:type="dcterms:W3CDTF">2022-02-17T14:01:00Z</dcterms:created>
  <dcterms:modified xsi:type="dcterms:W3CDTF">2024-06-17T17:25:00Z</dcterms:modified>
  <dc:language>pt-BR</dc:language>
</cp:coreProperties>
</file>