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3"/>
        <w:tblW w:w="884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DDDDDD" w:val="clear"/>
              </w:rPr>
              <w:t>FORMULÁRIO DE APRESENTAÇÃO DE PROPOSTA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DA PESSOA FÍSICA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PROPOSTA DE DOAÇÃO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Observações:</w:t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CIÊNCIA E COMPROMISSO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 atendimento a chamada do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edital nº 43/2022, visando a doação de materiais, serviços e mobiliários para estruturação do Ambiente de Inov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ação do IFRS –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Erechim, em caso de aprovação, comprometo-me a executar/entregar o proposto neste documento. Estou ciente que por meio da minha participação não poderei, sob hipótese alguma, gerar ou cobrar despesas relativas aos itens propostos ao IFRS ou aos seus participantes.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Declaro estar ciente e de acordo com as informações prestadas.</w:t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</w:t>
            </w:r>
          </w:p>
        </w:tc>
      </w:tr>
    </w:tbl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700" w:right="1304" w:header="715" w:top="3369" w:footer="1596" w:bottom="25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LibreOffice/6.1.3.2$Windows_X86_64 LibreOffice_project/86daf60bf00efa86ad547e59e09d6bb77c699acb</Application>
  <Pages>4</Pages>
  <Words>180</Words>
  <Characters>1122</Characters>
  <CharactersWithSpaces>1278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2022-11-08T14:48:50Z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