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2720340</wp:posOffset>
            </wp:positionH>
            <wp:positionV relativeFrom="page">
              <wp:posOffset>695325</wp:posOffset>
            </wp:positionV>
            <wp:extent cx="495300" cy="54292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60" w:after="0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MINISTÉRIO DA EDUCAÇÃO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Secretaria de Educação Profissional e Tecnológica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Instituto Federal de Educação, Ciência e Tecnologia do Rio Grande do Sul</w:t>
      </w:r>
    </w:p>
    <w:p>
      <w:pPr>
        <w:pStyle w:val="Normal"/>
        <w:jc w:val="center"/>
        <w:rPr>
          <w:shd w:fill="auto" w:val="clear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  <w:shd w:fill="auto" w:val="clear"/>
        </w:rPr>
        <w:t>Campus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shd w:fill="auto" w:val="clear"/>
        </w:rPr>
        <w:t xml:space="preserve"> Erechim</w:t>
      </w:r>
    </w:p>
    <w:p>
      <w:pPr>
        <w:pStyle w:val="Western"/>
        <w:tabs>
          <w:tab w:val="left" w:pos="7267" w:leader="none"/>
        </w:tabs>
        <w:spacing w:beforeAutospacing="0"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Western"/>
        <w:tabs>
          <w:tab w:val="left" w:pos="7267" w:leader="none"/>
        </w:tabs>
        <w:spacing w:beforeAutospacing="0"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ESTUDO PRELIMINAR PARA ADESÃO À ATA</w:t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(PARA CARONAS DE CONTRATAÇÃO DE SERVIÇO ACIMA DE R$ 17.600,00)</w:t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ind w:firstLine="36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Em cumprimento à IN MPDG n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vertAlign w:val="superscript"/>
        </w:rPr>
        <w:t>o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05/2017, o Campus ____________________encaminha Estudo Preliminar para adesão à ata do Pregão SRP ____/2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019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, UASG _________, órgão ________________________________.</w:t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both"/>
        <w:outlineLvl w:val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both"/>
        <w:outlineLvl w:val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both"/>
        <w:outlineLvl w:val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Necessidade da administração: _____________________________________</w:t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both"/>
        <w:outlineLvl w:val="0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firstLine="348"/>
        <w:jc w:val="both"/>
        <w:outlineLvl w:val="0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DIRETRIZES QUE NORTEARÃO OS ESTUDOS PRELIMINARES: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Há normativos que disciplinam os serviços a serem contratados, de acordo com a sua natureza (legislação, normas técnicas, acórdãos e súmulas, portarias...)? Especifique.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Se houve contratação anterior no IFRS analisar as inconsistências a fim de prevenir a ocorrência destas neste processo.</w:t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ESPECIFICAÇÃO DA NECESSIDADE DA CONTRATAÇÃO: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Qual(is) a(s) justificativa(s) e/ou motivos para esta contratação?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Demonstre os resultados pretendidos em termos de economicidade e de melhor aproveitamento dos recursos humanos, materiais ou financeiros disponíveis. </w:t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REFERÊNCIA AOS INSTRUMENTOS DE PLANEJAMENTO DO ÓRGÃO: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 contratação está alinhada com o PDI, Planejamento Estratégico e incluído no Plano de Ação? Identificar as ações.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 objeto requisitado está contemplado no Plano Anual de Contratações, de acordo com a IN SEGES nº 1/2019 (PGC)? Se não estiver, a inclusão foi aprovada pela autoridade competente?</w:t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ESTIMATIVAS DAS QUANTIDADES: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Qual o método de estimativa das quantidades a serem contratadas? Incluir memória de cálculo e documentos que lhe dão suporte (contratos anteriores, experiências de outros órgãos...).</w:t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ESTIMATIVAS DE PREÇOS: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Definir e documentar o método para estimativa de preços ou meios de previsão de preços referenciais, devendo seguir as diretrizes da IN MPDG 03/2017. Demonstrar as memórias de cálculo da estimativa de preços e os documentos que lhe dão suporte (construção das planilhas de custo e formação de preços para os serviços terceirizados pelo setor de licitações e contratos e análise pela contabilidade).</w:t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ADEQUAÇÃO DO AMBIENTE DO IFRS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Há necessidade de contratações/aquisições correlatas?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widowControl w:val="false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DECLARAÇÃO DA VIABILIDADE OU NÃO DA CONTRATAÇÃO: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Declarar explicitamente que a contratação é viável ou não, justificando com base nos elementos anteriores dos Estudos Preliminares.</w:t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Assinaturas:</w:t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Diretor da área Requisitante                          Ordenador de Despesas</w:t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SIAPE:                                                            SIAPE:</w:t>
      </w:r>
    </w:p>
    <w:p>
      <w:pPr>
        <w:pStyle w:val="Normal"/>
        <w:widowControl w:val="false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Data:                                                               Data: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701" w:right="851" w:header="0" w:top="1701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DEZEMBRO/2019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4a2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f226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f226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Times New RomanPSMT"/>
      <w:color w:val="000000"/>
      <w:sz w:val="22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884a2a"/>
    <w:pPr>
      <w:spacing w:beforeAutospacing="1" w:after="119"/>
    </w:pPr>
    <w:rPr/>
  </w:style>
  <w:style w:type="paragraph" w:styleId="ListParagraph">
    <w:name w:val="List Paragraph"/>
    <w:basedOn w:val="Normal"/>
    <w:uiPriority w:val="34"/>
    <w:qFormat/>
    <w:rsid w:val="00884a2a"/>
    <w:pPr>
      <w:spacing w:before="0" w:after="0"/>
      <w:ind w:left="720" w:hanging="0"/>
      <w:contextualSpacing/>
    </w:pPr>
    <w:rPr/>
  </w:style>
  <w:style w:type="paragraph" w:styleId="Cabealho">
    <w:name w:val="Cabeçalho"/>
    <w:basedOn w:val="Normal"/>
    <w:link w:val="CabealhoChar"/>
    <w:uiPriority w:val="99"/>
    <w:unhideWhenUsed/>
    <w:rsid w:val="004f226c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4f226c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2019-12-13T13:35:00Z</dcterms:created>
  <dc:creator>..</dc:creator>
  <dc:language>pt-BR</dc:language>
  <dcterms:modified xsi:type="dcterms:W3CDTF">2020-08-20T16:15:55Z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