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FINAL/PARCIAL DO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FINAL/PARCIAL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Monitoria Acadêmica - disciplina/área do conhecimento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 bolsista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right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do(a) Professor(a) Orientador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Período abrangido por este relatório: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___/___ a ___/___/______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1"/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Monitoria Acadêmica – disciplina/área do conhecimento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 detalhes as atividades realizadas e as experiências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os resultados obtidos com a realização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as dificuldades encontradas na execução das atividades e as medidas tomadas.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 que você aprendeu.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</w:t>
        <w:tab/>
        <w:t xml:space="preserve">Apresente as possibilidades de continuação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 suas sugestões para o aprimoramento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a produção de alguma das publicações abaixo especificadas)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participação nas ações abaixo especificadas)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sua participação em eventos, cursos ou outras ações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 Professor Orientador da disciplina/área do conhecimento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(Campos de preenchimento destinado ao coordenador do projeto de ensino).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120" w:line="240" w:lineRule="auto"/>
        <w:jc w:val="right"/>
        <w:rPr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_________________, ___/___/______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12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12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Layout w:type="fixed"/>
        <w:tblLook w:val="0000"/>
      </w:tblPr>
      <w:tblGrid>
        <w:gridCol w:w="4536"/>
        <w:gridCol w:w="283"/>
        <w:gridCol w:w="4821"/>
        <w:tblGridChange w:id="0">
          <w:tblGrid>
            <w:gridCol w:w="4536"/>
            <w:gridCol w:w="283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Bolsista  Monitor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Professor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(a) Orientador(a)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Monitoria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12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after="0" w:line="360" w:lineRule="auto"/>
      <w:ind w:right="36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2646045</wp:posOffset>
          </wp:positionH>
          <wp:positionV relativeFrom="paragraph">
            <wp:posOffset>3810</wp:posOffset>
          </wp:positionV>
          <wp:extent cx="647700" cy="69659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spacing w:after="0" w:line="240" w:lineRule="auto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spacing w:after="0" w:line="240" w:lineRule="auto"/>
      <w:jc w:val="center"/>
      <w:rPr>
        <w:rFonts w:ascii="Arial" w:cs="Arial" w:eastAsia="Arial" w:hAnsi="Arial"/>
        <w:color w:val="595959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595959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65">
    <w:pPr>
      <w:spacing w:after="0" w:line="240" w:lineRule="auto"/>
      <w:jc w:val="center"/>
      <w:rPr>
        <w:rFonts w:ascii="Arial" w:cs="Arial" w:eastAsia="Arial" w:hAnsi="Arial"/>
        <w:color w:val="595959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595959"/>
        <w:sz w:val="18"/>
        <w:szCs w:val="18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6">
    <w:pPr>
      <w:spacing w:after="0" w:line="240" w:lineRule="auto"/>
      <w:jc w:val="center"/>
      <w:rPr>
        <w:rFonts w:ascii="Arial" w:cs="Arial" w:eastAsia="Arial" w:hAnsi="Arial"/>
        <w:color w:val="595959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595959"/>
        <w:sz w:val="18"/>
        <w:szCs w:val="18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7">
    <w:pPr>
      <w:spacing w:after="0" w:line="240" w:lineRule="auto"/>
      <w:jc w:val="center"/>
      <w:rPr>
        <w:rFonts w:ascii="Arial" w:cs="Arial" w:eastAsia="Arial" w:hAnsi="Arial"/>
        <w:color w:val="595959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color w:val="595959"/>
        <w:sz w:val="18"/>
        <w:szCs w:val="18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color w:val="595959"/>
        <w:sz w:val="18"/>
        <w:szCs w:val="18"/>
        <w:rtl w:val="0"/>
      </w:rPr>
      <w:t xml:space="preserve">Caxias do Sul</w:t>
    </w:r>
  </w:p>
  <w:p w:rsidR="00000000" w:rsidDel="00000000" w:rsidP="00000000" w:rsidRDefault="00000000" w:rsidRPr="00000000" w14:paraId="00000068">
    <w:pPr>
      <w:spacing w:after="0" w:line="240" w:lineRule="auto"/>
      <w:jc w:val="left"/>
      <w:rPr>
        <w:rFonts w:ascii="Times New Roman" w:cs="Times New Roman" w:eastAsia="Times New Roman" w:hAnsi="Times New Roman"/>
        <w:color w:val="1f1a17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Corpodotexto"/>
    <w:autoRedefine w:val="0"/>
    <w:hidden w:val="0"/>
    <w:qFormat w:val="0"/>
    <w:pPr>
      <w:widowControl w:val="1"/>
      <w:numPr>
        <w:ilvl w:val="2"/>
        <w:numId w:val="1"/>
      </w:numP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0"/>
      <w:color w:val="00000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stilo1Char">
    <w:name w:val="Estilo1 Char"/>
    <w:next w:val="Estilo1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val="pt-BR"/>
    </w:rPr>
  </w:style>
  <w:style w:type="character" w:styleId="Estilo2Char">
    <w:name w:val="Estilo2 Char"/>
    <w:next w:val="Estilo2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M4">
    <w:name w:val="CM4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43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after="26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3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9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6">
    <w:name w:val="CM6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after="125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Default"/>
    <w:next w:val="Estilo1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Estilo2">
    <w:name w:val="Estilo2"/>
    <w:basedOn w:val="Default"/>
    <w:next w:val="Estilo2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Omb4dWMuKT3X+3TIb6c9ozEiA==">CgMxLjA4AHIhMTh6YVU4OU5Ib18zN0lmTTQyaVlTaE42SDI3MTBUY1Et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2021-03-18T18:20:00Z</dcterms:created>
  <dc:creator>Professor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