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PROCESSO SELETIVO SIMPLIFICADO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 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vertAlign w:val="baseline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ind w:right="-568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vertAlign w:val="baselin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vertAlign w:val="baselin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  Edital, da divulgação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242.598425196851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vertAlign w:val="baseline"/>
          <w:rtl w:val="0"/>
        </w:rPr>
        <w:t xml:space="preserve">(  ) homologação preliminar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vertAlign w:val="baseline"/>
          <w:rtl w:val="0"/>
        </w:rPr>
        <w:t xml:space="preserve">(  )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resultado do procedimento de heteroidentificação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vertAlign w:val="baseline"/>
          <w:rtl w:val="0"/>
        </w:rPr>
        <w:t xml:space="preserve">(  )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resultado preliminar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242.598425196851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0" w:line="240" w:lineRule="auto"/>
        <w:ind w:left="120" w:right="242.598425196851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242.5984251968515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40" w:line="240" w:lineRule="auto"/>
        <w:ind w:left="120" w:right="242.598425196851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20" w:right="-568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20" w:right="-568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vertAlign w:val="baseline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vertAlign w:val="baseline"/>
          <w:rtl w:val="0"/>
        </w:rPr>
        <w:t xml:space="preserve">    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vertAlign w:val="baseline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vertAlign w:val="baseline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240" w:lineRule="auto"/>
        <w:jc w:val="center"/>
        <w:rPr>
          <w:rFonts w:ascii="Calibri" w:cs="Calibri" w:eastAsia="Calibri" w:hAnsi="Calibri"/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ind w:right="-568"/>
        <w:rPr>
          <w:rFonts w:ascii="Calibri" w:cs="Calibri" w:eastAsia="Calibri" w:hAnsi="Calibri"/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spacing w:line="240" w:lineRule="auto"/>
      <w:ind w:left="4200" w:firstLine="0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</w:rPr>
      <w:drawing>
        <wp:inline distB="0" distT="0" distL="114300" distR="114300">
          <wp:extent cx="525145" cy="5803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145" cy="580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before="7" w:line="120" w:lineRule="auto"/>
      <w:rPr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</w:t>
    </w: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1D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            Instituto Federal de Educação, Ciência e Tecnologia do Rio Grande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