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after="0" w:before="24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Style w:val="Title"/>
        <w:widowControl w:val="0"/>
        <w:spacing w:after="0" w:before="147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classificado para atuar como bolsista na Bolsa Formação - Programa Mulheres Mil, no cargo de __________________________________ no Campus </w:t>
      </w:r>
      <w:r w:rsidDel="00000000" w:rsidR="00000000" w:rsidRPr="00000000">
        <w:rPr>
          <w:sz w:val="24"/>
          <w:szCs w:val="24"/>
          <w:rtl w:val="0"/>
        </w:rPr>
        <w:t xml:space="preserve">Bento Gonçalves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ao aceitar a vaga, declaro: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de acordo com os termos do Edital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7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as atividades referentes ao cargo selecionado.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6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disponibilidade para cumprir a carga horária prevista.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7" w:line="360" w:lineRule="auto"/>
        <w:ind w:left="15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de que a bolsa recebida é intransferível.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46" w:line="360" w:lineRule="auto"/>
        <w:ind w:left="1540" w:right="10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que o IFRS não se responsabiliza por eventuais atrasos nos pagamentos de bolsas que venham a ocorrer em função da não descentralização do recurso orçamentário.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1531" w:right="113" w:hanging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que a carga horária das atividades de bolsista não poderá estar incluída na jornada regular de trabalho exercida no IFRS. (Para os casos de bolsistas que são servidores do IFRS).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47"/>
          <w:tab w:val="left" w:leader="none" w:pos="3936"/>
          <w:tab w:val="left" w:leader="none" w:pos="4255"/>
          <w:tab w:val="left" w:leader="none" w:pos="5748"/>
        </w:tabs>
        <w:spacing w:after="0" w:before="147" w:line="360" w:lineRule="auto"/>
        <w:ind w:left="113" w:right="0" w:firstLine="73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Comunicarei</w:t>
        <w:tab/>
        <w:t xml:space="preserve">imediatamente</w:t>
        <w:tab/>
        <w:t xml:space="preserve">à</w:t>
        <w:tab/>
        <w:t xml:space="preserve">Coordenação</w:t>
        <w:tab/>
        <w:t xml:space="preserve">Adjunta da Unidade quaisquer alterações nas condições expostas acima.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85" w:line="360" w:lineRule="auto"/>
        <w:ind w:left="422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bolsista</w:t>
      </w:r>
    </w:p>
    <w:sectPr>
      <w:pgSz w:h="16838" w:w="11920" w:orient="portrait"/>
      <w:pgMar w:bottom="280" w:top="1420" w:left="1340" w:right="83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540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●"/>
      <w:lvlJc w:val="left"/>
      <w:pPr>
        <w:ind w:left="2364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3188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012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83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66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484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08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3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4" w:lineRule="auto"/>
      <w:ind w:left="3412" w:right="3964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ind w:left="1540" w:right="0" w:hanging="360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xn4FtCDLD3HpPG3hIIzBBVPZA==">CgMxLjA4AHIhMUhud0RjS3hvYm5YckVMY1hrMWdMdjdhWHJLa21aUmJO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