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2E3" w:rsidRDefault="007E42E3" w:rsidP="007E42E3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ANEXO I</w:t>
      </w:r>
    </w:p>
    <w:p w:rsidR="007E42E3" w:rsidRDefault="007E42E3" w:rsidP="007E42E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highlight w:val="white"/>
        </w:rPr>
      </w:pPr>
    </w:p>
    <w:p w:rsidR="007E42E3" w:rsidRDefault="007E42E3" w:rsidP="007E42E3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CRONOGRAMA DO PROCESSO SELETIVO PARA ALUNO ESPECIAL 2025</w:t>
      </w:r>
    </w:p>
    <w:p w:rsidR="007E42E3" w:rsidRDefault="007E42E3" w:rsidP="007E42E3">
      <w:pPr>
        <w:jc w:val="center"/>
        <w:rPr>
          <w:rFonts w:ascii="Calibri" w:eastAsia="Calibri" w:hAnsi="Calibri" w:cs="Calibri"/>
          <w:b/>
        </w:rPr>
      </w:pPr>
    </w:p>
    <w:tbl>
      <w:tblPr>
        <w:tblW w:w="9870" w:type="dxa"/>
        <w:tblInd w:w="-10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6225"/>
        <w:gridCol w:w="3645"/>
      </w:tblGrid>
      <w:tr w:rsidR="007E42E3" w:rsidTr="007F1E39">
        <w:tc>
          <w:tcPr>
            <w:tcW w:w="6225" w:type="dxa"/>
            <w:tcMar>
              <w:left w:w="42" w:type="dxa"/>
            </w:tcMar>
          </w:tcPr>
          <w:p w:rsidR="007E42E3" w:rsidRDefault="007E42E3" w:rsidP="007F1E3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Atividade</w:t>
            </w:r>
          </w:p>
        </w:tc>
        <w:tc>
          <w:tcPr>
            <w:tcW w:w="3645" w:type="dxa"/>
            <w:tcBorders>
              <w:left w:val="single" w:sz="4" w:space="0" w:color="000001"/>
              <w:right w:val="single" w:sz="4" w:space="0" w:color="000001"/>
            </w:tcBorders>
            <w:tcMar>
              <w:left w:w="42" w:type="dxa"/>
            </w:tcMar>
          </w:tcPr>
          <w:p w:rsidR="007E42E3" w:rsidRDefault="007E42E3" w:rsidP="007F1E3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Data</w:t>
            </w:r>
          </w:p>
        </w:tc>
      </w:tr>
      <w:tr w:rsidR="007E42E3" w:rsidTr="007F1E39">
        <w:tc>
          <w:tcPr>
            <w:tcW w:w="6225" w:type="dxa"/>
            <w:tcMar>
              <w:left w:w="42" w:type="dxa"/>
            </w:tcMar>
            <w:vAlign w:val="center"/>
          </w:tcPr>
          <w:p w:rsidR="007E42E3" w:rsidRDefault="007E42E3" w:rsidP="007F1E3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Divulgação do Edital </w:t>
            </w:r>
          </w:p>
        </w:tc>
        <w:tc>
          <w:tcPr>
            <w:tcW w:w="3645" w:type="dxa"/>
            <w:tcBorders>
              <w:left w:val="single" w:sz="4" w:space="0" w:color="000001"/>
              <w:right w:val="single" w:sz="4" w:space="0" w:color="000001"/>
            </w:tcBorders>
            <w:tcMar>
              <w:left w:w="42" w:type="dxa"/>
            </w:tcMar>
            <w:vAlign w:val="center"/>
          </w:tcPr>
          <w:p w:rsidR="007E42E3" w:rsidRDefault="008832F8" w:rsidP="007F1E39">
            <w:pP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17 de fevereiro de 2025</w:t>
            </w:r>
          </w:p>
        </w:tc>
      </w:tr>
      <w:tr w:rsidR="007E42E3" w:rsidTr="007F1E39">
        <w:tc>
          <w:tcPr>
            <w:tcW w:w="6225" w:type="dxa"/>
            <w:tcMar>
              <w:left w:w="42" w:type="dxa"/>
            </w:tcMar>
            <w:vAlign w:val="center"/>
          </w:tcPr>
          <w:p w:rsidR="007E42E3" w:rsidRDefault="007E42E3" w:rsidP="007F1E3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Período de inscrições</w:t>
            </w:r>
          </w:p>
        </w:tc>
        <w:tc>
          <w:tcPr>
            <w:tcW w:w="3645" w:type="dxa"/>
            <w:tcBorders>
              <w:left w:val="single" w:sz="4" w:space="0" w:color="000001"/>
              <w:right w:val="single" w:sz="4" w:space="0" w:color="000001"/>
            </w:tcBorders>
            <w:tcMar>
              <w:left w:w="42" w:type="dxa"/>
            </w:tcMar>
            <w:vAlign w:val="center"/>
          </w:tcPr>
          <w:p w:rsidR="007E42E3" w:rsidRDefault="008832F8" w:rsidP="007F1E3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 17 a 21 de fevereiro de 2025</w:t>
            </w:r>
          </w:p>
        </w:tc>
      </w:tr>
      <w:tr w:rsidR="007E42E3" w:rsidTr="007F1E39">
        <w:tc>
          <w:tcPr>
            <w:tcW w:w="6225" w:type="dxa"/>
            <w:tcMar>
              <w:left w:w="42" w:type="dxa"/>
            </w:tcMar>
            <w:vAlign w:val="center"/>
          </w:tcPr>
          <w:p w:rsidR="007E42E3" w:rsidRDefault="007E42E3" w:rsidP="007F1E3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Divulgação preliminar das inscrições homologadas</w:t>
            </w:r>
          </w:p>
        </w:tc>
        <w:tc>
          <w:tcPr>
            <w:tcW w:w="3645" w:type="dxa"/>
            <w:tcBorders>
              <w:left w:val="single" w:sz="4" w:space="0" w:color="000001"/>
              <w:right w:val="single" w:sz="4" w:space="0" w:color="000001"/>
            </w:tcBorders>
            <w:tcMar>
              <w:left w:w="42" w:type="dxa"/>
            </w:tcMar>
            <w:vAlign w:val="center"/>
          </w:tcPr>
          <w:p w:rsidR="007E42E3" w:rsidRDefault="007E42E3" w:rsidP="007F1E3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 de fevereiro de 2025</w:t>
            </w:r>
          </w:p>
        </w:tc>
      </w:tr>
      <w:tr w:rsidR="007E42E3" w:rsidTr="007F1E39">
        <w:tc>
          <w:tcPr>
            <w:tcW w:w="6225" w:type="dxa"/>
            <w:tcMar>
              <w:left w:w="42" w:type="dxa"/>
            </w:tcMar>
            <w:vAlign w:val="center"/>
          </w:tcPr>
          <w:p w:rsidR="007E42E3" w:rsidRDefault="007E42E3" w:rsidP="007F1E39">
            <w:pPr>
              <w:rPr>
                <w:rFonts w:ascii="Calibri" w:eastAsia="Calibri" w:hAnsi="Calibri" w:cs="Calibri"/>
                <w:highlight w:val="yellow"/>
                <w:vertAlign w:val="superscript"/>
              </w:rPr>
            </w:pPr>
            <w:r>
              <w:rPr>
                <w:rFonts w:ascii="Calibri" w:eastAsia="Calibri" w:hAnsi="Calibri" w:cs="Calibri"/>
              </w:rPr>
              <w:t>Interposição de recursos referente à homologação das inscrições</w:t>
            </w:r>
          </w:p>
        </w:tc>
        <w:tc>
          <w:tcPr>
            <w:tcW w:w="3645" w:type="dxa"/>
            <w:tcBorders>
              <w:left w:val="single" w:sz="4" w:space="0" w:color="000001"/>
              <w:right w:val="single" w:sz="4" w:space="0" w:color="000001"/>
            </w:tcBorders>
            <w:tcMar>
              <w:left w:w="42" w:type="dxa"/>
            </w:tcMar>
            <w:vAlign w:val="center"/>
          </w:tcPr>
          <w:p w:rsidR="007E42E3" w:rsidRDefault="007E42E3" w:rsidP="007F1E3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 e 27 de fevereiro de 2025</w:t>
            </w:r>
          </w:p>
        </w:tc>
      </w:tr>
      <w:tr w:rsidR="007E42E3" w:rsidTr="007F1E39">
        <w:tc>
          <w:tcPr>
            <w:tcW w:w="6225" w:type="dxa"/>
            <w:tcMar>
              <w:left w:w="42" w:type="dxa"/>
            </w:tcMar>
            <w:vAlign w:val="center"/>
          </w:tcPr>
          <w:p w:rsidR="007E42E3" w:rsidRDefault="007E42E3" w:rsidP="007F1E3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Divulgação das inscrições homologadas após análise de recursos</w:t>
            </w:r>
          </w:p>
        </w:tc>
        <w:tc>
          <w:tcPr>
            <w:tcW w:w="3645" w:type="dxa"/>
            <w:tcBorders>
              <w:left w:val="single" w:sz="4" w:space="0" w:color="000001"/>
              <w:right w:val="single" w:sz="4" w:space="0" w:color="000001"/>
            </w:tcBorders>
            <w:tcMar>
              <w:left w:w="42" w:type="dxa"/>
            </w:tcMar>
            <w:vAlign w:val="center"/>
          </w:tcPr>
          <w:p w:rsidR="007E42E3" w:rsidRDefault="007E42E3" w:rsidP="007F1E3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 de fevereiro de 2025</w:t>
            </w:r>
          </w:p>
        </w:tc>
      </w:tr>
      <w:tr w:rsidR="007E42E3" w:rsidTr="007F1E39">
        <w:tc>
          <w:tcPr>
            <w:tcW w:w="6225" w:type="dxa"/>
            <w:tcMar>
              <w:left w:w="42" w:type="dxa"/>
            </w:tcMar>
            <w:vAlign w:val="center"/>
          </w:tcPr>
          <w:p w:rsidR="007E42E3" w:rsidRDefault="007E42E3" w:rsidP="007F1E3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Divulgação dos resultados</w:t>
            </w:r>
          </w:p>
        </w:tc>
        <w:tc>
          <w:tcPr>
            <w:tcW w:w="3645" w:type="dxa"/>
            <w:tcBorders>
              <w:left w:val="single" w:sz="4" w:space="0" w:color="000001"/>
              <w:right w:val="single" w:sz="4" w:space="0" w:color="000001"/>
            </w:tcBorders>
            <w:tcMar>
              <w:left w:w="42" w:type="dxa"/>
            </w:tcMar>
            <w:vAlign w:val="center"/>
          </w:tcPr>
          <w:p w:rsidR="007E42E3" w:rsidRDefault="008832F8" w:rsidP="007F1E3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  <w:r w:rsidR="007E42E3">
              <w:rPr>
                <w:rFonts w:ascii="Calibri" w:eastAsia="Calibri" w:hAnsi="Calibri" w:cs="Calibri"/>
              </w:rPr>
              <w:t xml:space="preserve"> de março de 2025</w:t>
            </w:r>
          </w:p>
        </w:tc>
      </w:tr>
      <w:tr w:rsidR="007E42E3" w:rsidTr="007F1E39">
        <w:tc>
          <w:tcPr>
            <w:tcW w:w="6225" w:type="dxa"/>
            <w:tcMar>
              <w:left w:w="42" w:type="dxa"/>
            </w:tcMar>
            <w:vAlign w:val="center"/>
          </w:tcPr>
          <w:p w:rsidR="007E42E3" w:rsidRDefault="007E42E3" w:rsidP="007F1E3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Interposição de recursos </w:t>
            </w:r>
          </w:p>
        </w:tc>
        <w:tc>
          <w:tcPr>
            <w:tcW w:w="3645" w:type="dxa"/>
            <w:tcBorders>
              <w:left w:val="single" w:sz="4" w:space="0" w:color="000001"/>
              <w:right w:val="single" w:sz="4" w:space="0" w:color="000001"/>
            </w:tcBorders>
            <w:tcMar>
              <w:left w:w="42" w:type="dxa"/>
            </w:tcMar>
            <w:vAlign w:val="center"/>
          </w:tcPr>
          <w:p w:rsidR="007E42E3" w:rsidRDefault="007E42E3" w:rsidP="007F1E3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 e 6 de março de 2025</w:t>
            </w:r>
          </w:p>
        </w:tc>
      </w:tr>
      <w:tr w:rsidR="007E42E3" w:rsidTr="007F1E39">
        <w:tc>
          <w:tcPr>
            <w:tcW w:w="6225" w:type="dxa"/>
            <w:tcMar>
              <w:left w:w="42" w:type="dxa"/>
            </w:tcMar>
            <w:vAlign w:val="center"/>
          </w:tcPr>
          <w:p w:rsidR="007E42E3" w:rsidRDefault="007E42E3" w:rsidP="007F1E3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Resultado final</w:t>
            </w:r>
          </w:p>
        </w:tc>
        <w:tc>
          <w:tcPr>
            <w:tcW w:w="3645" w:type="dxa"/>
            <w:tcBorders>
              <w:left w:val="single" w:sz="4" w:space="0" w:color="000001"/>
              <w:right w:val="single" w:sz="4" w:space="0" w:color="000001"/>
            </w:tcBorders>
            <w:tcMar>
              <w:left w:w="42" w:type="dxa"/>
            </w:tcMar>
            <w:vAlign w:val="center"/>
          </w:tcPr>
          <w:p w:rsidR="007E42E3" w:rsidRDefault="007E42E3" w:rsidP="007F1E3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7 de março de 2025</w:t>
            </w:r>
          </w:p>
        </w:tc>
      </w:tr>
      <w:tr w:rsidR="007E42E3" w:rsidTr="007F1E39">
        <w:tc>
          <w:tcPr>
            <w:tcW w:w="6225" w:type="dxa"/>
            <w:tcMar>
              <w:left w:w="42" w:type="dxa"/>
            </w:tcMar>
            <w:vAlign w:val="center"/>
          </w:tcPr>
          <w:p w:rsidR="007E42E3" w:rsidRDefault="007E42E3" w:rsidP="007F1E3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Matrícula</w:t>
            </w:r>
          </w:p>
        </w:tc>
        <w:tc>
          <w:tcPr>
            <w:tcW w:w="3645" w:type="dxa"/>
            <w:tcBorders>
              <w:left w:val="single" w:sz="4" w:space="0" w:color="000001"/>
              <w:right w:val="single" w:sz="4" w:space="0" w:color="000001"/>
            </w:tcBorders>
            <w:tcMar>
              <w:left w:w="42" w:type="dxa"/>
            </w:tcMar>
            <w:vAlign w:val="center"/>
          </w:tcPr>
          <w:p w:rsidR="007E42E3" w:rsidRDefault="007E42E3" w:rsidP="007F1E3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 de março de 2025</w:t>
            </w:r>
          </w:p>
        </w:tc>
      </w:tr>
      <w:tr w:rsidR="007E42E3" w:rsidTr="007F1E39">
        <w:trPr>
          <w:trHeight w:val="870"/>
        </w:trPr>
        <w:tc>
          <w:tcPr>
            <w:tcW w:w="6225" w:type="dxa"/>
            <w:tcMar>
              <w:left w:w="42" w:type="dxa"/>
            </w:tcMar>
            <w:vAlign w:val="center"/>
          </w:tcPr>
          <w:p w:rsidR="007E42E3" w:rsidRDefault="007E42E3" w:rsidP="007F1E3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Divulgação da segunda chamada, se houver vaga remanescente</w:t>
            </w:r>
          </w:p>
        </w:tc>
        <w:tc>
          <w:tcPr>
            <w:tcW w:w="3645" w:type="dxa"/>
            <w:tcBorders>
              <w:left w:val="single" w:sz="4" w:space="0" w:color="000001"/>
              <w:right w:val="single" w:sz="4" w:space="0" w:color="000001"/>
            </w:tcBorders>
            <w:tcMar>
              <w:left w:w="42" w:type="dxa"/>
            </w:tcMar>
            <w:vAlign w:val="center"/>
          </w:tcPr>
          <w:p w:rsidR="007E42E3" w:rsidRDefault="007E42E3" w:rsidP="007F1E3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 de março de 2025</w:t>
            </w:r>
          </w:p>
        </w:tc>
      </w:tr>
      <w:tr w:rsidR="007E42E3" w:rsidTr="007F1E39">
        <w:trPr>
          <w:trHeight w:val="480"/>
        </w:trPr>
        <w:tc>
          <w:tcPr>
            <w:tcW w:w="6225" w:type="dxa"/>
            <w:tcMar>
              <w:left w:w="42" w:type="dxa"/>
            </w:tcMar>
            <w:vAlign w:val="center"/>
          </w:tcPr>
          <w:p w:rsidR="007E42E3" w:rsidRDefault="007E42E3" w:rsidP="007F1E3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Matrícula da segunda chamada</w:t>
            </w:r>
          </w:p>
        </w:tc>
        <w:tc>
          <w:tcPr>
            <w:tcW w:w="3645" w:type="dxa"/>
            <w:tcBorders>
              <w:left w:val="single" w:sz="4" w:space="0" w:color="000001"/>
              <w:right w:val="single" w:sz="4" w:space="0" w:color="000001"/>
            </w:tcBorders>
            <w:tcMar>
              <w:left w:w="42" w:type="dxa"/>
            </w:tcMar>
            <w:vAlign w:val="center"/>
          </w:tcPr>
          <w:p w:rsidR="007E42E3" w:rsidRDefault="007E42E3" w:rsidP="007F1E3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 e 14 de março de 2025</w:t>
            </w:r>
          </w:p>
        </w:tc>
      </w:tr>
      <w:tr w:rsidR="007E42E3" w:rsidTr="007F1E39">
        <w:trPr>
          <w:trHeight w:val="480"/>
        </w:trPr>
        <w:tc>
          <w:tcPr>
            <w:tcW w:w="6225" w:type="dxa"/>
            <w:tcMar>
              <w:left w:w="42" w:type="dxa"/>
            </w:tcMar>
            <w:vAlign w:val="center"/>
          </w:tcPr>
          <w:p w:rsidR="007E42E3" w:rsidRDefault="007E42E3" w:rsidP="007F1E3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Início das aulas</w:t>
            </w:r>
          </w:p>
        </w:tc>
        <w:tc>
          <w:tcPr>
            <w:tcW w:w="3645" w:type="dxa"/>
            <w:tcBorders>
              <w:left w:val="single" w:sz="4" w:space="0" w:color="000001"/>
              <w:right w:val="single" w:sz="4" w:space="0" w:color="000001"/>
            </w:tcBorders>
            <w:tcMar>
              <w:left w:w="42" w:type="dxa"/>
            </w:tcMar>
            <w:vAlign w:val="center"/>
          </w:tcPr>
          <w:p w:rsidR="007E42E3" w:rsidRDefault="007E42E3" w:rsidP="007F1E3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 de março de 2025 (IFRS)</w:t>
            </w:r>
          </w:p>
          <w:p w:rsidR="007E42E3" w:rsidRDefault="007E42E3" w:rsidP="007F1E3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 de março de 2025 (IFSC)</w:t>
            </w:r>
            <w:bookmarkStart w:id="0" w:name="_GoBack"/>
            <w:bookmarkEnd w:id="0"/>
          </w:p>
        </w:tc>
      </w:tr>
    </w:tbl>
    <w:p w:rsidR="00E97C64" w:rsidRDefault="00E97C64"/>
    <w:sectPr w:rsidR="00E97C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15E" w:rsidRDefault="0043115E">
      <w:r>
        <w:separator/>
      </w:r>
    </w:p>
  </w:endnote>
  <w:endnote w:type="continuationSeparator" w:id="0">
    <w:p w:rsidR="0043115E" w:rsidRDefault="0043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A6F" w:rsidRDefault="0043115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A6F" w:rsidRDefault="007E42E3">
    <w:pP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>PAGE</w:instrText>
    </w:r>
    <w:r>
      <w:rPr>
        <w:rFonts w:ascii="Calibri" w:eastAsia="Calibri" w:hAnsi="Calibri" w:cs="Calibri"/>
        <w:sz w:val="20"/>
        <w:szCs w:val="20"/>
      </w:rPr>
      <w:fldChar w:fldCharType="separate"/>
    </w:r>
    <w:r w:rsidR="008832F8">
      <w:rPr>
        <w:rFonts w:ascii="Calibri" w:eastAsia="Calibri" w:hAnsi="Calibri" w:cs="Calibri"/>
        <w:noProof/>
        <w:sz w:val="20"/>
        <w:szCs w:val="20"/>
      </w:rPr>
      <w:t>1</w:t>
    </w:r>
    <w:r>
      <w:rPr>
        <w:rFonts w:ascii="Calibri" w:eastAsia="Calibri" w:hAnsi="Calibri" w:cs="Calibr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A6F" w:rsidRDefault="0043115E">
    <w:pPr>
      <w:jc w:val="center"/>
      <w:rPr>
        <w:rFonts w:ascii="Calibri" w:eastAsia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15E" w:rsidRDefault="0043115E">
      <w:r>
        <w:separator/>
      </w:r>
    </w:p>
  </w:footnote>
  <w:footnote w:type="continuationSeparator" w:id="0">
    <w:p w:rsidR="0043115E" w:rsidRDefault="0043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A6F" w:rsidRDefault="0043115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A6F" w:rsidRDefault="0043115E">
    <w:pPr>
      <w:ind w:left="-540"/>
      <w:rPr>
        <w:rFonts w:ascii="Arial" w:eastAsia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A6F" w:rsidRDefault="007E42E3">
    <w:pPr>
      <w:tabs>
        <w:tab w:val="center" w:pos="4252"/>
        <w:tab w:val="right" w:pos="8504"/>
      </w:tabs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noProof/>
        <w:color w:val="1F1A17"/>
      </w:rPr>
      <w:drawing>
        <wp:inline distT="0" distB="0" distL="0" distR="0">
          <wp:extent cx="714375" cy="72390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47A6F" w:rsidRDefault="007E42E3">
    <w:pPr>
      <w:spacing w:before="60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MINISTÉRIO DA EDUCAÇÃO</w:t>
    </w:r>
  </w:p>
  <w:p w:rsidR="00347A6F" w:rsidRDefault="007E42E3">
    <w:pPr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Secretaria de Educação Profissional e Tecnológica</w:t>
    </w:r>
  </w:p>
  <w:p w:rsidR="00347A6F" w:rsidRDefault="007E42E3">
    <w:pPr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Instituto Federal de Educação, Ciência e Tecnologia do Rio Grande do Sul</w:t>
    </w:r>
  </w:p>
  <w:p w:rsidR="00347A6F" w:rsidRDefault="007E42E3">
    <w:pPr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i/>
        <w:sz w:val="20"/>
        <w:szCs w:val="20"/>
      </w:rPr>
      <w:t>Campus</w:t>
    </w:r>
    <w:r>
      <w:rPr>
        <w:rFonts w:ascii="Calibri" w:eastAsia="Calibri" w:hAnsi="Calibri" w:cs="Calibri"/>
        <w:sz w:val="20"/>
        <w:szCs w:val="20"/>
      </w:rPr>
      <w:t xml:space="preserve"> Bento Gonçalves</w:t>
    </w:r>
  </w:p>
  <w:p w:rsidR="00347A6F" w:rsidRDefault="0043115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2E3"/>
    <w:rsid w:val="0043115E"/>
    <w:rsid w:val="007E42E3"/>
    <w:rsid w:val="008832F8"/>
    <w:rsid w:val="00E9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E3855"/>
  <w15:chartTrackingRefBased/>
  <w15:docId w15:val="{BD69A61E-BEA4-4C21-836B-5B105BB9B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2E3"/>
    <w:pPr>
      <w:widowControl w:val="0"/>
      <w:spacing w:after="0" w:line="240" w:lineRule="auto"/>
    </w:pPr>
    <w:rPr>
      <w:rFonts w:ascii="Cambria" w:eastAsia="Cambria" w:hAnsi="Cambria" w:cs="Cambri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Poletto</dc:creator>
  <cp:keywords/>
  <dc:description/>
  <cp:lastModifiedBy>Sandra Nicolli Piovesana</cp:lastModifiedBy>
  <cp:revision>2</cp:revision>
  <dcterms:created xsi:type="dcterms:W3CDTF">2025-02-14T13:01:00Z</dcterms:created>
  <dcterms:modified xsi:type="dcterms:W3CDTF">2025-02-14T13:01:00Z</dcterms:modified>
</cp:coreProperties>
</file>