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88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MOBILIDADE INTERNACIONAL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Destino: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 de Destino: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na Instituição Receptora: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mobilidade: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Componentes Curriculares cursados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Você cursou componentes curriculares?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 Quais os sistemas de avaliação utilizados no curso (provas escritas, orais, trabalhos, outros)?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7"/>
      <w:bookmarkEnd w:id="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Você realizou estágio curricular obrigatório durante a Mobilidade? Como ocorreu a definição da área do estágio e da empresa para realização do estágio?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whwml4" w:id="8"/>
      <w:bookmarkEnd w:id="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4- Qual era a metodologia das aulas (expositivas, debates, apresentações, outros)?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 Quais das seguintes facilidades eram disponibilizadas pela Instituição receptora? (Biblioteca, computadores, e-mail para estudantes, restaurante ou lanchonetes, parque esportivo, alojamento, entre outros)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9"/>
      <w:bookmarkEnd w:id="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10"/>
      <w:bookmarkEnd w:id="1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  <w:tab/>
        <w:t xml:space="preserve">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9x2ik5" w:id="11"/>
      <w:bookmarkEnd w:id="1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12"/>
      <w:bookmarkEnd w:id="1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13"/>
      <w:bookmarkEnd w:id="1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 Você teve dificuldade para acompanhar as aulas devido a problemas com o idioma?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hv636" w:id="14"/>
      <w:bookmarkEnd w:id="1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 Você conseguiu se matricular nos componentes curriculares que havia planejado?</w:t>
      </w:r>
    </w:p>
    <w:tbl>
      <w:tblPr>
        <w:tblStyle w:val="Table3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1mghml" w:id="15"/>
      <w:bookmarkEnd w:id="1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8– Descreva as atividades de pesquisa e extensão realizadas, identificando os objetivos e resultados alcançados.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fwokq0" w:id="16"/>
      <w:bookmarkEnd w:id="16"/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INTEGRAÇÃO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u6wntf" w:id="17"/>
      <w:bookmarkEnd w:id="1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 Houve recepção aos estudantes em mobilidade organizada pela Instituição receptora?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8h4qwu" w:id="18"/>
      <w:bookmarkEnd w:id="1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 Como foi à receptividade dos colegas? Houve alguma atividade de recepção organizada pelos alunos?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mrcu09" w:id="19"/>
      <w:bookmarkEnd w:id="1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11-Você teve mais contato com estudantes nativos ou estrangeiros (quando em mobilidade internacional)?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11kx3o" w:id="20"/>
      <w:bookmarkEnd w:id="2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12-Como foi a receptividade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professores? Eram acessíveis fora das salas de aula?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ASPECTOS BUROCRÁTICOS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k668n3" w:id="21"/>
      <w:bookmarkEnd w:id="2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13- Houve algum problema em relação ao visto (mobilidade internacional)?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ygebqi" w:id="22"/>
      <w:bookmarkEnd w:id="2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 Houve assistência por parte da Instituição Receptora para resolução de problemas burocráticos?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cqmetx" w:id="23"/>
      <w:bookmarkEnd w:id="2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15- Que documentos você teve que emitir (Ex: Carteira escolar)?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GRUPO RESPONSÁVEL PELA MOBILIDADE NO IFRS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r0uhxc" w:id="24"/>
      <w:bookmarkEnd w:id="2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 Quais são suas considerações em relação ao trabalho desenvolvido pela Direção de Ensino, Coordenação de Ensino de Graduação e Coordenação de Curso?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5b2l0r" w:id="25"/>
      <w:bookmarkEnd w:id="2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 Que sugestões você faria para que os serviços prestados pela Direção de Ensino, Coordenação de Ensino de Graduação e Coordenação de Curso fossem aperfeiçoados?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3b3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CONCLUSÃO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jlao46" w:id="26"/>
      <w:bookmarkEnd w:id="2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18- Qual a importância da mobilidade para sua vida pessoal, acadêmica e profissional?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xvir7l" w:id="27"/>
      <w:bookmarkEnd w:id="2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19- Quais os conselhos e/ou dicas que você daria para os estudantes que pretendem ir para o mesmo lugar em que você esteve?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h042r0" w:id="28"/>
      <w:bookmarkEnd w:id="28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right="13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Assinatura manuscrita (igual ao documento de identificação) ou assinatura eletrônica via portal gov.br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https://assinador.iti.br/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0" distT="0" distL="0" distR="0">
          <wp:extent cx="504825" cy="542925"/>
          <wp:effectExtent b="0" l="0" r="0" t="0"/>
          <wp:docPr descr="Uma imagem contendo relógio, copo&#10;&#10;Descrição gerada automaticamente" id="1" name="image1.jpg"/>
          <a:graphic>
            <a:graphicData uri="http://schemas.openxmlformats.org/drawingml/2006/picture">
              <pic:pic>
                <pic:nvPicPr>
                  <pic:cNvPr descr="Uma imagem contendo relógio, cop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6">
    <w:pPr>
      <w:widowControl w:val="0"/>
      <w:spacing w:after="0" w:before="31" w:line="240" w:lineRule="auto"/>
      <w:ind w:right="13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Campus Bento Gonçalves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432" w:right="0" w:hanging="432"/>
      <w:jc w:val="center"/>
    </w:pPr>
    <w:rPr>
      <w:rFonts w:ascii="Calibri" w:cs="Calibri" w:eastAsia="Calibri" w:hAnsi="Calibri"/>
      <w:b w:val="1"/>
      <w:i w:val="1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432" w:right="0" w:hanging="432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59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ssinador.iti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1G6fEDW/V+NxM7zyNZpeYqtflw==">CgMxLjAyCGguZ2pkZ3hzMgloLjN6bnlzaDcyCWguM2R5NnZrbTIJaC4yczhleW8xMgloLjI2aW4xcmcyCWguMWtzdjR1djIIaC56MzM3eWEyCWguNGk3b2pocDIJaC4zd2h3bWw0MgloLjNhczRwb2oyCWguMXB4ZXp3YzIJaC40OXgyaWs1MgloLjJwMmNzcnkyCWguMTQ3bjJ6cjIIaC5paHY2MzYyCWguNDFtZ2htbDIJaC4zZndva3EwMgloLjJ1NndudGYyCWguMjhoNHF3dTIJaC4xbXJjdTA5MgloLjExMWt4M28yCWguNGs2NjhuMzIJaC4zeWdlYnFpMgloLjNjcW1ldHgyCWguMnIwdWh4YzIJaC4yNWIybDByMgloLjFqbGFvNDYyCGgueHZpcjdsMgloLjRoMDQycjA4AHIhMWpjZTRHdzZTVUkwQ0k5ZGJxNW1nUlBseVJod0wxTD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