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639"/>
        </w:tabs>
        <w:spacing w:before="94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639"/>
        </w:tabs>
        <w:spacing w:before="0" w:line="240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TERMO DE COMPROMISSO PARA ESTUDANTE BOLSISTA</w:t>
      </w:r>
    </w:p>
    <w:p w:rsidR="00000000" w:rsidDel="00000000" w:rsidP="00000000" w:rsidRDefault="00000000" w:rsidRPr="00000000" w14:paraId="00000003">
      <w:pPr>
        <w:tabs>
          <w:tab w:val="left" w:leader="none" w:pos="9639"/>
        </w:tabs>
        <w:spacing w:after="240" w:before="0" w:line="240" w:lineRule="auto"/>
        <w:ind w:right="12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 PROGRAMAS/PROJETOS DE 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639"/>
        </w:tabs>
        <w:spacing w:after="240" w:before="0" w:line="240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Eu,____________________________________________________________________estudante do IFRS Campus Alvorada declaro que estou ciente dos  deveres,  abaixo especificados, na condição de bolsista no seguinte programa/projeto de extensão:</w:t>
      </w:r>
    </w:p>
    <w:p w:rsidR="00000000" w:rsidDel="00000000" w:rsidP="00000000" w:rsidRDefault="00000000" w:rsidRPr="00000000" w14:paraId="00000005">
      <w:pPr>
        <w:tabs>
          <w:tab w:val="left" w:leader="none" w:pos="9639"/>
          <w:tab w:val="left" w:leader="none" w:pos="10138"/>
          <w:tab w:val="left" w:leader="none" w:pos="10220"/>
        </w:tabs>
        <w:spacing w:line="360" w:lineRule="auto"/>
        <w:ind w:right="124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639"/>
          <w:tab w:val="left" w:leader="none" w:pos="10138"/>
          <w:tab w:val="left" w:leader="none" w:pos="10220"/>
        </w:tabs>
        <w:spacing w:line="360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Coordenador(a):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639"/>
        </w:tabs>
        <w:spacing w:before="30" w:line="276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deveres do bolsista, conforme estabelece o </w:t>
      </w:r>
      <w:hyperlink r:id="rId7">
        <w:r w:rsidDel="00000000" w:rsidR="00000000" w:rsidRPr="00000000">
          <w:rPr>
            <w:rFonts w:ascii="Calibri" w:cs="Calibri" w:eastAsia="Calibri" w:hAnsi="Calibri"/>
            <w:color w:val="0460c1"/>
            <w:sz w:val="24"/>
            <w:szCs w:val="24"/>
            <w:u w:val="single"/>
            <w:rtl w:val="0"/>
          </w:rPr>
          <w:t xml:space="preserve">Programa Institucional de Bolsas de Extensão(PIBEX) do</w:t>
        </w:r>
      </w:hyperlink>
      <w:r w:rsidDel="00000000" w:rsidR="00000000" w:rsidRPr="00000000">
        <w:rPr>
          <w:rFonts w:ascii="Calibri" w:cs="Calibri" w:eastAsia="Calibri" w:hAnsi="Calibri"/>
          <w:color w:val="0460c1"/>
          <w:sz w:val="24"/>
          <w:szCs w:val="24"/>
          <w:u w:val="singl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460c1"/>
            <w:sz w:val="24"/>
            <w:szCs w:val="24"/>
            <w:u w:val="single"/>
            <w:rtl w:val="0"/>
          </w:rPr>
          <w:t xml:space="preserve">IFRS</w:t>
        </w:r>
      </w:hyperlink>
      <w:hyperlink r:id="rId9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93" w:line="240" w:lineRule="auto"/>
        <w:ind w:left="283.46456692913375" w:right="448" w:hanging="43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zelar pela qualidade acadêmica do programa ou projeto de extensão ao qual está vinculado;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22" w:line="240" w:lineRule="auto"/>
        <w:ind w:left="283.46456692913375" w:right="448" w:hanging="43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de todas as atividades programadas pelo coordenador do programa ou projeto de extensão;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22" w:line="240" w:lineRule="auto"/>
        <w:ind w:left="283.46456692913375" w:right="448" w:hanging="43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cumprir as exigências estabelecidas no Termo de Compromisso assinado por ocasião de sua seleção;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283.46456692913375" w:right="448" w:hanging="43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ao coordenador do programa ou projeto de extensão, depois de cumprida a metade da vigência da bolsa, o relatório parcial de atividades desenvolvidas e, ao término da vigência da bolsa, o relatório final;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17" w:line="240" w:lineRule="auto"/>
        <w:ind w:left="283.46456692913375" w:right="448" w:hanging="43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trabalho em evento de extensão no seu campus, relativos ao programa ou projeto que participa; f - apresentar indicadores satisfatórios de desempenho acadêmico;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283.46456692913375" w:right="448" w:hanging="43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fazer referência à sua condição de bolsista de extensão do IFRS, nas publicações e trabalhos apresentados em eventos;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283.46456692913375" w:right="448" w:hanging="43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criar, caso não possua, seu currículo na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460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Plataforma Latte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460c1"/>
          <w:sz w:val="22"/>
          <w:szCs w:val="22"/>
          <w:u w:val="single"/>
          <w:shd w:fill="auto" w:val="clear"/>
          <w:vertAlign w:val="baseline"/>
          <w:rtl w:val="0"/>
        </w:rPr>
        <w:t xml:space="preserve">s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460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do Conselho Nacional de Desenvolvimento Científico e Tecnológico (CNPq)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, i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ncluindo sua condição de bolsista de extensão do IFRS e mantê-lo atualizado periodicamente;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12" w:line="240" w:lineRule="auto"/>
        <w:ind w:left="283.46456692913375" w:right="448" w:hanging="43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cumprir as exigências do edital específico pelo qual foi selecionado como bolsista; e, j - cumprir as demais exigências da instituição, dentro dos prazos estabelecidos.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6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  <w:tab w:val="left" w:leader="none" w:pos="826"/>
          <w:tab w:val="left" w:leader="none" w:pos="9639"/>
        </w:tabs>
        <w:spacing w:after="0" w:before="0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dispensada a apresentação do relatório parcial, previsto na alínea “d”, quando a vigência da bolsa for inferior ao período de 06 (seis) meses.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  <w:tab w:val="left" w:leader="none" w:pos="826"/>
          <w:tab w:val="left" w:leader="none" w:pos="9639"/>
        </w:tabs>
        <w:spacing w:after="0" w:before="0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desligamento, a qualquer tempo, o bolsista deverá apresentar relatório parcial das atividades realizadas.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4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639"/>
        </w:tabs>
        <w:spacing w:line="276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Comprometo-me a informar qualquer descumprimento das condições acima descritas ao Setor de Extensão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tabs>
          <w:tab w:val="left" w:leader="none" w:pos="9639"/>
        </w:tabs>
        <w:spacing w:line="276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4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Estudante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0</wp:posOffset>
                </wp:positionV>
                <wp:extent cx="3127375" cy="101600"/>
                <wp:effectExtent b="0" l="0" r="0" t="0"/>
                <wp:wrapTopAndBottom distB="0" distT="0"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6763" y="3779365"/>
                          <a:ext cx="3038475" cy="1270"/>
                        </a:xfrm>
                        <a:custGeom>
                          <a:rect b="b" l="l" r="r" t="t"/>
                          <a:pathLst>
                            <a:path extrusionOk="0" h="1270" w="3038475">
                              <a:moveTo>
                                <a:pt x="0" y="0"/>
                              </a:moveTo>
                              <a:lnTo>
                                <a:pt x="3038475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0</wp:posOffset>
                </wp:positionV>
                <wp:extent cx="3127375" cy="101600"/>
                <wp:effectExtent b="0" l="0" r="0" t="0"/>
                <wp:wrapTopAndBottom distB="0" distT="0"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7375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2" w:line="276" w:lineRule="auto"/>
        <w:ind w:left="0" w:right="12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Coordenador(a) do programa/projeto de extensão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3057525" cy="79375"/>
                <wp:effectExtent b="0" l="0" r="0" t="0"/>
                <wp:wrapTopAndBottom distB="0" distT="0"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50575" y="3775238"/>
                          <a:ext cx="29908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3057525" cy="79375"/>
                <wp:effectExtent b="0" l="0" r="0" t="0"/>
                <wp:wrapTopAndBottom distB="0" distT="0"/>
                <wp:docPr id="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footerReference r:id="rId15" w:type="default"/>
      <w:pgSz w:h="16850" w:w="11930" w:orient="portrait"/>
      <w:pgMar w:bottom="1134" w:top="2247" w:left="1134" w:right="1134" w:header="4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276" w:lineRule="auto"/>
      <w:jc w:val="center"/>
      <w:rPr>
        <w:b w:val="1"/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3633470</wp:posOffset>
          </wp:positionH>
          <wp:positionV relativeFrom="page">
            <wp:posOffset>166094</wp:posOffset>
          </wp:positionV>
          <wp:extent cx="407329" cy="438071"/>
          <wp:effectExtent b="0" l="0" r="0" t="0"/>
          <wp:wrapNone/>
          <wp:docPr id="5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7329" cy="43807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7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1D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E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F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IFRS Campus Alvorada</w:t>
    </w:r>
  </w:p>
  <w:p w:rsidR="00000000" w:rsidDel="00000000" w:rsidP="00000000" w:rsidRDefault="00000000" w:rsidRPr="00000000" w14:paraId="00000020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Gabinete da Direção Geral</w:t>
    </w:r>
  </w:p>
  <w:p w:rsidR="00000000" w:rsidDel="00000000" w:rsidP="00000000" w:rsidRDefault="00000000" w:rsidRPr="00000000" w14:paraId="00000021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7" w:hanging="719"/>
      </w:pPr>
      <w:rPr>
        <w:rFonts w:ascii="Arial" w:cs="Arial" w:eastAsia="Arial" w:hAnsi="Arial"/>
        <w:sz w:val="20"/>
        <w:szCs w:val="20"/>
      </w:rPr>
    </w:lvl>
    <w:lvl w:ilvl="1">
      <w:start w:val="2"/>
      <w:numFmt w:val="lowerLetter"/>
      <w:lvlText w:val="%2"/>
      <w:lvlJc w:val="left"/>
      <w:pPr>
        <w:ind w:left="837" w:hanging="224"/>
      </w:pPr>
      <w:rPr>
        <w:rFonts w:ascii="Arial" w:cs="Arial" w:eastAsia="Arial" w:hAnsi="Arial"/>
        <w:sz w:val="20"/>
        <w:szCs w:val="20"/>
      </w:rPr>
    </w:lvl>
    <w:lvl w:ilvl="2">
      <w:start w:val="0"/>
      <w:numFmt w:val="bullet"/>
      <w:lvlText w:val="•"/>
      <w:lvlJc w:val="left"/>
      <w:pPr>
        <w:ind w:left="1893" w:hanging="224"/>
      </w:pPr>
      <w:rPr/>
    </w:lvl>
    <w:lvl w:ilvl="3">
      <w:start w:val="0"/>
      <w:numFmt w:val="bullet"/>
      <w:lvlText w:val="•"/>
      <w:lvlJc w:val="left"/>
      <w:pPr>
        <w:ind w:left="2946" w:hanging="223.99999999999955"/>
      </w:pPr>
      <w:rPr/>
    </w:lvl>
    <w:lvl w:ilvl="4">
      <w:start w:val="0"/>
      <w:numFmt w:val="bullet"/>
      <w:lvlText w:val="•"/>
      <w:lvlJc w:val="left"/>
      <w:pPr>
        <w:ind w:left="4000" w:hanging="224"/>
      </w:pPr>
      <w:rPr/>
    </w:lvl>
    <w:lvl w:ilvl="5">
      <w:start w:val="0"/>
      <w:numFmt w:val="bullet"/>
      <w:lvlText w:val="•"/>
      <w:lvlJc w:val="left"/>
      <w:pPr>
        <w:ind w:left="5053" w:hanging="224"/>
      </w:pPr>
      <w:rPr/>
    </w:lvl>
    <w:lvl w:ilvl="6">
      <w:start w:val="0"/>
      <w:numFmt w:val="bullet"/>
      <w:lvlText w:val="•"/>
      <w:lvlJc w:val="left"/>
      <w:pPr>
        <w:ind w:left="6107" w:hanging="223.99999999999818"/>
      </w:pPr>
      <w:rPr/>
    </w:lvl>
    <w:lvl w:ilvl="7">
      <w:start w:val="0"/>
      <w:numFmt w:val="bullet"/>
      <w:lvlText w:val="•"/>
      <w:lvlJc w:val="left"/>
      <w:pPr>
        <w:ind w:left="7160" w:hanging="224"/>
      </w:pPr>
      <w:rPr/>
    </w:lvl>
    <w:lvl w:ilvl="8">
      <w:start w:val="0"/>
      <w:numFmt w:val="bullet"/>
      <w:lvlText w:val="•"/>
      <w:lvlJc w:val="left"/>
      <w:pPr>
        <w:ind w:left="8213" w:hanging="2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ind w:left="946" w:hanging="720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7014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946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Ttulo2Char" w:customStyle="1">
    <w:name w:val="Título 2 Char"/>
    <w:basedOn w:val="Fontepargpadro"/>
    <w:link w:val="Ttulo2"/>
    <w:uiPriority w:val="9"/>
    <w:semiHidden w:val="1"/>
    <w:rsid w:val="0017014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236D1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36D1E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36D1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36D1E"/>
    <w:rPr>
      <w:rFonts w:ascii="Arial MT" w:cs="Arial MT" w:eastAsia="Arial MT" w:hAnsi="Arial MT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60A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60A7"/>
    <w:rPr>
      <w:rFonts w:ascii="Tahoma" w:cs="Tahoma" w:eastAsia="Arial MT" w:hAnsi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 w:val="1"/>
    <w:rsid w:val="00C16AD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70D7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attes.cnpq.br/" TargetMode="External"/><Relationship Id="rId10" Type="http://schemas.openxmlformats.org/officeDocument/2006/relationships/hyperlink" Target="http://lattes.cnpq.br/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://lattes.cnpq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8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2iGtWcX7rXaEiFbGHUPcWzYQQ==">CgMxLjA4AHIhMU5LU2ZncUdsUzNTdTM5TUxtQ1lXR0NxV3VQTi1yQm9o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GABINETE-01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2022-04-28T00:00:00Z</vt:filetime>
  </property>
</Properties>
</file>