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b w:val="1"/>
          <w:sz w:val="22"/>
          <w:szCs w:val="22"/>
        </w:rPr>
      </w:pPr>
      <w:r w:rsidDel="00000000" w:rsidR="00000000" w:rsidRPr="00000000">
        <w:rPr>
          <w:b w:val="1"/>
          <w:sz w:val="22"/>
          <w:szCs w:val="22"/>
          <w:rtl w:val="0"/>
        </w:rPr>
        <w:t xml:space="preserve">ANEXO I</w:t>
      </w:r>
    </w:p>
    <w:p w:rsidR="00000000" w:rsidDel="00000000" w:rsidP="00000000" w:rsidRDefault="00000000" w:rsidRPr="00000000" w14:paraId="00000002">
      <w:pPr>
        <w:ind w:firstLine="0"/>
        <w:rPr>
          <w:b w:val="1"/>
          <w:sz w:val="22"/>
          <w:szCs w:val="22"/>
        </w:rPr>
      </w:pPr>
      <w:r w:rsidDel="00000000" w:rsidR="00000000" w:rsidRPr="00000000">
        <w:rPr>
          <w:rtl w:val="0"/>
        </w:rPr>
      </w:r>
    </w:p>
    <w:p w:rsidR="00000000" w:rsidDel="00000000" w:rsidP="00000000" w:rsidRDefault="00000000" w:rsidRPr="00000000" w14:paraId="00000003">
      <w:pPr>
        <w:ind w:firstLine="0"/>
        <w:rPr>
          <w:b w:val="1"/>
          <w:sz w:val="22"/>
          <w:szCs w:val="22"/>
        </w:rPr>
      </w:pPr>
      <w:r w:rsidDel="00000000" w:rsidR="00000000" w:rsidRPr="00000000">
        <w:rPr>
          <w:b w:val="1"/>
          <w:sz w:val="22"/>
          <w:szCs w:val="22"/>
          <w:rtl w:val="0"/>
        </w:rPr>
        <w:t xml:space="preserve">ANÁLISE TÉCNICA DOCUMENTAL</w:t>
      </w:r>
    </w:p>
    <w:p w:rsidR="00000000" w:rsidDel="00000000" w:rsidP="00000000" w:rsidRDefault="00000000" w:rsidRPr="00000000" w14:paraId="00000004">
      <w:pPr>
        <w:ind w:firstLine="0"/>
        <w:rPr>
          <w:b w:val="1"/>
          <w:sz w:val="22"/>
          <w:szCs w:val="22"/>
        </w:rPr>
      </w:pPr>
      <w:r w:rsidDel="00000000" w:rsidR="00000000" w:rsidRPr="00000000">
        <w:rPr>
          <w:rtl w:val="0"/>
        </w:rPr>
      </w:r>
    </w:p>
    <w:p w:rsidR="00000000" w:rsidDel="00000000" w:rsidP="00000000" w:rsidRDefault="00000000" w:rsidRPr="00000000" w14:paraId="00000005">
      <w:pPr>
        <w:ind w:firstLine="0"/>
        <w:jc w:val="left"/>
        <w:rPr>
          <w:sz w:val="22"/>
          <w:szCs w:val="22"/>
        </w:rPr>
      </w:pPr>
      <w:r w:rsidDel="00000000" w:rsidR="00000000" w:rsidRPr="00000000">
        <w:rPr>
          <w:rtl w:val="0"/>
        </w:rPr>
      </w:r>
    </w:p>
    <w:p w:rsidR="00000000" w:rsidDel="00000000" w:rsidP="00000000" w:rsidRDefault="00000000" w:rsidRPr="00000000" w14:paraId="00000006">
      <w:pPr>
        <w:ind w:firstLine="0"/>
        <w:jc w:val="left"/>
        <w:rPr>
          <w:sz w:val="22"/>
          <w:szCs w:val="22"/>
        </w:rPr>
      </w:pPr>
      <w:r w:rsidDel="00000000" w:rsidR="00000000" w:rsidRPr="00000000">
        <w:rPr>
          <w:sz w:val="22"/>
          <w:szCs w:val="22"/>
          <w:rtl w:val="0"/>
        </w:rPr>
        <w:t xml:space="preserve">A classificação será realizada em fase única através da análise técnica documental, de acordo com os critérios e a pontuação no quadro abaixo, apenas para os(as) candidatos (as) homologados(as).</w:t>
      </w:r>
    </w:p>
    <w:p w:rsidR="00000000" w:rsidDel="00000000" w:rsidP="00000000" w:rsidRDefault="00000000" w:rsidRPr="00000000" w14:paraId="00000007">
      <w:pPr>
        <w:ind w:firstLine="0"/>
        <w:jc w:val="left"/>
        <w:rPr>
          <w:sz w:val="22"/>
          <w:szCs w:val="22"/>
        </w:rPr>
      </w:pPr>
      <w:r w:rsidDel="00000000" w:rsidR="00000000" w:rsidRPr="00000000">
        <w:rPr>
          <w:rtl w:val="0"/>
        </w:rPr>
      </w:r>
    </w:p>
    <w:p w:rsidR="00000000" w:rsidDel="00000000" w:rsidP="00000000" w:rsidRDefault="00000000" w:rsidRPr="00000000" w14:paraId="00000008">
      <w:pPr>
        <w:widowControl w:val="0"/>
        <w:spacing w:before="1" w:lineRule="auto"/>
        <w:ind w:firstLine="0"/>
        <w:jc w:val="left"/>
        <w:rPr>
          <w:sz w:val="27"/>
          <w:szCs w:val="27"/>
        </w:rPr>
      </w:pPr>
      <w:r w:rsidDel="00000000" w:rsidR="00000000" w:rsidRPr="00000000">
        <w:rPr>
          <w:rtl w:val="0"/>
        </w:rPr>
      </w:r>
    </w:p>
    <w:tbl>
      <w:tblPr>
        <w:tblStyle w:val="Table1"/>
        <w:tblW w:w="9480.0" w:type="dxa"/>
        <w:jc w:val="left"/>
        <w:tblInd w:w="115.0" w:type="dxa"/>
        <w:tblLayout w:type="fixed"/>
        <w:tblLook w:val="0000"/>
      </w:tblPr>
      <w:tblGrid>
        <w:gridCol w:w="960"/>
        <w:gridCol w:w="4765"/>
        <w:gridCol w:w="3755"/>
        <w:tblGridChange w:id="0">
          <w:tblGrid>
            <w:gridCol w:w="960"/>
            <w:gridCol w:w="4765"/>
            <w:gridCol w:w="3755"/>
          </w:tblGrid>
        </w:tblGridChange>
      </w:tblGrid>
      <w:tr>
        <w:trPr>
          <w:cantSplit w:val="0"/>
          <w:trHeight w:val="449"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9">
            <w:pPr>
              <w:widowControl w:val="0"/>
              <w:spacing w:before="100" w:lineRule="auto"/>
              <w:ind w:left="232" w:right="232" w:firstLine="0"/>
              <w:rPr>
                <w:b w:val="1"/>
                <w:sz w:val="22"/>
                <w:szCs w:val="22"/>
              </w:rPr>
            </w:pPr>
            <w:r w:rsidDel="00000000" w:rsidR="00000000" w:rsidRPr="00000000">
              <w:rPr>
                <w:b w:val="1"/>
                <w:sz w:val="22"/>
                <w:szCs w:val="22"/>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A">
            <w:pPr>
              <w:widowControl w:val="0"/>
              <w:spacing w:before="100" w:lineRule="auto"/>
              <w:ind w:left="529" w:right="529" w:firstLine="0"/>
              <w:rPr>
                <w:b w:val="1"/>
                <w:sz w:val="22"/>
                <w:szCs w:val="22"/>
              </w:rPr>
            </w:pPr>
            <w:r w:rsidDel="00000000" w:rsidR="00000000" w:rsidRPr="00000000">
              <w:rPr>
                <w:b w:val="1"/>
                <w:sz w:val="22"/>
                <w:szCs w:val="22"/>
                <w:rtl w:val="0"/>
              </w:rPr>
              <w:t xml:space="preserve">Descrição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B">
            <w:pPr>
              <w:widowControl w:val="0"/>
              <w:spacing w:before="100" w:lineRule="auto"/>
              <w:ind w:left="1404" w:right="1168.8188976377955" w:firstLine="0"/>
              <w:rPr>
                <w:b w:val="1"/>
                <w:sz w:val="22"/>
                <w:szCs w:val="22"/>
              </w:rPr>
            </w:pPr>
            <w:r w:rsidDel="00000000" w:rsidR="00000000" w:rsidRPr="00000000">
              <w:rPr>
                <w:b w:val="1"/>
                <w:sz w:val="22"/>
                <w:szCs w:val="22"/>
                <w:rtl w:val="0"/>
              </w:rPr>
              <w:t xml:space="preserve">Pontuação</w:t>
            </w:r>
          </w:p>
        </w:tc>
      </w:tr>
      <w:tr>
        <w:trPr>
          <w:cantSplit w:val="0"/>
          <w:trHeight w:val="75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C">
            <w:pPr>
              <w:widowControl w:val="0"/>
              <w:spacing w:before="115" w:lineRule="auto"/>
              <w:ind w:firstLine="0"/>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widowControl w:val="0"/>
              <w:ind w:firstLine="0"/>
              <w:rPr/>
            </w:pPr>
            <w:r w:rsidDel="00000000" w:rsidR="00000000" w:rsidRPr="00000000">
              <w:rPr>
                <w:rtl w:val="0"/>
              </w:rPr>
              <w:t xml:space="preserve">Experiência no Programa Mulheres Mil ou Pronatec*</w:t>
            </w:r>
          </w:p>
          <w:p w:rsidR="00000000" w:rsidDel="00000000" w:rsidP="00000000" w:rsidRDefault="00000000" w:rsidRPr="00000000" w14:paraId="0000000E">
            <w:pPr>
              <w:widowControl w:val="0"/>
              <w:ind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F">
            <w:pPr>
              <w:widowControl w:val="0"/>
              <w:ind w:firstLine="0"/>
              <w:rPr/>
            </w:pPr>
            <w:r w:rsidDel="00000000" w:rsidR="00000000" w:rsidRPr="00000000">
              <w:rPr>
                <w:rtl w:val="0"/>
              </w:rPr>
              <w:t xml:space="preserve">30 pontos por experiência</w:t>
            </w:r>
          </w:p>
        </w:tc>
      </w:tr>
      <w:tr>
        <w:trPr>
          <w:cantSplit w:val="0"/>
          <w:trHeight w:val="75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0">
            <w:pPr>
              <w:widowControl w:val="0"/>
              <w:spacing w:before="115" w:lineRule="auto"/>
              <w:ind w:firstLine="0"/>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1">
            <w:pPr>
              <w:ind w:firstLine="0"/>
              <w:rPr/>
            </w:pPr>
            <w:r w:rsidDel="00000000" w:rsidR="00000000" w:rsidRPr="00000000">
              <w:rPr>
                <w:rtl w:val="0"/>
              </w:rPr>
              <w:t xml:space="preserve">Experiência/atuação  com mulheres em vulnerabilidade.**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2">
            <w:pPr>
              <w:widowControl w:val="0"/>
              <w:ind w:firstLine="0"/>
              <w:rPr/>
            </w:pPr>
            <w:r w:rsidDel="00000000" w:rsidR="00000000" w:rsidRPr="00000000">
              <w:rPr>
                <w:rtl w:val="0"/>
              </w:rPr>
              <w:t xml:space="preserve">25 pontos por experiência</w:t>
            </w:r>
          </w:p>
        </w:tc>
      </w:tr>
      <w:tr>
        <w:trPr>
          <w:cantSplit w:val="0"/>
          <w:trHeight w:val="75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3">
            <w:pPr>
              <w:widowControl w:val="0"/>
              <w:spacing w:before="115" w:lineRule="auto"/>
              <w:ind w:lef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ind w:firstLine="0"/>
              <w:rPr/>
            </w:pPr>
            <w:r w:rsidDel="00000000" w:rsidR="00000000" w:rsidRPr="00000000">
              <w:rPr>
                <w:rtl w:val="0"/>
              </w:rPr>
              <w:t xml:space="preserve">Experiência e/ou cursos nas temáticas dos componentes curriculares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5">
            <w:pPr>
              <w:widowControl w:val="0"/>
              <w:numPr>
                <w:ilvl w:val="0"/>
                <w:numId w:val="4"/>
              </w:numPr>
              <w:ind w:left="425.19685039370046" w:hanging="283.46456692913335"/>
              <w:jc w:val="left"/>
              <w:rPr>
                <w:u w:val="none"/>
              </w:rPr>
            </w:pPr>
            <w:r w:rsidDel="00000000" w:rsidR="00000000" w:rsidRPr="00000000">
              <w:rPr>
                <w:rtl w:val="0"/>
              </w:rPr>
              <w:t xml:space="preserve">0,5 pontos a cada 08 horas, para cursos, podendo ser somados certificados com carga horária menores </w:t>
            </w:r>
            <w:r w:rsidDel="00000000" w:rsidR="00000000" w:rsidRPr="00000000">
              <w:rPr>
                <w:rtl w:val="0"/>
              </w:rPr>
            </w:r>
          </w:p>
          <w:p w:rsidR="00000000" w:rsidDel="00000000" w:rsidP="00000000" w:rsidRDefault="00000000" w:rsidRPr="00000000" w14:paraId="00000016">
            <w:pPr>
              <w:widowControl w:val="0"/>
              <w:numPr>
                <w:ilvl w:val="0"/>
                <w:numId w:val="4"/>
              </w:numPr>
              <w:ind w:left="425.19685039370046" w:hanging="283.46456692913335"/>
              <w:jc w:val="left"/>
              <w:rPr>
                <w:u w:val="none"/>
              </w:rPr>
            </w:pPr>
            <w:r w:rsidDel="00000000" w:rsidR="00000000" w:rsidRPr="00000000">
              <w:rPr>
                <w:rtl w:val="0"/>
              </w:rPr>
              <w:t xml:space="preserve">10 pontos para cada comprovante de experiência/atuação </w:t>
            </w:r>
            <w:r w:rsidDel="00000000" w:rsidR="00000000" w:rsidRPr="00000000">
              <w:rPr>
                <w:rtl w:val="0"/>
              </w:rPr>
            </w:r>
          </w:p>
        </w:tc>
      </w:tr>
      <w:tr>
        <w:trPr>
          <w:cantSplit w:val="0"/>
          <w:trHeight w:val="73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7">
            <w:pPr>
              <w:widowControl w:val="0"/>
              <w:spacing w:before="105" w:lineRule="auto"/>
              <w:ind w:firstLine="0"/>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8">
            <w:pPr>
              <w:widowControl w:val="0"/>
              <w:ind w:firstLine="0"/>
              <w:rPr/>
            </w:pPr>
            <w:r w:rsidDel="00000000" w:rsidR="00000000" w:rsidRPr="00000000">
              <w:rPr>
                <w:rtl w:val="0"/>
              </w:rPr>
              <w:t xml:space="preserve">Especialização.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9">
            <w:pPr>
              <w:widowControl w:val="0"/>
              <w:numPr>
                <w:ilvl w:val="0"/>
                <w:numId w:val="2"/>
              </w:numPr>
              <w:ind w:left="425.19685039370046" w:hanging="283.46456692913335"/>
              <w:jc w:val="left"/>
              <w:rPr>
                <w:u w:val="none"/>
              </w:rPr>
            </w:pPr>
            <w:r w:rsidDel="00000000" w:rsidR="00000000" w:rsidRPr="00000000">
              <w:rPr>
                <w:rtl w:val="0"/>
              </w:rPr>
              <w:t xml:space="preserve">10 pontos, se qualquer área;</w:t>
            </w:r>
            <w:r w:rsidDel="00000000" w:rsidR="00000000" w:rsidRPr="00000000">
              <w:rPr>
                <w:rtl w:val="0"/>
              </w:rPr>
            </w:r>
          </w:p>
          <w:p w:rsidR="00000000" w:rsidDel="00000000" w:rsidP="00000000" w:rsidRDefault="00000000" w:rsidRPr="00000000" w14:paraId="0000001A">
            <w:pPr>
              <w:widowControl w:val="0"/>
              <w:numPr>
                <w:ilvl w:val="0"/>
                <w:numId w:val="2"/>
              </w:numPr>
              <w:ind w:left="425.19685039370046" w:hanging="283.46456692913335"/>
              <w:jc w:val="left"/>
              <w:rPr>
                <w:u w:val="none"/>
              </w:rPr>
            </w:pPr>
            <w:r w:rsidDel="00000000" w:rsidR="00000000" w:rsidRPr="00000000">
              <w:rPr>
                <w:rtl w:val="0"/>
              </w:rPr>
              <w:t xml:space="preserve">15 pontos, se na área da temática do componente curricular</w:t>
            </w:r>
            <w:r w:rsidDel="00000000" w:rsidR="00000000" w:rsidRPr="00000000">
              <w:rPr>
                <w:rtl w:val="0"/>
              </w:rPr>
            </w:r>
          </w:p>
        </w:tc>
      </w:tr>
      <w:tr>
        <w:trPr>
          <w:cantSplit w:val="0"/>
          <w:trHeight w:val="729"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B">
            <w:pPr>
              <w:widowControl w:val="0"/>
              <w:spacing w:before="110" w:lineRule="auto"/>
              <w:ind w:firstLine="0"/>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widowControl w:val="0"/>
              <w:ind w:firstLine="0"/>
              <w:rPr/>
            </w:pPr>
            <w:r w:rsidDel="00000000" w:rsidR="00000000" w:rsidRPr="00000000">
              <w:rPr>
                <w:rtl w:val="0"/>
              </w:rPr>
              <w:t xml:space="preserve">Mestrado.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D">
            <w:pPr>
              <w:widowControl w:val="0"/>
              <w:numPr>
                <w:ilvl w:val="0"/>
                <w:numId w:val="3"/>
              </w:numPr>
              <w:ind w:left="425.19685039370046" w:hanging="283.46456692913335"/>
              <w:jc w:val="left"/>
              <w:rPr>
                <w:u w:val="none"/>
              </w:rPr>
            </w:pPr>
            <w:r w:rsidDel="00000000" w:rsidR="00000000" w:rsidRPr="00000000">
              <w:rPr>
                <w:rtl w:val="0"/>
              </w:rPr>
              <w:t xml:space="preserve">15 pontos, se qualquer área;</w:t>
            </w:r>
            <w:r w:rsidDel="00000000" w:rsidR="00000000" w:rsidRPr="00000000">
              <w:rPr>
                <w:rtl w:val="0"/>
              </w:rPr>
            </w:r>
          </w:p>
          <w:p w:rsidR="00000000" w:rsidDel="00000000" w:rsidP="00000000" w:rsidRDefault="00000000" w:rsidRPr="00000000" w14:paraId="0000001E">
            <w:pPr>
              <w:widowControl w:val="0"/>
              <w:numPr>
                <w:ilvl w:val="0"/>
                <w:numId w:val="3"/>
              </w:numPr>
              <w:ind w:left="425.19685039370046" w:hanging="283.46456692913335"/>
              <w:jc w:val="left"/>
              <w:rPr>
                <w:u w:val="none"/>
              </w:rPr>
            </w:pPr>
            <w:r w:rsidDel="00000000" w:rsidR="00000000" w:rsidRPr="00000000">
              <w:rPr>
                <w:rtl w:val="0"/>
              </w:rPr>
              <w:t xml:space="preserve">20 pontos, se na área da temática do componente curricular</w:t>
            </w:r>
            <w:r w:rsidDel="00000000" w:rsidR="00000000" w:rsidRPr="00000000">
              <w:rPr>
                <w:rtl w:val="0"/>
              </w:rPr>
            </w:r>
          </w:p>
        </w:tc>
      </w:tr>
      <w:tr>
        <w:trPr>
          <w:cantSplit w:val="0"/>
          <w:trHeight w:val="75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F">
            <w:pPr>
              <w:widowControl w:val="0"/>
              <w:spacing w:before="115" w:lineRule="auto"/>
              <w:ind w:firstLine="0"/>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widowControl w:val="0"/>
              <w:ind w:firstLine="0"/>
              <w:rPr/>
            </w:pPr>
            <w:r w:rsidDel="00000000" w:rsidR="00000000" w:rsidRPr="00000000">
              <w:rPr>
                <w:rtl w:val="0"/>
              </w:rPr>
              <w:t xml:space="preserve">Doutorado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1">
            <w:pPr>
              <w:widowControl w:val="0"/>
              <w:numPr>
                <w:ilvl w:val="0"/>
                <w:numId w:val="1"/>
              </w:numPr>
              <w:ind w:left="425.19685039370046" w:hanging="290.19685039370046"/>
              <w:jc w:val="left"/>
              <w:rPr>
                <w:u w:val="none"/>
              </w:rPr>
            </w:pPr>
            <w:r w:rsidDel="00000000" w:rsidR="00000000" w:rsidRPr="00000000">
              <w:rPr>
                <w:rtl w:val="0"/>
              </w:rPr>
              <w:t xml:space="preserve">20 pontos, se qualquer área;</w:t>
            </w:r>
            <w:r w:rsidDel="00000000" w:rsidR="00000000" w:rsidRPr="00000000">
              <w:rPr>
                <w:rtl w:val="0"/>
              </w:rPr>
            </w:r>
          </w:p>
          <w:p w:rsidR="00000000" w:rsidDel="00000000" w:rsidP="00000000" w:rsidRDefault="00000000" w:rsidRPr="00000000" w14:paraId="00000022">
            <w:pPr>
              <w:widowControl w:val="0"/>
              <w:numPr>
                <w:ilvl w:val="0"/>
                <w:numId w:val="1"/>
              </w:numPr>
              <w:ind w:left="425.19685039370046" w:hanging="283.46456692913335"/>
              <w:rPr>
                <w:u w:val="none"/>
              </w:rPr>
            </w:pPr>
            <w:r w:rsidDel="00000000" w:rsidR="00000000" w:rsidRPr="00000000">
              <w:rPr>
                <w:rtl w:val="0"/>
              </w:rPr>
              <w:t xml:space="preserve">25 pontos, se na área da temática do componente curricular</w:t>
            </w:r>
            <w:r w:rsidDel="00000000" w:rsidR="00000000" w:rsidRPr="00000000">
              <w:rPr>
                <w:rtl w:val="0"/>
              </w:rPr>
            </w:r>
          </w:p>
        </w:tc>
      </w:tr>
      <w:tr>
        <w:trPr>
          <w:cantSplit w:val="0"/>
          <w:trHeight w:val="729"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3">
            <w:pPr>
              <w:widowControl w:val="0"/>
              <w:ind w:firstLine="0"/>
              <w:rPr>
                <w:b w:val="1"/>
                <w:sz w:val="22"/>
                <w:szCs w:val="22"/>
              </w:rPr>
            </w:pPr>
            <w:r w:rsidDel="00000000" w:rsidR="00000000" w:rsidRPr="00000000">
              <w:rPr>
                <w:rtl w:val="0"/>
              </w:rPr>
            </w:r>
          </w:p>
          <w:p w:rsidR="00000000" w:rsidDel="00000000" w:rsidP="00000000" w:rsidRDefault="00000000" w:rsidRPr="00000000" w14:paraId="00000024">
            <w:pPr>
              <w:widowControl w:val="0"/>
              <w:ind w:firstLine="0"/>
              <w:rPr>
                <w:b w:val="1"/>
                <w:sz w:val="22"/>
                <w:szCs w:val="22"/>
              </w:rPr>
            </w:pPr>
            <w:r w:rsidDel="00000000" w:rsidR="00000000" w:rsidRPr="00000000">
              <w:rPr>
                <w:b w:val="1"/>
                <w:sz w:val="22"/>
                <w:szCs w:val="22"/>
                <w:rtl w:val="0"/>
              </w:rPr>
              <w:t xml:space="preserve">PONTUAÇÃO MÁXIMA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6">
            <w:pPr>
              <w:widowControl w:val="0"/>
              <w:ind w:firstLine="0"/>
              <w:rPr>
                <w:b w:val="1"/>
                <w:sz w:val="22"/>
                <w:szCs w:val="22"/>
              </w:rPr>
            </w:pPr>
            <w:r w:rsidDel="00000000" w:rsidR="00000000" w:rsidRPr="00000000">
              <w:rPr>
                <w:rtl w:val="0"/>
              </w:rPr>
            </w:r>
          </w:p>
          <w:p w:rsidR="00000000" w:rsidDel="00000000" w:rsidP="00000000" w:rsidRDefault="00000000" w:rsidRPr="00000000" w14:paraId="00000027">
            <w:pPr>
              <w:widowControl w:val="0"/>
              <w:ind w:firstLine="0"/>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028">
      <w:pPr>
        <w:ind w:right="-277.7952755905511" w:firstLine="0"/>
        <w:jc w:val="both"/>
        <w:rPr>
          <w:sz w:val="22"/>
          <w:szCs w:val="22"/>
        </w:rPr>
      </w:pPr>
      <w:r w:rsidDel="00000000" w:rsidR="00000000" w:rsidRPr="00000000">
        <w:rPr>
          <w:sz w:val="22"/>
          <w:szCs w:val="22"/>
          <w:rtl w:val="0"/>
        </w:rPr>
        <w:t xml:space="preserve">*A comprovação da experiência no Programa Mulheres Mil se dará através de declaração da coordenação adjunta do campus onde aconteceram os cursos ou da coordenação geral da bolsa formação no âmbito do IFRS.</w:t>
      </w:r>
    </w:p>
    <w:p w:rsidR="00000000" w:rsidDel="00000000" w:rsidP="00000000" w:rsidRDefault="00000000" w:rsidRPr="00000000" w14:paraId="00000029">
      <w:pPr>
        <w:ind w:right="-277.7952755905511" w:firstLine="0"/>
        <w:jc w:val="both"/>
        <w:rPr>
          <w:sz w:val="22"/>
          <w:szCs w:val="22"/>
        </w:rPr>
      </w:pPr>
      <w:r w:rsidDel="00000000" w:rsidR="00000000" w:rsidRPr="00000000">
        <w:rPr>
          <w:sz w:val="22"/>
          <w:szCs w:val="22"/>
          <w:rtl w:val="0"/>
        </w:rPr>
        <w:t xml:space="preserve">**A comprovação da experiência/atuação  com mulheres em vulnerabilidade se dará através de declarações, certificados  ou do currículo lattes.</w:t>
      </w:r>
    </w:p>
    <w:p w:rsidR="00000000" w:rsidDel="00000000" w:rsidP="00000000" w:rsidRDefault="00000000" w:rsidRPr="00000000" w14:paraId="0000002A">
      <w:pPr>
        <w:ind w:firstLine="0"/>
        <w:jc w:val="left"/>
        <w:rPr>
          <w:sz w:val="22"/>
          <w:szCs w:val="22"/>
        </w:rPr>
      </w:pPr>
      <w:r w:rsidDel="00000000" w:rsidR="00000000" w:rsidRPr="00000000">
        <w:rPr>
          <w:rtl w:val="0"/>
        </w:rPr>
      </w:r>
    </w:p>
    <w:p w:rsidR="00000000" w:rsidDel="00000000" w:rsidP="00000000" w:rsidRDefault="00000000" w:rsidRPr="00000000" w14:paraId="0000002B">
      <w:pPr>
        <w:ind w:firstLine="0"/>
        <w:jc w:val="left"/>
        <w:rPr>
          <w:sz w:val="22"/>
          <w:szCs w:val="22"/>
        </w:rPr>
      </w:pPr>
      <w:r w:rsidDel="00000000" w:rsidR="00000000" w:rsidRPr="00000000">
        <w:rPr>
          <w:rtl w:val="0"/>
        </w:rPr>
      </w:r>
    </w:p>
    <w:p w:rsidR="00000000" w:rsidDel="00000000" w:rsidP="00000000" w:rsidRDefault="00000000" w:rsidRPr="00000000" w14:paraId="0000002C">
      <w:pPr>
        <w:ind w:firstLine="0"/>
        <w:jc w:val="left"/>
        <w:rPr>
          <w:sz w:val="22"/>
          <w:szCs w:val="22"/>
        </w:rPr>
      </w:pPr>
      <w:r w:rsidDel="00000000" w:rsidR="00000000" w:rsidRPr="00000000">
        <w:rPr>
          <w:rtl w:val="0"/>
        </w:rPr>
      </w:r>
    </w:p>
    <w:p w:rsidR="00000000" w:rsidDel="00000000" w:rsidP="00000000" w:rsidRDefault="00000000" w:rsidRPr="00000000" w14:paraId="0000002D">
      <w:pPr>
        <w:ind w:firstLine="0"/>
        <w:jc w:val="left"/>
        <w:rPr>
          <w:sz w:val="22"/>
          <w:szCs w:val="22"/>
        </w:rPr>
      </w:pPr>
      <w:r w:rsidDel="00000000" w:rsidR="00000000" w:rsidRPr="00000000">
        <w:rPr>
          <w:rtl w:val="0"/>
        </w:rPr>
      </w:r>
    </w:p>
    <w:p w:rsidR="00000000" w:rsidDel="00000000" w:rsidP="00000000" w:rsidRDefault="00000000" w:rsidRPr="00000000" w14:paraId="0000002E">
      <w:pPr>
        <w:ind w:firstLine="0"/>
        <w:jc w:val="left"/>
        <w:rPr>
          <w:sz w:val="22"/>
          <w:szCs w:val="22"/>
        </w:rPr>
      </w:pPr>
      <w:r w:rsidDel="00000000" w:rsidR="00000000" w:rsidRPr="00000000">
        <w:rPr>
          <w:rtl w:val="0"/>
        </w:rPr>
      </w:r>
    </w:p>
    <w:p w:rsidR="00000000" w:rsidDel="00000000" w:rsidP="00000000" w:rsidRDefault="00000000" w:rsidRPr="00000000" w14:paraId="0000002F">
      <w:pPr>
        <w:ind w:firstLine="0"/>
        <w:jc w:val="left"/>
        <w:rPr>
          <w:sz w:val="22"/>
          <w:szCs w:val="22"/>
        </w:rPr>
      </w:pPr>
      <w:r w:rsidDel="00000000" w:rsidR="00000000" w:rsidRPr="00000000">
        <w:rPr>
          <w:rtl w:val="0"/>
        </w:rPr>
      </w:r>
    </w:p>
    <w:p w:rsidR="00000000" w:rsidDel="00000000" w:rsidP="00000000" w:rsidRDefault="00000000" w:rsidRPr="00000000" w14:paraId="00000030">
      <w:pPr>
        <w:ind w:firstLine="0"/>
        <w:jc w:val="left"/>
        <w:rPr>
          <w:sz w:val="22"/>
          <w:szCs w:val="22"/>
        </w:rPr>
      </w:pPr>
      <w:r w:rsidDel="00000000" w:rsidR="00000000" w:rsidRPr="00000000">
        <w:rPr>
          <w:rtl w:val="0"/>
        </w:rPr>
      </w:r>
    </w:p>
    <w:p w:rsidR="00000000" w:rsidDel="00000000" w:rsidP="00000000" w:rsidRDefault="00000000" w:rsidRPr="00000000" w14:paraId="00000031">
      <w:pPr>
        <w:rPr>
          <w:b w:val="1"/>
          <w:sz w:val="22"/>
          <w:szCs w:val="22"/>
        </w:rPr>
      </w:pPr>
      <w:r w:rsidDel="00000000" w:rsidR="00000000" w:rsidRPr="00000000">
        <w:rPr>
          <w:rtl w:val="0"/>
        </w:rPr>
      </w:r>
    </w:p>
    <w:p w:rsidR="00000000" w:rsidDel="00000000" w:rsidP="00000000" w:rsidRDefault="00000000" w:rsidRPr="00000000" w14:paraId="00000032">
      <w:pPr>
        <w:rPr>
          <w:b w:val="1"/>
          <w:sz w:val="22"/>
          <w:szCs w:val="22"/>
        </w:rPr>
      </w:pPr>
      <w:r w:rsidDel="00000000" w:rsidR="00000000" w:rsidRPr="00000000">
        <w:rPr>
          <w:rtl w:val="0"/>
        </w:rPr>
      </w:r>
    </w:p>
    <w:p w:rsidR="00000000" w:rsidDel="00000000" w:rsidP="00000000" w:rsidRDefault="00000000" w:rsidRPr="00000000" w14:paraId="00000033">
      <w:pPr>
        <w:ind w:left="0" w:firstLine="0"/>
        <w:jc w:val="left"/>
        <w:rPr>
          <w:sz w:val="22"/>
          <w:szCs w:val="22"/>
        </w:rPr>
      </w:pPr>
      <w:r w:rsidDel="00000000" w:rsidR="00000000" w:rsidRPr="00000000">
        <w:rPr>
          <w:rtl w:val="0"/>
        </w:rPr>
      </w:r>
    </w:p>
    <w:sectPr>
      <w:pgSz w:h="16838" w:w="11906" w:orient="portrait"/>
      <w:pgMar w:bottom="851" w:top="1134" w:left="1133.8582677165355" w:right="1415.6692913385832"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ind w:firstLine="72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5.0" w:type="dxa"/>
        <w:bottom w:w="0.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5.0" w:type="dxa"/>
        <w:bottom w:w="0.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es326Bmv0Uy7oDTwt0qPF/j0HA==">CgMxLjA4AHIhMTU0V3hBWEFoVklRU2N5akJkMUxleTYxN29RSW83N1Ba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