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NÃO ACUMULAÇÃO DE VAGA DE CURSO SUPERIOR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__________________________________________________________________________, RG: ______________________________, CPF:____________________________, declaro sob as penas das Leis Civil e Penal que não ocupo vaga em curso superior de instituição pública de ensino, conforme proíbe a lei 12.089/2009 em seu Art. 2o, nem em instituição privada de ensino superior com bolsa de estudo PROUNI em qualquer porcentagem, de acordo com o Decreto nº 5.493, de 18 de julho de 2005, Art.2º parágrafo 3º que proíbe esta conduta.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 de _______________ de 20__.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da/do declarante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134" w:left="1701" w:right="851" w:header="3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b="0" l="0" r="0" t="0"/>
          <wp:wrapSquare wrapText="bothSides" distB="0" distT="0" distL="114300" distR="11430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before="6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Alvorada</w:t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3483-9105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177800</wp:posOffset>
          </wp:positionV>
          <wp:extent cx="506730" cy="539750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5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6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Alvorada</w:t>
    </w:r>
  </w:p>
  <w:p w:rsidR="00000000" w:rsidDel="00000000" w:rsidP="00000000" w:rsidRDefault="00000000" w:rsidRPr="00000000" w14:paraId="0000003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3483-9112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7F1CC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5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852B3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 w:val="1"/>
    <w:unhideWhenUsed w:val="1"/>
    <w:rsid w:val="00A41298"/>
  </w:style>
  <w:style w:type="paragraph" w:styleId="Normal1" w:customStyle="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 w:val="1"/>
    <w:unhideWhenUsed w:val="1"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30BB3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30BB3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230BB3"/>
    <w:rPr>
      <w:b w:val="1"/>
      <w:bCs w:val="1"/>
      <w:lang w:eastAsia="en-US"/>
    </w:rPr>
  </w:style>
  <w:style w:type="character" w:styleId="Hyperlink">
    <w:name w:val="Hyperlink"/>
    <w:uiPriority w:val="99"/>
    <w:unhideWhenUsed w:val="1"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 w:val="1"/>
    <w:rsid w:val="005914B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ZZf0pCMIbHCeGjQdmfq3nZWJA==">CgMxLjA4AHIhMTRBVVQ0a0tObklTOTFQb2xlbFBZQ24zTi0wc08wNVZ5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</cp:coreProperties>
</file>