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after="0" w:before="0" w:lineRule="auto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44sini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0" w:before="0" w:lineRule="auto"/>
        <w:jc w:val="center"/>
        <w:rPr/>
      </w:pPr>
      <w:bookmarkStart w:colFirst="0" w:colLast="0" w:name="_heading=h.2jxsxqh" w:id="1"/>
      <w:bookmarkEnd w:id="1"/>
      <w:r w:rsidDel="00000000" w:rsidR="00000000" w:rsidRPr="00000000">
        <w:rPr>
          <w:rtl w:val="0"/>
        </w:rPr>
        <w:t xml:space="preserve">ANEXO I-B </w:t>
      </w:r>
    </w:p>
    <w:p w:rsidR="00000000" w:rsidDel="00000000" w:rsidP="00000000" w:rsidRDefault="00000000" w:rsidRPr="00000000" w14:paraId="00000003">
      <w:pPr>
        <w:pStyle w:val="Heading6"/>
        <w:spacing w:after="0" w:before="0" w:lineRule="auto"/>
        <w:ind w:left="0" w:right="0" w:firstLine="0"/>
        <w:jc w:val="center"/>
        <w:rPr>
          <w:rFonts w:ascii="Calibri" w:cs="Calibri" w:eastAsia="Calibri" w:hAnsi="Calibri"/>
          <w:b w:val="0"/>
        </w:rPr>
      </w:pPr>
      <w:bookmarkStart w:colFirst="0" w:colLast="0" w:name="_heading=h.z337ya" w:id="2"/>
      <w:bookmarkEnd w:id="2"/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(INTEGRA O PROJETO BÁSICO DO RDC ELETRÔNICO Nº </w:t>
      </w:r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09/2022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- UASG 158141)</w:t>
      </w:r>
    </w:p>
    <w:p w:rsidR="00000000" w:rsidDel="00000000" w:rsidP="00000000" w:rsidRDefault="00000000" w:rsidRPr="00000000" w14:paraId="00000004">
      <w:pPr>
        <w:spacing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</w:rPr>
      </w:pPr>
      <w:bookmarkStart w:colFirst="0" w:colLast="0" w:name="_heading=h.3j2qqm3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 DE JUSTIFICATIVAS TÉCNICAS RELEVANTES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1"/>
        </w:numPr>
        <w:ind w:left="0" w:firstLine="0"/>
        <w:rPr/>
      </w:pPr>
      <w:bookmarkStart w:colFirst="0" w:colLast="0" w:name="_heading=h.1y810tw" w:id="4"/>
      <w:bookmarkEnd w:id="4"/>
      <w:r w:rsidDel="00000000" w:rsidR="00000000" w:rsidRPr="00000000">
        <w:rPr>
          <w:rtl w:val="0"/>
        </w:rPr>
        <w:t xml:space="preserve">DA OPÇÃO PELO DO REGIME DIFERENCIADO DE CONTRATAÇÕES</w:t>
      </w:r>
    </w:p>
    <w:p w:rsidR="00000000" w:rsidDel="00000000" w:rsidP="00000000" w:rsidRDefault="00000000" w:rsidRPr="00000000" w14:paraId="00000008">
      <w:pPr>
        <w:spacing w:after="0"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Instituído no capítulo I da Lei nº 12.462/2011, e regulamentado pelo Decreto nº 7.581/2011, o Regime Diferenciado de Contratações Públicas (RDC) constitui disciplina excepcional e transitória facultativamente aplicável às licitações no âmbito da Administração Pública brasileira, que expressa, em suas diretrizes, a busca pela eficiência, que inspira em grande medida a recomendação por parte desta diretoria da utilização de tal modalidade neste certame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2267.716535433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1.2.1. A padronização de instrumentos convocatórios e minutas de contratos conforme art. 4º, inciso II da Lei 12.462/2011;</w:t>
      </w:r>
    </w:p>
    <w:p w:rsidR="00000000" w:rsidDel="00000000" w:rsidP="00000000" w:rsidRDefault="00000000" w:rsidRPr="00000000" w14:paraId="0000000A">
      <w:pPr>
        <w:spacing w:after="0" w:line="240" w:lineRule="auto"/>
        <w:ind w:left="2267.716535433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1.2.2. A busca da maior vantagem para a Administração Pública, considerando custos e benefícios, diretos e indiretos, de natureza econômica, social ou ambiental (art. 4º, inciso III Lei 12.462/2011);</w:t>
      </w:r>
    </w:p>
    <w:p w:rsidR="00000000" w:rsidDel="00000000" w:rsidP="00000000" w:rsidRDefault="00000000" w:rsidRPr="00000000" w14:paraId="0000000B">
      <w:pPr>
        <w:spacing w:after="0" w:line="240" w:lineRule="auto"/>
        <w:ind w:left="2267.716535433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1.2.3. O artigo 2º da Lei nº 12.462/2011 estipula as definições a serem observadas no regime diferenciado de contratações. Sobre o assunto, passa-se a destacar as inovações havidas em relação à Lei nº 8.666.</w:t>
      </w:r>
    </w:p>
    <w:p w:rsidR="00000000" w:rsidDel="00000000" w:rsidP="00000000" w:rsidRDefault="00000000" w:rsidRPr="00000000" w14:paraId="0000000C">
      <w:pPr>
        <w:spacing w:after="0" w:line="240" w:lineRule="auto"/>
        <w:ind w:left="2267.716535433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1.2.3.1. A primeira refere-se à previsão de que o projeto básico deverá conter os elementos mínimos em referência “sem frustrar o caráter competitivo do procedimento licitatório” (parágrafo único, artigo 2º da Lei 12.462/2011). Diferenciando-se da Lei de Licitações – na qual a expressão consta em apenas alguns dos elementos mínimos do projeto básico – a nova legislação estende tal diretiva expressamente a todos os elementos do projeto básico, com todos os seus elementos constitutivos, não poderá frustrar o caráter competitivo das licitações.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2267.716535433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1.2.3.2. A segunda inovação diz respeito à previsão de que o projeto básico deverá conter soluções técnicas detalhadas, restringindo-se “a necessidade de reformulação ou de variantes durante as fases de elaboração do projeto executivo e de realização das obras e montagem a situações devidamente comprovadas em ato motivado da Administração Pública” (artigo 2º, parágrafo único, inciso II da Lei 12.462/2011). Por mais avançada que seja a engenharia de custos e de projeção, não se estará sempre livre de distorções entre estimativa e realidade. Investindo-se na etapa de planejamento, certamente os riscos diminuem sobremaneira, mas ainda assim não se eliminam por completo. Disso advém a obrigação do Administrador em zelar para que, não obstante o contido no contrato, no Edital, nos projetos e na proposta do executor, seja honrada a contraprestação pecuniária com relação ao serviço e ao material efetivamente empregado na execução da obra. Trata-se de imposição dos princípios constitucionais da moralidade e da eficiência, bem como dos princípios da supremacia do interesse público e da vedação ao enriquecimento ilícito.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267.7165354330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1.2.3.3. Trata-se de inovação relevante que fortalece o controle de eventuais reformulações durante as fases de detalhamento dos projetos e de execução da obra. Nesse sentido, a norma obriga que se comprove, por ato motivado, a necessidade de alteração em relação ao projeto básico. Com isso, por meio da verificação dos motivos de tal ato, coíbem-se modificações abusivas.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spacing w:after="120" w:line="276" w:lineRule="auto"/>
        <w:ind w:left="0" w:firstLine="0"/>
        <w:jc w:val="both"/>
        <w:rPr/>
      </w:pPr>
      <w:bookmarkStart w:colFirst="0" w:colLast="0" w:name="_heading=h.4i7ojhp" w:id="5"/>
      <w:bookmarkEnd w:id="5"/>
      <w:r w:rsidDel="00000000" w:rsidR="00000000" w:rsidRPr="00000000">
        <w:rPr>
          <w:rtl w:val="0"/>
        </w:rPr>
        <w:t xml:space="preserve">DO REGIME DE EXECUÇÃO ESCOLHIDO</w:t>
      </w:r>
    </w:p>
    <w:p w:rsidR="00000000" w:rsidDel="00000000" w:rsidP="00000000" w:rsidRDefault="00000000" w:rsidRPr="00000000" w14:paraId="00000011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Segundo o Roteiro de Auditoria de Obras Públicas, aprovado pela Portaria-SEGECEX nº 33/2012, “as maiores controvérsias quanto à escolha e à operacionalização de determinado regime de execução referem-se às empreitadas. Pela letra da lei, não fica claro como e quando utilizar cada um dos regimes de execução por empreitada definidos pelo legislador”. Ademais,</w:t>
      </w:r>
    </w:p>
    <w:p w:rsidR="00000000" w:rsidDel="00000000" w:rsidP="00000000" w:rsidRDefault="00000000" w:rsidRPr="00000000" w14:paraId="00000012">
      <w:pPr>
        <w:ind w:left="2267.7165354330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escolha do regime de execução da obra não é decisão de livre arbítrio do gestor,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visto que deve ser pautada pelo interesse público e estar sempre motivada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pois impactará as relações entre contratado e contratante, as medições do contrato firmado, seus aditivos, entre outros fatores relacionados à gestão do empreendimento contratado.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Decorre desse entendimento a constatação de que não existe, em tese, um regime de execução melhor que outro, e sim um regime que, no caso concreto, melhor atende ao interesse público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(TCU, 2012: 76 – sublinhado nosso)</w:t>
      </w:r>
    </w:p>
    <w:p w:rsidR="00000000" w:rsidDel="00000000" w:rsidP="00000000" w:rsidRDefault="00000000" w:rsidRPr="00000000" w14:paraId="00000013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Assim sendo, a escolha do regime de execução, que corresponde à “forma pela qual o objeto do contrato será executado” (TCU, 2010: 674), dentre aqueles previstos na Lei de Licitações e Contratos vigente (LLC, nº 8.666/1993) para a execução indireta – empreitada por preço global, empreitada por preço unitário, tarefa, e empreitada integral –, dependerá da análises das possibilidades e limitações inerentes à cada regime e sua adequação às peculiaridades do projeto que será licitado, visando à consecução do objeto.</w:t>
      </w:r>
    </w:p>
    <w:p w:rsidR="00000000" w:rsidDel="00000000" w:rsidP="00000000" w:rsidRDefault="00000000" w:rsidRPr="00000000" w14:paraId="00000014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Estudados um a um, depreende-se que, segundo o TCU (Acórdão 1.977/2013), 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regime de empreitada por preço unitário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quando se contrata a execução da obra ou do serviço por preço certo de unidades determinadas, conforme estabelecido na alínea b, do inciso VIII, do artigo 6º, da Lei nº 8.666/93 –,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 mais indicado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obras e serviços que apresentem não se tenham precisão dos serviços, exemplo de escavações, fundações, drenagens de solos, reformas de edificações, ou seja que não apresentam boa precisão na estimativa de quantitativo.</w:t>
      </w:r>
    </w:p>
    <w:p w:rsidR="00000000" w:rsidDel="00000000" w:rsidP="00000000" w:rsidRDefault="00000000" w:rsidRPr="00000000" w14:paraId="00000015">
      <w:pPr>
        <w:spacing w:after="200"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opção pelo regime de preço unitário se deu pela característica do objeto e pelo interesse público. Considerando que: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59" w:lineRule="auto"/>
        <w:ind w:left="1065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Trata-se de uma obra de pequeno valor;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59" w:lineRule="auto"/>
        <w:ind w:left="1065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Trata-se de questões relacionadas a reforma de telhado;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59" w:lineRule="auto"/>
        <w:ind w:left="1065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existência de poucos itens envolvidos;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59" w:lineRule="auto"/>
        <w:ind w:left="106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destinação de sua execução por empresas de pequeno porte e a condição de caixa destas empresas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Neste sentido não queremos impedir empresas da região de pequeno porte de impedir sua participação, como forma de desenvolver a economia local. Em razão das características da obra e de seu cronograma o pagamento faseado por meio de medições frequentes viabilizará uma competição maior e uma correção entre o executado e pago, mantendo o equilíbrio econômico financeiro, pois a margem de lucro das empresas é pequeno pelo montante envolvido na obra e se não o fizermos por meio de medição, podemos ter uma licitação deserta. Nosso entender coaduna como o que dispõe o art. 14 do Decreto nº 7.983/2013, que estabelece regras e critérios para elaboração do orçamento de referência de obras e serviços de engenharia, contratados e executados com recursos dos orçamentos da União.</w:t>
      </w:r>
    </w:p>
    <w:p w:rsidR="00000000" w:rsidDel="00000000" w:rsidP="00000000" w:rsidRDefault="00000000" w:rsidRPr="00000000" w14:paraId="0000001B">
      <w:pPr>
        <w:spacing w:after="200" w:line="276" w:lineRule="auto"/>
        <w:ind w:left="14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14.  A diferença percentual entre o valor global do contrato e o preço global de referência não poderá ser reduzida em favor do contratado em decorrência de aditamentos que modifiquem a planilha orçamentária.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ind w:left="141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 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Em caso de adoção dos regimes de empreitada por preço unitário e tarefa, a diferença a que se refere o caput poderá ser reduzida para a preservação do equilíbrio econômico-financeiro do contrato em casos excepcionais e justificados, desde que os custos unitários dos aditivos contratuais não excedam os custos unitários do sistema de referência utilizado na forma deste Decreto, assegurada a manutenção da vantagem da proposta vencedora ante a da segunda colocada na 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numPr>
          <w:ilvl w:val="0"/>
          <w:numId w:val="1"/>
        </w:numPr>
        <w:spacing w:after="120" w:line="276" w:lineRule="auto"/>
        <w:ind w:left="0" w:firstLine="0"/>
        <w:jc w:val="both"/>
        <w:rPr/>
      </w:pPr>
      <w:bookmarkStart w:colFirst="0" w:colLast="0" w:name="_heading=h.2xcytpi" w:id="6"/>
      <w:bookmarkEnd w:id="6"/>
      <w:r w:rsidDel="00000000" w:rsidR="00000000" w:rsidRPr="00000000">
        <w:rPr>
          <w:rtl w:val="0"/>
        </w:rPr>
        <w:t xml:space="preserve">DO CRITÉRIO DE JULGAMENTO</w:t>
      </w:r>
    </w:p>
    <w:p w:rsidR="00000000" w:rsidDel="00000000" w:rsidP="00000000" w:rsidRDefault="00000000" w:rsidRPr="00000000" w14:paraId="0000001F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edital como lei interna da licitação deverá conter o critério de aceitabilidade de preços, sendo vedada a fixação de preços mínimos, critérios estatísticos ou faixas de variação em relação a preço de referência, conforme dispõe o inc. X do art. 40 da Lei nº 8666/93, devendo ainda constar do anexo do edital o orçamento estimado em planilhas de quantitativos e preços unitários, conforme § 2º, inc. II, desse mesmo artigo. Nesse sentido, o TCU, através da Súmula 259, disciplinou que nas contratações de obras e serviços de engenharia, a definição do critério de aceitabilidade dos preços unitários e global, com fixação de preços máximos para ambos, é obrigação e não faculdade do gestor.</w:t>
      </w:r>
    </w:p>
    <w:p w:rsidR="00000000" w:rsidDel="00000000" w:rsidP="00000000" w:rsidRDefault="00000000" w:rsidRPr="00000000" w14:paraId="00000020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caso específico do RDC, o art. 25, inc. I, do Decreto nº 7.581/2011, estabeleceu que poderão  ser utilizados como critérios de julgamento o menor preço ou o maior desconto, que, vide art. 26, consideram “o menor dispêndio para a administração pública, atendidos os parâmetros mínimos de qualidade definidos no instrumento convocatório”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Oportuno destacar que a fixação do critério de aceitabilidade nos editais de obras e serviços de engenharia independe do regime de execução adotado pela Administração – se por empreitada por preço global ou unitário –, conforme já pacificado pelo Tribunal de Contas da União no Acórdão 818/2007, e que, apesar de ser o critério de julgamento mais comum, a avaliação do valor global da proposta (leia-se o “menor preço global” obtido) não é suficiente para garantir a escolha da proposta mais vantajosa para a Administração. Para isso, é necessário que o edital preveja o controle dos preços unitários de cada item da planilha, e estabeleça o critério de aceitabilidade desses valores, para que se realize detalhada verificação das propostas recebidas, a fim de evitar problemas futuros, seja por antecipação de pagamentos ou com aditivos superfaturados (Altounian, 2011). </w:t>
      </w:r>
    </w:p>
    <w:p w:rsidR="00000000" w:rsidDel="00000000" w:rsidP="00000000" w:rsidRDefault="00000000" w:rsidRPr="00000000" w14:paraId="00000022">
      <w:pPr>
        <w:spacing w:line="276" w:lineRule="auto"/>
        <w:ind w:firstLine="708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Logo, a fim de evitar jogo de planilhas, em consonância com a legislação, o critério de julgamento escolhido foi 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maior desconto global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que, nos termos do art. 27 do referido diploma, “utilizará como referência o preço total estimado, fixado pelo instrumento convocatório”, ou seja, o “percentual de desconto apresentado pelos licitantes incidirá linearmente sobre os preços de todos os itens do orçamento estimado constante do instrumento convocatório”.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0"/>
          <w:numId w:val="1"/>
        </w:numPr>
        <w:spacing w:after="120" w:line="276" w:lineRule="auto"/>
        <w:ind w:left="0" w:firstLine="0"/>
        <w:jc w:val="both"/>
        <w:rPr/>
      </w:pPr>
      <w:bookmarkStart w:colFirst="0" w:colLast="0" w:name="_heading=h.1ci93xb" w:id="7"/>
      <w:bookmarkEnd w:id="7"/>
      <w:r w:rsidDel="00000000" w:rsidR="00000000" w:rsidRPr="00000000">
        <w:rPr>
          <w:rtl w:val="0"/>
        </w:rPr>
        <w:t xml:space="preserve">DO PARCELAMENTO DO OBJETO</w:t>
      </w:r>
    </w:p>
    <w:p w:rsidR="00000000" w:rsidDel="00000000" w:rsidP="00000000" w:rsidRDefault="00000000" w:rsidRPr="00000000" w14:paraId="00000025">
      <w:pPr>
        <w:spacing w:after="0"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 objeto da presente licitação é a contratação de empresa especializada para a construção da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Construção do Bloco Banheiros do IFRS -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Alvorada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, licitado pelo valor global estimado, conforme projeto executivo, d</w:t>
      </w:r>
      <w:r w:rsidDel="00000000" w:rsidR="00000000" w:rsidRPr="00000000">
        <w:rPr>
          <w:rFonts w:ascii="Calibri" w:cs="Calibri" w:eastAsia="Calibri" w:hAnsi="Calibri"/>
          <w:color w:val="00000a"/>
          <w:highlight w:val="whit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u w:val="single"/>
          <w:rtl w:val="0"/>
        </w:rPr>
        <w:t xml:space="preserve">R$ 502.050,71 (quinhentos e dois mil e cinquenta reais e setenta e um centavos).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Logo, trata-se da licitação total proposta do Anteprojeto, apêndice A do Estudo Técnico Preliminar. Ou seja, não terá parcelamento do objeto.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numPr>
          <w:ilvl w:val="0"/>
          <w:numId w:val="1"/>
        </w:numPr>
        <w:ind w:left="0" w:firstLine="0"/>
        <w:rPr/>
      </w:pPr>
      <w:bookmarkStart w:colFirst="0" w:colLast="0" w:name="_heading=h.3whwml4" w:id="8"/>
      <w:bookmarkEnd w:id="8"/>
      <w:r w:rsidDel="00000000" w:rsidR="00000000" w:rsidRPr="00000000">
        <w:rPr>
          <w:color w:val="00000a"/>
          <w:rtl w:val="0"/>
        </w:rPr>
        <w:t xml:space="preserve">DA NÃO PARTICIPAÇÃO DE CONSÓRCIOS E COOPERATIVAS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 possibilidade de participação de empresas em consórcio, é tratada na Lei nº 8.666/1993 como exceção, a ser decidida caso a caso, devendo, inclusive, ser expressamente prevista pela Administração Licitante no ato convocatório e, ainda, devidamente motivada. Apesar disso, segundo o inc. I do Parágrafo Único do art. 14 da Lei nº 12.462/2011, é regra que se admita a participação de licitantes sob a forma de consórcio nas licitações disciplinadas pelo RDC, desde que observadas as condições impostas pelo art. 51 do Decreto nº 7.581/2011, motivo por que surgiram orientações do TCU no sentido de que a vedação à participação de empresas em consórcio, sobretudo em obra de elevada complexidade e grande vulto, deveria ser justificada pela Administração, sob pena de configurar-se restrição à competitividade do certame.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Sabe-se que o consórcio tem como razão de ser o aumento da competitividade, pois viabiliza a comunhão de esforços entre duas ou mais empresas que, sozinhas, ou não atenderiam às exigências habilitatórias da licitação ou não conseguiriam executar o objeto licitado. Contudo, a participação de consórcio pode servir de estímulo à cartelização entre empresas, que deturpam esse instrumento a fim de incentivar a prática de infrações contra a ordem econômica pelas concorrentes, unindo-se em consórcios para participar, com preços mais competitivos, de licitação em que poderiam, facilmente, concorrer sozinhas, com preços equiparados ao do mercado. Logo, levando em consideração que o objeto desta licitação fora caracterizado como obra civil de baixa complexidade e reduzido valor econômico, a possibilidade de reunião em consórcio não é a mais consentânea com o processo licitatório, que tem por objetivos (i) assegurar a seleção da proposta apta a gerar o resultado de contratação mais vantajoso para a Administração Pública, inclusive no que se refere ao ciclo de vida do objeto, (ii) assegurar tratamento isonômico entre os licitantes, bem como a justa competição, (iii) evitar contratações com sobrepreço ou com preços manifestamente inexequíveis e superfaturamento na execução dos contratos, e (iv) incentivar a inovação e o desenvolvimento nacional sustentável.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Segundo o art. 3º, §1º, inc. I, da Lei de Licitações, é vedado aos agentes públicos prever nos atos convocatórios cláusulas que restrinjam ou frustrem o caráter competitivo do certame, inclusive no caso de sociedades cooperativas, tendo o art. 34 da Lei nº 11.488/2007 estendido-lhes os mesmos benefícios e privilégios atribuídos às microempresas e empresas de pequeno porte. Não obstante, a participação de cooperativas, via de regra, não é admitida na contratação de serviços com disponibilização de mão de obra, haja vista o  Termo de Conciliação Judicial firmado entre a União Federal e o Ministério Público do Trabalho, ocorrido na Ação Civil Pública nº 01082-2002-020-10-00-0, Vigésima Vara do Trabalho de Brasília, no qual a União Federal se compromete a não mais contratar cooperativas que atuem em atividades como serviços de limpeza, conservação e manutenção de prédios, de equipamentos, de veículos e instalações, dentre outros.</w:t>
      </w:r>
    </w:p>
    <w:p w:rsidR="00000000" w:rsidDel="00000000" w:rsidP="00000000" w:rsidRDefault="00000000" w:rsidRPr="00000000" w14:paraId="0000002B">
      <w:pPr>
        <w:spacing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Observado o traço comum presente em todos esses serviços -  a existência de subordinação entre os profissionais alocados para a execução dos serviços e a cooperativa -, o Tribunal de Contas da União autoriza a vedação à participação de cooperativas nos certames em que restar evidenciada a “presença do vínculo de subordinação entre o trabalhador e o fornecedor de serviços” (Acórdão nº 975/2005-Segunda Câmara), posto que, se assim não fosse, a disciplina das cooperativas violaria pilar basilar do Direito do Trabalho (art. 3º, da CLT).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Nesse conflito de interesses e valores, direito das cooperativas </w:t>
      </w:r>
      <w:r w:rsidDel="00000000" w:rsidR="00000000" w:rsidRPr="00000000">
        <w:rPr>
          <w:rFonts w:ascii="Calibri" w:cs="Calibri" w:eastAsia="Calibri" w:hAnsi="Calibri"/>
          <w:i w:val="1"/>
          <w:color w:val="00000a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diretriz para a formação das relações de trabalho, prevaleceu o segundo, pois relaciona-se com direito constitucional fundamental, culminando na Súmula nº 281 do TCU, que estabelece que “é vedada a participação de cooperativas em licitação quando, pela natureza do serviço ou pelo modo como é usualmente executado no mercado em geral, houver necessidade de subordinação jurídica entre o obreiro e o contratado, bem como de pessoalidade e habitualidade”, o que se verifica no caso em tela.</w:t>
      </w:r>
    </w:p>
    <w:p w:rsidR="00000000" w:rsidDel="00000000" w:rsidP="00000000" w:rsidRDefault="00000000" w:rsidRPr="00000000" w14:paraId="0000002D">
      <w:pPr>
        <w:spacing w:line="276" w:lineRule="auto"/>
        <w:ind w:firstLine="72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Isto posto, poderão participar desta licitação empresas que pertençam ao ramo do objeto a ser licitado, devidamente constituídas e operando em conformidade com a legislação vigente, que reúnam as condições de habilitação e qualificação exigidas, regularmente credenciadas no Sistema de Cadastramento de Fornecedores (SICAF), conforme disposto no §3º do artigo 8º da Instrução Normativa SLTI/MPOG nº 02/2010 e suas alterações, e que não estejam reunidas em consórcio ou constituídas na forma de sociedade cooperativa.</w:t>
      </w:r>
    </w:p>
    <w:p w:rsidR="00000000" w:rsidDel="00000000" w:rsidP="00000000" w:rsidRDefault="00000000" w:rsidRPr="00000000" w14:paraId="0000002E">
      <w:pPr>
        <w:spacing w:line="276" w:lineRule="auto"/>
        <w:ind w:firstLine="720"/>
        <w:jc w:val="both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numPr>
          <w:ilvl w:val="0"/>
          <w:numId w:val="1"/>
        </w:numPr>
        <w:ind w:left="0" w:firstLine="0"/>
        <w:rPr/>
      </w:pPr>
      <w:bookmarkStart w:colFirst="0" w:colLast="0" w:name="_heading=h.2bn6wsx" w:id="9"/>
      <w:bookmarkEnd w:id="9"/>
      <w:r w:rsidDel="00000000" w:rsidR="00000000" w:rsidRPr="00000000">
        <w:rPr>
          <w:color w:val="00000a"/>
          <w:rtl w:val="0"/>
        </w:rPr>
        <w:t xml:space="preserve">DA VISTORIA PRÉVIA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 empresas interessadas na licitação PODERÃO realizar uma vistoria técnica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in loco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desde que previamente agendada, quando o representante da empresa poderá inspecionar o local da obra e cercanias, de modo a obter, para sua própria utilização e por sua exclusiva responsabilidade, toda a informação necessária à elaboração da proposta, sendo de inteira responsabilidade do licitante todos os custos associados à visita e inspeção. Logo, vez que não é obrigatória a realização de vistoria técnica, e que as licitantes poderão optar por não realizar a vistoria facultada, o atestado de vistoria deve ser substituído, como documento de habilitação, pela Declaração de Conhecimento (vide anexo III do Projeto Básico).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numPr>
          <w:ilvl w:val="0"/>
          <w:numId w:val="1"/>
        </w:numPr>
        <w:ind w:left="0" w:firstLine="0"/>
        <w:rPr/>
      </w:pPr>
      <w:bookmarkStart w:colFirst="0" w:colLast="0" w:name="_heading=h.qsh70q" w:id="10"/>
      <w:bookmarkEnd w:id="10"/>
      <w:r w:rsidDel="00000000" w:rsidR="00000000" w:rsidRPr="00000000">
        <w:rPr>
          <w:color w:val="00000a"/>
          <w:rtl w:val="0"/>
        </w:rPr>
        <w:t xml:space="preserve">DA AUTORIZAÇÃO DE SUBCONTRATAÇÃO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regra, a execução do objeto licitado é obrigação da empresa contratada, permitindo a Lei nº 8.666/93 a possibilidade de subcontratação – que, segundo o TCU, “consiste na entrega de parte de fornecimento de bem, execução de obra ou prestação de serviço a terceiro, estranho ao contrato, para que execute em nome do contratado item, etapa ou parcela do objeto avençado” – apenas nos moldes legalmente fixados, conforme a necessidade e a conveniência da Administração, as peculiaridades de cada contratação e respeitados os limites legais, vedada a subcontratação total do objeto, bem como a subcontratação da parcela de maior relevância do projeto. 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Analisando detidamente o disposto na Lei nº 8.666/93, verifica-se, primeiramente, que a admissão de subcontratação, ou não, constitui decisão administrativa de cunho técnico e/ou administrativo, que considera suas necessidades, as características do mercado e a disponibilidade deste em relação ao objeto do certame. Nesse sentido, o Acórdão TCU nº 2002/2005-Plenário consignou que a subcontratação deve ser adotada unicamente quando necessária para garantir a execução do contrato e desde que não atente contra os princípios constitucionais inerentes ao processo licitatório, e nem ofenda outros princípios relacionados às licitações, notadamente o da seleção da proposta mais vantajosa para a Administração (art. 3º, Lei nº 8.666/93).</w:t>
      </w:r>
    </w:p>
    <w:p w:rsidR="00000000" w:rsidDel="00000000" w:rsidP="00000000" w:rsidRDefault="00000000" w:rsidRPr="00000000" w14:paraId="00000035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Assim, posto que cabe à Administração o juízo de conveniência, oportunidade, análise da possibilidade técnica e da viabilidade em se admitir a subcontratação, considerando que essa permissão não exonera o contratado das responsabilidades decorrentes do contrato – de modo que apenas este responde, em regra, pelo adimplemento ou inadimplemento contratual – e revela-se, em princípio e antes de sua materialização, desejavelmente vantajosa para a Administração contratante e o particular contratado, ou no mínimo indiferente para a Administração com relação à contratação, decidiu-se por autorizar o contratado, na execução do contrato, sem prejuízo das responsabilidades contratuais e legais, a subcontratar partes da obra, desde que mediante prévia e expressa aprovação da contratante. Não obstante, a Administração decidiu por não aplicar a exigência de subcontratação de ME/EPP, facultada pelo art. 7º do Decreto nº 8.538/2015, por acreditar que o tratamento diferenciado e simplificado para as microempresas e as empresas de pequeno porte, neste caso, não é vantajoso para a administração pública, representando, com base na experiência pretérita, em redução da competitividade e aumento do custo do contrato.</w:t>
      </w:r>
    </w:p>
    <w:p w:rsidR="00000000" w:rsidDel="00000000" w:rsidP="00000000" w:rsidRDefault="00000000" w:rsidRPr="00000000" w14:paraId="00000036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Ademais, vez que a possibilidade ou não de subcontratação de parte do objeto influi sobremaneira nas propostas, já que as empresas interessadas devem considerar, nas suas planilhas de custos, se a execução da parte do objeto será feita por elas próprias ou se irão subcontratar outra empresa, prefixa-se no Projeto Básico os limites em que se irá permitir a subcontratação: até o máximo de 20% (vinte por cento) do projeto executivo, conforme especificado no projeto básico, vedada a subcontratação da execução das parcelas de maior relevância do projeto.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widowControl w:val="0"/>
        <w:numPr>
          <w:ilvl w:val="0"/>
          <w:numId w:val="1"/>
        </w:numPr>
        <w:ind w:left="0" w:firstLine="0"/>
        <w:rPr>
          <w:rFonts w:ascii="Calibri" w:cs="Calibri" w:eastAsia="Calibri" w:hAnsi="Calibri"/>
          <w:b w:val="1"/>
        </w:rPr>
      </w:pPr>
      <w:bookmarkStart w:colFirst="0" w:colLast="0" w:name="_heading=h.3as4poj" w:id="11"/>
      <w:bookmarkEnd w:id="11"/>
      <w:r w:rsidDel="00000000" w:rsidR="00000000" w:rsidRPr="00000000">
        <w:rPr>
          <w:color w:val="00000a"/>
          <w:rtl w:val="0"/>
        </w:rPr>
        <w:t xml:space="preserve">DA QUALIFICAÇÃO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a sistemática adotada pela Lei nº 8.666/93, na etapa de habilitação, entre outros aspectos, a Administração deverá analisar a qualificação técnica dos licitantes, com o objetivo de aferir se dispõem de conhecimento, experiência e aparelhamentos técnico e humano suficientes para satisfazer o contrato a ser celebrado. Para isso, a Lei de Licitações autoriza a Administração a exigir a comprovação da capacitação técnico-operacional, nos termos de seu art. 30, inc. II, e a comprovação da capacitação técnico-profissional, de acordo com seu art. 30, § 1º, inc. I.</w:t>
      </w:r>
    </w:p>
    <w:p w:rsidR="00000000" w:rsidDel="00000000" w:rsidP="00000000" w:rsidRDefault="00000000" w:rsidRPr="00000000" w14:paraId="0000003A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primeiro caso (capacitação técnico-operacional), a experiência a ser verificada é a da pessoa licitante, devendo comprovar, enquanto organização empresarial, sua aptidão para desempenho de atividade pertinente e compatível em características, quantidades e prazos com o objeto da licitação. Na avaliação da capacidade técnico-profissional, por sua vez, o foco da exigência é a demonstração da experiência do profissional indicado pelo licitante para atuar como seu responsável técnico na execução do objeto contratado.</w:t>
      </w:r>
    </w:p>
    <w:p w:rsidR="00000000" w:rsidDel="00000000" w:rsidP="00000000" w:rsidRDefault="00000000" w:rsidRPr="00000000" w14:paraId="0000003B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TCU reconheceu, por meio da publicação da Súmula nº 263, que “para a comprovação da capacidade técnico-operacional das licitantes, e desde que limitada, simultaneamente, às parcelas de maior relevância e valor significativo do objeto a ser contratado, é legal a exigência de comprovação da execução de quantitativos mínimos em obras ou serviços com características semelhantes, devendo essa exigência guardar proporção com a dimensão e a complexidade do objeto a ser executado.”</w:t>
      </w:r>
    </w:p>
    <w:p w:rsidR="00000000" w:rsidDel="00000000" w:rsidP="00000000" w:rsidRDefault="00000000" w:rsidRPr="00000000" w14:paraId="0000003C">
      <w:pPr>
        <w:spacing w:line="276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fins de certificação prévia da qualificação técnica do licitante, adotou-se, portanto, os requisitos de comprovação de Capacidade Técnica-Operacional e de Capacidade Técnico-Profissional especificados tópico 17.3 do Projeto Básico, onde se fixam quantitativos mínimos relativos às parcelas de maior relevância e valor significativo do objeto, previamente  estabelecidos pelos engenheiros e arquitetos responsáveis pelo Projeto Executivo, “num patamar que possa garantir que a empresa contratada tenha condições técnicas para executar o objeto licitado, mas que não restrinja a competitividade” (Acórdão TCU 1.771/2007-Plenário).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850.3937007874016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before="20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Anexo I-B – Projeto Básico do RDC no 09/2022 – UASG 158141 – Processo: 23739.000709/2022-08 – IFRS/CAMPUS ALVORADA</w:t>
    </w:r>
  </w:p>
  <w:p w:rsidR="00000000" w:rsidDel="00000000" w:rsidP="00000000" w:rsidRDefault="00000000" w:rsidRPr="00000000" w14:paraId="0000004A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Câmara Nacional de Modelos de Licitações e Contratos da Consultoria-Geral da União</w:t>
    </w:r>
  </w:p>
  <w:p w:rsidR="00000000" w:rsidDel="00000000" w:rsidP="00000000" w:rsidRDefault="00000000" w:rsidRPr="00000000" w14:paraId="0000004B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Modelo de Projeto Básico – Obra - Regime Diferenciado de Contratações (RDC)</w:t>
    </w:r>
  </w:p>
  <w:p w:rsidR="00000000" w:rsidDel="00000000" w:rsidP="00000000" w:rsidRDefault="00000000" w:rsidRPr="00000000" w14:paraId="0000004C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Atualização: Outubro/2020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41">
    <w:pPr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Alvorada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4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46">
    <w:pPr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Alvorada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cofont_Spranq_eco_Sans" w:cs="Ecofont_Spranq_eco_Sans" w:eastAsia="Ecofont_Spranq_eco_Sans" w:hAnsi="Ecofont_Spranq_eco_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hrjYJh0AHkgzO/fK9kpi+09GA==">AMUW2mVp5Bw+anNA235JRLAiK071GMybDGzQqfOBLsmj7gYDB4P8ZuLzUpH6fsu3TceGJ3MljWcukz6DiiHYTPqMmR1kx51QIynFhuh6fiGQIOH10fFUcYX3miBK06gRKsmyo2VMeufYWaRxsrPCI+kCrm/N8sIe5P99N/+Sq8bSvTHBq0RAt/BX2XhultMKlV3RXB6DNwL8jVgR5GkgtJmJ8dgACBMRHxHcq0j17znG7n4ETAc9kvnBTpMqCUrvMIbig1pjxOJwZ2R+yHH+qiNBwk2JpoSN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