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"/>
        <w:rPr>
          <w:sz w:val="13"/>
        </w:rPr>
      </w:pPr>
      <w:bookmarkStart w:id="0" w:name="_GoBack"/>
      <w:bookmarkEnd w:id="0"/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Anexo II</w:t>
      </w: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TERMO DE COMPROMISSO PARA ESTUDANTE BOLSISTA EM PROGRAMAS/PROJETOS DE EXTENSÃO</w:t>
      </w: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>
      <w:pPr>
        <w:tabs>
          <w:tab w:val="left" w:pos="5699"/>
          <w:tab w:val="left" w:pos="8926"/>
        </w:tabs>
        <w:spacing w:before="1" w:line="376" w:lineRule="auto"/>
        <w:ind w:left="1522" w:firstLine="705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estudante do IFRS </w:t>
      </w:r>
      <w:r>
        <w:rPr>
          <w:i/>
          <w:sz w:val="20"/>
        </w:rPr>
        <w:t>Campus Alvorada</w:t>
      </w:r>
      <w:r>
        <w:rPr>
          <w:sz w:val="20"/>
        </w:rPr>
        <w:t>, declaro que estou ciente dos deveres, abaixo especificados, na condição de bolsista no seguinte programa/projeto de</w:t>
      </w:r>
      <w:r>
        <w:rPr>
          <w:spacing w:val="-9"/>
          <w:sz w:val="20"/>
        </w:rPr>
        <w:t xml:space="preserve"> </w:t>
      </w:r>
      <w:r>
        <w:rPr>
          <w:sz w:val="20"/>
        </w:rPr>
        <w:t>extensão:</w:t>
      </w:r>
    </w:p>
    <w:p>
      <w:pPr>
        <w:tabs>
          <w:tab w:val="left" w:pos="10490"/>
        </w:tabs>
        <w:spacing w:line="228" w:lineRule="exact"/>
        <w:ind w:left="1577"/>
        <w:jc w:val="both"/>
        <w:rPr>
          <w:rFonts w:ascii="Times New Roman" w:hAnsi="Times New Roman"/>
          <w:sz w:val="20"/>
        </w:rPr>
      </w:pPr>
      <w:r>
        <w:rPr>
          <w:b/>
          <w:sz w:val="20"/>
        </w:rPr>
        <w:t>Título</w:t>
      </w:r>
      <w:r>
        <w:rPr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5"/>
        <w:spacing w:before="7"/>
        <w:rPr>
          <w:rFonts w:ascii="Times New Roman"/>
          <w:sz w:val="13"/>
        </w:rPr>
      </w:pPr>
    </w:p>
    <w:p>
      <w:pPr>
        <w:tabs>
          <w:tab w:val="left" w:pos="10490"/>
        </w:tabs>
        <w:spacing w:before="94"/>
        <w:ind w:left="1522"/>
        <w:rPr>
          <w:rFonts w:ascii="Times New Roman"/>
          <w:sz w:val="20"/>
        </w:rPr>
      </w:pPr>
      <w:r>
        <w:rPr>
          <w:b/>
          <w:sz w:val="20"/>
        </w:rPr>
        <w:t>Coordenador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tabs>
          <w:tab w:val="left" w:pos="10490"/>
        </w:tabs>
        <w:spacing w:before="70"/>
        <w:ind w:left="1522"/>
        <w:jc w:val="both"/>
        <w:rPr>
          <w:rFonts w:ascii="Times New Roman"/>
          <w:sz w:val="20"/>
        </w:rPr>
      </w:pPr>
      <w:r>
        <w:rPr>
          <w:sz w:val="20"/>
        </w:rPr>
        <w:t xml:space="preserve">São deveres do bolsista, conforme estabelece o </w:t>
      </w:r>
      <w:r>
        <w:fldChar w:fldCharType="begin"/>
      </w:r>
      <w:r>
        <w:instrText xml:space="preserve"> HYPERLINK "https://ifrs.edu.br/documentos/resolucao-no-100-de-22-de-outubro-de-2019-aprovar-as-alteracoes-nos-programas-institucional-de-bolsas-de-extensao-pibex-e-de-apoio-institucional-a-extensao-paiex/" \h </w:instrText>
      </w:r>
      <w:r>
        <w:fldChar w:fldCharType="separate"/>
      </w:r>
      <w:r>
        <w:rPr>
          <w:color w:val="0462C1"/>
          <w:sz w:val="20"/>
          <w:u w:val="single" w:color="0462C1"/>
        </w:rPr>
        <w:t>Programa Institucional de Bolsas de Extensão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z w:val="20"/>
          <w:u w:val="single" w:color="0462C1"/>
        </w:rPr>
        <w:t xml:space="preserve"> </w:t>
      </w:r>
      <w:r>
        <w:fldChar w:fldCharType="begin"/>
      </w:r>
      <w:r>
        <w:instrText xml:space="preserve"> HYPERLINK "https://ifrs.edu.br/documentos/resolucao-no-100-de-22-de-outubro-de-2019-aprovar-as-alteracoes-nos-programas-institucional-de-bolsas-de-extensao-pibex-e-de-apoio-institucional-a-extensao-paiex/" \h </w:instrText>
      </w:r>
      <w:r>
        <w:fldChar w:fldCharType="separate"/>
      </w:r>
      <w:r>
        <w:rPr>
          <w:color w:val="0462C1"/>
          <w:sz w:val="20"/>
          <w:u w:val="single" w:color="0462C1"/>
        </w:rPr>
        <w:t>(PIBEX) do IFRS</w:t>
      </w:r>
      <w:r>
        <w:rPr>
          <w:color w:val="0462C1"/>
          <w:sz w:val="20"/>
          <w:u w:val="single" w:color="0462C1"/>
        </w:rPr>
        <w:fldChar w:fldCharType="end"/>
      </w:r>
      <w:r>
        <w:rPr>
          <w:sz w:val="20"/>
        </w:rPr>
        <w:t>:</w:t>
      </w:r>
    </w:p>
    <w:p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zelar pela qualidade acadêmica do programa ou projeto de extensão ao qual está vinculado;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participar de todas as atividades programadas pelo coordenador do programa ou projeto de extensão; 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exigências estabelecidas no Termo de Compromisso assinado por ocasião de sua seleção;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apresentar ao coordenador do programa ou projeto de extensão, depois de cumprida a metade da vigência da bolsa, o relatório parcial de atividades desenvolvidas e, ao término da vigência da bolsa, o relatório final;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apresentar trabalho em evento de extensão no seu </w:t>
      </w:r>
      <w:r>
        <w:rPr>
          <w:i/>
          <w:sz w:val="20"/>
        </w:rPr>
        <w:t>campus</w:t>
      </w:r>
      <w:r>
        <w:rPr>
          <w:sz w:val="20"/>
        </w:rPr>
        <w:t>, relativos ao programa ou projeto que participa;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apresentar indicadores satisfatórios de desempenho acadêmico;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fazer referência à sua condição de bolsista de extensão do IFRS, nas publicações e trabalhos apresentados em eventos;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criar, caso não possua, seu currículo na </w:t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color w:val="0462C1"/>
          <w:sz w:val="20"/>
          <w:u w:val="single" w:color="0462C1"/>
        </w:rPr>
        <w:t xml:space="preserve">Plataforma </w:t>
      </w:r>
      <w:r>
        <w:rPr>
          <w:color w:val="0462C1"/>
          <w:sz w:val="20"/>
          <w:u w:val="single" w:color="0462C1"/>
        </w:rPr>
        <w:fldChar w:fldCharType="end"/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i/>
          <w:color w:val="0462C1"/>
          <w:sz w:val="20"/>
          <w:u w:val="single" w:color="0462C1"/>
        </w:rPr>
        <w:t>Latte</w:t>
      </w:r>
      <w:r>
        <w:rPr>
          <w:i/>
          <w:color w:val="0462C1"/>
          <w:sz w:val="20"/>
          <w:u w:val="single" w:color="0462C1"/>
        </w:rPr>
        <w:fldChar w:fldCharType="end"/>
      </w:r>
      <w:r>
        <w:rPr>
          <w:i/>
          <w:color w:val="0462C1"/>
          <w:sz w:val="20"/>
          <w:u w:val="single" w:color="0462C1"/>
        </w:rPr>
        <w:t xml:space="preserve">s </w:t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color w:val="0462C1"/>
          <w:sz w:val="20"/>
          <w:u w:val="single" w:color="0462C1"/>
        </w:rPr>
        <w:t>do Conselho Nacional de Desenvolvimento</w:t>
      </w:r>
      <w:r>
        <w:rPr>
          <w:color w:val="0462C1"/>
          <w:sz w:val="20"/>
          <w:u w:val="single" w:color="0462C1"/>
        </w:rPr>
        <w:fldChar w:fldCharType="end"/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rFonts w:ascii="Times New Roman" w:hAnsi="Times New Roman"/>
          <w:color w:val="0462C1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Científico e Tecnológico (CNPq)</w:t>
      </w:r>
      <w:r>
        <w:rPr>
          <w:color w:val="0462C1"/>
          <w:sz w:val="20"/>
          <w:u w:val="single" w:color="0462C1"/>
        </w:rPr>
        <w:fldChar w:fldCharType="end"/>
      </w:r>
      <w:r>
        <w:rPr>
          <w:sz w:val="20"/>
        </w:rPr>
        <w:t>, incluindo sua condição de bolsista de extensão do IFRS e mantê-lo atualizado periodicamente;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exigências do edital específico pelo qual foi selecionado como bolsista; e,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demais exigências da instituição, dentro dos prazos estabelecidos.</w:t>
      </w:r>
    </w:p>
    <w:p>
      <w:pPr>
        <w:pStyle w:val="5"/>
        <w:spacing w:before="1"/>
        <w:rPr>
          <w:sz w:val="21"/>
        </w:rPr>
      </w:pPr>
    </w:p>
    <w:p>
      <w:pPr>
        <w:pStyle w:val="10"/>
        <w:numPr>
          <w:ilvl w:val="0"/>
          <w:numId w:val="2"/>
        </w:numPr>
        <w:tabs>
          <w:tab w:val="left" w:pos="1745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Fica dispensada a apresentação do relatório parcial, previsto na alínea “d”, quando a vigência da bolsa for inferior ao período de 6 (seis)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>
      <w:pPr>
        <w:pStyle w:val="10"/>
        <w:numPr>
          <w:ilvl w:val="0"/>
          <w:numId w:val="2"/>
        </w:numPr>
        <w:tabs>
          <w:tab w:val="left" w:pos="1745"/>
        </w:tabs>
        <w:spacing w:before="2" w:line="249" w:lineRule="auto"/>
        <w:ind w:firstLine="0"/>
        <w:jc w:val="both"/>
        <w:rPr>
          <w:sz w:val="20"/>
        </w:rPr>
      </w:pPr>
      <w:r>
        <w:rPr>
          <w:sz w:val="20"/>
        </w:rPr>
        <w:t>Em caso de desligamento, a qualquer tempo, o bolsista deverá apresentar relatório parcial das 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realizadas.</w:t>
      </w:r>
    </w:p>
    <w:p>
      <w:pPr>
        <w:pStyle w:val="5"/>
        <w:spacing w:before="3"/>
        <w:rPr>
          <w:sz w:val="26"/>
        </w:rPr>
      </w:pPr>
    </w:p>
    <w:p>
      <w:pPr>
        <w:pStyle w:val="5"/>
        <w:spacing w:before="1"/>
        <w:rPr>
          <w:sz w:val="21"/>
        </w:rPr>
      </w:pPr>
    </w:p>
    <w:p>
      <w:pPr>
        <w:spacing w:line="249" w:lineRule="auto"/>
        <w:ind w:left="1522" w:firstLine="705"/>
        <w:rPr>
          <w:sz w:val="20"/>
        </w:rPr>
      </w:pPr>
      <w:r>
        <w:rPr>
          <w:sz w:val="20"/>
        </w:rPr>
        <w:t>Comprometo-me a informar qualquer descumprimento das condições acima descritas ao Setor de Extensão do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campus</w:t>
      </w:r>
      <w:r>
        <w:rPr>
          <w:sz w:val="20"/>
        </w:rPr>
        <w:t>.</w:t>
      </w:r>
    </w:p>
    <w:p>
      <w:pPr>
        <w:pStyle w:val="5"/>
        <w:rPr>
          <w:sz w:val="21"/>
        </w:rPr>
      </w:pPr>
    </w:p>
    <w:p>
      <w:pPr>
        <w:spacing w:before="1"/>
        <w:ind w:left="1522"/>
        <w:rPr>
          <w:b/>
          <w:sz w:val="20"/>
        </w:rPr>
      </w:pPr>
      <w:r>
        <w:rPr>
          <w:b/>
          <w:sz w:val="20"/>
        </w:rPr>
        <w:t>Assinaturas</w:t>
      </w:r>
    </w:p>
    <w:p>
      <w:pPr>
        <w:spacing w:before="1"/>
        <w:ind w:left="1522"/>
        <w:rPr>
          <w:b/>
          <w:sz w:val="20"/>
        </w:rPr>
      </w:pPr>
    </w:p>
    <w:p>
      <w:pPr>
        <w:spacing w:before="1"/>
        <w:ind w:left="1522"/>
        <w:rPr>
          <w:b/>
          <w:sz w:val="20"/>
        </w:rPr>
      </w:pPr>
    </w:p>
    <w:p>
      <w:pPr>
        <w:spacing w:before="1"/>
        <w:ind w:left="1522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sz w:val="10"/>
        </w:rPr>
      </w:pPr>
      <w:r>
        <w:rPr>
          <w:b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52705</wp:posOffset>
                </wp:positionV>
                <wp:extent cx="2654935" cy="431800"/>
                <wp:effectExtent l="0" t="0" r="0" b="0"/>
                <wp:wrapNone/>
                <wp:docPr id="1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1"/>
                              </w:pBdr>
                              <w:jc w:val="center"/>
                            </w:pPr>
                            <w:r>
                              <w:t>Coordenador(a) do Projeto/Programa de Extensão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300.15pt;margin-top:4.15pt;height:34pt;width:209.05pt;z-index:251661312;mso-width-relative:margin;mso-height-relative:margin;mso-width-percent:400;mso-height-percent:200;" fillcolor="#FFFFFF" filled="t" stroked="f" coordsize="21600,21600" o:gfxdata="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h1fV&#10;2QAAAAkBAAAPAAAAAAAAAAEAIAAAACIAAABkcnMvZG93bnJldi54bWxQSwECFAAUAAAACACHTuJA&#10;RurMgSACAABE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top w:val="single" w:color="auto" w:sz="4" w:space="1"/>
                        </w:pBdr>
                        <w:jc w:val="center"/>
                      </w:pPr>
                      <w:r>
                        <w:t>Coordenador(a) do Projeto/Programa de Extensão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52705</wp:posOffset>
                </wp:positionV>
                <wp:extent cx="2654935" cy="271145"/>
                <wp:effectExtent l="0" t="0" r="0" b="0"/>
                <wp:wrapNone/>
                <wp:docPr id="1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1"/>
                              </w:pBdr>
                              <w:jc w:val="center"/>
                            </w:pPr>
                            <w:r>
                              <w:t>Estudante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72.25pt;margin-top:4.15pt;height:21.35pt;width:209.05pt;z-index:251660288;mso-width-relative:margin;mso-height-relative:margin;mso-width-percent:400;mso-height-percent:200;" fillcolor="#FFFFFF" filled="t" stroked="f" coordsize="21600,21600" o:gfxdata="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1SUlJ1wAA&#10;AAgBAAAPAAAAAAAAAAEAIAAAACIAAABkcnMvZG93bnJldi54bWxQSwECFAAUAAAACACHTuJAFneL&#10;dh8CAABEBAAADgAAAAAAAAABACAAAAAm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top w:val="single" w:color="auto" w:sz="4" w:space="1"/>
                        </w:pBdr>
                        <w:jc w:val="center"/>
                      </w:pPr>
                      <w:r>
                        <w:t>Estudante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11"/>
        <w:rPr>
          <w:b/>
          <w:sz w:val="26"/>
        </w:rPr>
      </w:pPr>
    </w:p>
    <w:p>
      <w:pPr>
        <w:pStyle w:val="5"/>
        <w:spacing w:before="11"/>
        <w:rPr>
          <w:b/>
          <w:sz w:val="26"/>
        </w:rPr>
      </w:pPr>
    </w:p>
    <w:p>
      <w:pPr>
        <w:pStyle w:val="5"/>
        <w:spacing w:before="11"/>
        <w:rPr>
          <w:b/>
          <w:sz w:val="26"/>
        </w:rPr>
      </w:pPr>
    </w:p>
    <w:p>
      <w:pPr>
        <w:pStyle w:val="5"/>
        <w:spacing w:before="11"/>
        <w:rPr>
          <w:b/>
          <w:sz w:val="26"/>
        </w:rPr>
      </w:pPr>
    </w:p>
    <w:sectPr>
      <w:headerReference r:id="rId3" w:type="default"/>
      <w:pgSz w:w="11920" w:h="16860"/>
      <w:pgMar w:top="2116" w:right="1287" w:bottom="760" w:left="181" w:header="573" w:footer="561" w:gutter="0"/>
      <w:pgNumType w:start="1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-239395</wp:posOffset>
          </wp:positionV>
          <wp:extent cx="504825" cy="542925"/>
          <wp:effectExtent l="0" t="0" r="0" b="0"/>
          <wp:wrapSquare wrapText="bothSides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rPr>
        <w:rFonts w:ascii="Times New Roman" w:hAnsi="Times New Roman" w:eastAsia="Times New Roman" w:cs="Times New Roman"/>
        <w:color w:val="000000"/>
        <w:sz w:val="24"/>
        <w:szCs w:val="24"/>
      </w:rPr>
    </w:pPr>
  </w:p>
  <w:p>
    <w:pPr>
      <w:spacing w:before="60"/>
      <w:ind w:left="1560"/>
      <w:jc w:val="center"/>
      <w:rPr>
        <w:sz w:val="16"/>
        <w:szCs w:val="20"/>
      </w:rPr>
    </w:pPr>
    <w:r>
      <w:rPr>
        <w:sz w:val="16"/>
        <w:szCs w:val="20"/>
      </w:rPr>
      <w:t>MINISTÉRIO DA EDUCAÇÃO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Secretaria de Educação Profissional e Tecnológica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Instituto Federal de Educação, Ciência e Tecnologia do Rio Grande do Sul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Gabinete do Diretor-geral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jc w:val="center"/>
      <w:rPr>
        <w:sz w:val="18"/>
      </w:rPr>
    </w:pPr>
    <w:r>
      <w:rPr>
        <w:sz w:val="12"/>
        <w:szCs w:val="16"/>
      </w:rPr>
      <w:t>Campus Alvorada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61DBA"/>
    <w:multiLevelType w:val="multilevel"/>
    <w:tmpl w:val="17961DBA"/>
    <w:lvl w:ilvl="0" w:tentative="0">
      <w:start w:val="1"/>
      <w:numFmt w:val="lowerLetter"/>
      <w:lvlText w:val="%1)"/>
      <w:lvlJc w:val="left"/>
      <w:pPr>
        <w:ind w:left="1882" w:hanging="360"/>
      </w:pPr>
      <w:rPr>
        <w:rFonts w:hint="default" w:ascii="Arial"/>
      </w:rPr>
    </w:lvl>
    <w:lvl w:ilvl="1" w:tentative="0">
      <w:start w:val="1"/>
      <w:numFmt w:val="lowerLetter"/>
      <w:lvlText w:val="%2."/>
      <w:lvlJc w:val="left"/>
      <w:pPr>
        <w:ind w:left="2602" w:hanging="360"/>
      </w:pPr>
    </w:lvl>
    <w:lvl w:ilvl="2" w:tentative="0">
      <w:start w:val="1"/>
      <w:numFmt w:val="lowerRoman"/>
      <w:lvlText w:val="%3."/>
      <w:lvlJc w:val="right"/>
      <w:pPr>
        <w:ind w:left="3322" w:hanging="180"/>
      </w:pPr>
    </w:lvl>
    <w:lvl w:ilvl="3" w:tentative="0">
      <w:start w:val="1"/>
      <w:numFmt w:val="decimal"/>
      <w:lvlText w:val="%4."/>
      <w:lvlJc w:val="left"/>
      <w:pPr>
        <w:ind w:left="4042" w:hanging="360"/>
      </w:pPr>
    </w:lvl>
    <w:lvl w:ilvl="4" w:tentative="0">
      <w:start w:val="1"/>
      <w:numFmt w:val="lowerLetter"/>
      <w:lvlText w:val="%5."/>
      <w:lvlJc w:val="left"/>
      <w:pPr>
        <w:ind w:left="4762" w:hanging="360"/>
      </w:pPr>
    </w:lvl>
    <w:lvl w:ilvl="5" w:tentative="0">
      <w:start w:val="1"/>
      <w:numFmt w:val="lowerRoman"/>
      <w:lvlText w:val="%6."/>
      <w:lvlJc w:val="right"/>
      <w:pPr>
        <w:ind w:left="5482" w:hanging="180"/>
      </w:pPr>
    </w:lvl>
    <w:lvl w:ilvl="6" w:tentative="0">
      <w:start w:val="1"/>
      <w:numFmt w:val="decimal"/>
      <w:lvlText w:val="%7."/>
      <w:lvlJc w:val="left"/>
      <w:pPr>
        <w:ind w:left="6202" w:hanging="360"/>
      </w:pPr>
    </w:lvl>
    <w:lvl w:ilvl="7" w:tentative="0">
      <w:start w:val="1"/>
      <w:numFmt w:val="lowerLetter"/>
      <w:lvlText w:val="%8."/>
      <w:lvlJc w:val="left"/>
      <w:pPr>
        <w:ind w:left="6922" w:hanging="360"/>
      </w:pPr>
    </w:lvl>
    <w:lvl w:ilvl="8" w:tentative="0">
      <w:start w:val="1"/>
      <w:numFmt w:val="lowerRoman"/>
      <w:lvlText w:val="%9."/>
      <w:lvlJc w:val="right"/>
      <w:pPr>
        <w:ind w:left="7642" w:hanging="180"/>
      </w:pPr>
    </w:lvl>
  </w:abstractNum>
  <w:abstractNum w:abstractNumId="1">
    <w:nsid w:val="5C613016"/>
    <w:multiLevelType w:val="multilevel"/>
    <w:tmpl w:val="5C613016"/>
    <w:lvl w:ilvl="0" w:tentative="0">
      <w:start w:val="1"/>
      <w:numFmt w:val="decimal"/>
      <w:lvlText w:val="%1."/>
      <w:lvlJc w:val="left"/>
      <w:pPr>
        <w:ind w:left="1925" w:hanging="22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939" w:hanging="22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955" w:hanging="22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971" w:hanging="22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987" w:hanging="22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019" w:hanging="2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035" w:hanging="2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0051" w:hanging="2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9"/>
    <w:rsid w:val="00203303"/>
    <w:rsid w:val="00360589"/>
    <w:rsid w:val="003739F9"/>
    <w:rsid w:val="004303C1"/>
    <w:rsid w:val="00432393"/>
    <w:rsid w:val="00603856"/>
    <w:rsid w:val="00C32496"/>
    <w:rsid w:val="1A2442F2"/>
    <w:rsid w:val="6FC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766" w:hanging="245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522"/>
    </w:pPr>
  </w:style>
  <w:style w:type="paragraph" w:customStyle="1" w:styleId="11">
    <w:name w:val="Table Paragraph"/>
    <w:basedOn w:val="1"/>
    <w:qFormat/>
    <w:uiPriority w:val="1"/>
    <w:pPr>
      <w:spacing w:before="114"/>
    </w:pPr>
  </w:style>
  <w:style w:type="character" w:customStyle="1" w:styleId="12">
    <w:name w:val="Cabeçalho Char"/>
    <w:basedOn w:val="3"/>
    <w:link w:val="6"/>
    <w:uiPriority w:val="99"/>
    <w:rPr>
      <w:rFonts w:ascii="Arial" w:hAnsi="Arial" w:eastAsia="Arial" w:cs="Arial"/>
      <w:lang w:val="pt-PT"/>
    </w:rPr>
  </w:style>
  <w:style w:type="character" w:customStyle="1" w:styleId="13">
    <w:name w:val="Rodapé Char"/>
    <w:basedOn w:val="3"/>
    <w:link w:val="7"/>
    <w:uiPriority w:val="99"/>
    <w:rPr>
      <w:rFonts w:ascii="Arial" w:hAnsi="Arial" w:eastAsia="Arial" w:cs="Arial"/>
      <w:lang w:val="pt-PT"/>
    </w:rPr>
  </w:style>
  <w:style w:type="character" w:customStyle="1" w:styleId="14">
    <w:name w:val="Texto de balão Char"/>
    <w:basedOn w:val="3"/>
    <w:link w:val="8"/>
    <w:semiHidden/>
    <w:uiPriority w:val="99"/>
    <w:rPr>
      <w:rFonts w:ascii="Tahoma" w:hAnsi="Tahoma" w:eastAsia="Arial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2171</Characters>
  <Lines>18</Lines>
  <Paragraphs>5</Paragraphs>
  <TotalTime>2</TotalTime>
  <ScaleCrop>false</ScaleCrop>
  <LinksUpToDate>false</LinksUpToDate>
  <CharactersWithSpaces>2567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2020-08-22T16:25:00Z</dcterms:created>
  <dc:creator>GABINETE-01</dc:creator>
  <cp:lastModifiedBy>Motivação</cp:lastModifiedBy>
  <dcterms:modified xsi:type="dcterms:W3CDTF">2021-10-18T18:18:47Z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6700F003BAB14B60A8FD4039375584B9</vt:lpwstr>
  </property>
</Properties>
</file>