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C" w:rsidRDefault="002A428C" w:rsidP="002A42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noProof/>
          <w:lang w:eastAsia="pt-BR"/>
        </w:rPr>
        <w:drawing>
          <wp:inline distT="0" distB="0" distL="0" distR="0" wp14:anchorId="4EFA1ECC" wp14:editId="7B492773">
            <wp:extent cx="1153160" cy="497840"/>
            <wp:effectExtent l="0" t="0" r="889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8C" w:rsidRDefault="002A428C" w:rsidP="002A42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428C" w:rsidRDefault="002A428C" w:rsidP="002A4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A428C" w:rsidRDefault="002A428C" w:rsidP="002A428C">
      <w:pPr>
        <w:autoSpaceDE w:val="0"/>
        <w:autoSpaceDN w:val="0"/>
        <w:adjustRightInd w:val="0"/>
        <w:jc w:val="both"/>
        <w:rPr>
          <w:b/>
          <w:bCs/>
        </w:rPr>
      </w:pPr>
    </w:p>
    <w:p w:rsidR="002A428C" w:rsidRDefault="002A428C" w:rsidP="002A42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2A428C" w:rsidRDefault="002A428C" w:rsidP="002A428C">
      <w:pPr>
        <w:autoSpaceDE w:val="0"/>
        <w:autoSpaceDN w:val="0"/>
        <w:adjustRightInd w:val="0"/>
        <w:jc w:val="center"/>
      </w:pPr>
      <w:r>
        <w:t>SECRETARIA DE EDUCAÇÃO PROFISSIONAL E TECNOLÓGICA</w:t>
      </w:r>
    </w:p>
    <w:p w:rsidR="002A428C" w:rsidRDefault="002A428C" w:rsidP="002A428C">
      <w:pPr>
        <w:autoSpaceDE w:val="0"/>
        <w:autoSpaceDN w:val="0"/>
        <w:adjustRightInd w:val="0"/>
        <w:jc w:val="center"/>
      </w:pPr>
      <w:r>
        <w:t xml:space="preserve">INSTITUTO FEDERAL DE EDUCAÇÃO, CIÊNCIA E TECNOLOGIA DO RIO GRANDE DO </w:t>
      </w:r>
      <w:proofErr w:type="gramStart"/>
      <w:r>
        <w:t>SUL</w:t>
      </w:r>
      <w:proofErr w:type="gramEnd"/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2A428C" w:rsidRDefault="002A428C" w:rsidP="002A428C">
      <w:pPr>
        <w:autoSpaceDE w:val="0"/>
        <w:autoSpaceDN w:val="0"/>
        <w:adjustRightInd w:val="0"/>
        <w:spacing w:line="360" w:lineRule="auto"/>
        <w:ind w:right="425"/>
        <w:jc w:val="center"/>
        <w:rPr>
          <w:b/>
        </w:rPr>
      </w:pPr>
      <w:r>
        <w:rPr>
          <w:b/>
        </w:rPr>
        <w:t>RELATÓRIO DE AÇÕES E RESULTADOS 2016 – IFRS CAMPUS VIAMÃO</w:t>
      </w:r>
    </w:p>
    <w:p w:rsidR="002A428C" w:rsidRDefault="002A428C" w:rsidP="002A428C">
      <w:pPr>
        <w:ind w:right="425"/>
        <w:jc w:val="center"/>
      </w:pPr>
      <w:r>
        <w:t xml:space="preserve">PRODI – </w:t>
      </w:r>
      <w:proofErr w:type="spellStart"/>
      <w:r>
        <w:t>Pró-Reitoria</w:t>
      </w:r>
      <w:proofErr w:type="spellEnd"/>
      <w:r>
        <w:t xml:space="preserve"> de Desenvolvimento Institucional</w:t>
      </w:r>
    </w:p>
    <w:p w:rsidR="002A428C" w:rsidRDefault="002A428C" w:rsidP="002A428C">
      <w:pPr>
        <w:jc w:val="both"/>
      </w:pPr>
    </w:p>
    <w:p w:rsidR="002A428C" w:rsidRDefault="002A428C" w:rsidP="002A428C">
      <w:pPr>
        <w:jc w:val="both"/>
      </w:pPr>
    </w:p>
    <w:p w:rsidR="002A428C" w:rsidRDefault="002A428C" w:rsidP="002A428C">
      <w:pPr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both"/>
      </w:pPr>
    </w:p>
    <w:p w:rsidR="002A428C" w:rsidRDefault="002A428C" w:rsidP="002A428C">
      <w:pPr>
        <w:suppressAutoHyphens w:val="0"/>
        <w:spacing w:after="200" w:line="276" w:lineRule="auto"/>
        <w:jc w:val="center"/>
      </w:pPr>
      <w:r>
        <w:t xml:space="preserve">Porto Alegre, </w:t>
      </w:r>
      <w:r w:rsidR="00CA1E39">
        <w:t>2</w:t>
      </w:r>
      <w:r>
        <w:t>1 de dezembro de 2016.</w:t>
      </w:r>
    </w:p>
    <w:p w:rsidR="002A428C" w:rsidRPr="002A428C" w:rsidRDefault="002A428C" w:rsidP="002A428C">
      <w:r>
        <w:rPr>
          <w:b/>
        </w:rPr>
        <w:lastRenderedPageBreak/>
        <w:t xml:space="preserve"> </w:t>
      </w:r>
      <w:r w:rsidRPr="002A428C">
        <w:rPr>
          <w:b/>
        </w:rPr>
        <w:t>Sumário</w:t>
      </w:r>
      <w:r w:rsidRPr="002A428C">
        <w:t>:</w:t>
      </w:r>
    </w:p>
    <w:p w:rsidR="00B74B2F" w:rsidRDefault="00B74B2F" w:rsidP="00B74B2F">
      <w:r>
        <w:t>1. Introdução</w:t>
      </w:r>
      <w:proofErr w:type="gramStart"/>
      <w:r>
        <w:t>.................................................................................................</w:t>
      </w:r>
      <w:proofErr w:type="gramEnd"/>
      <w:r>
        <w:t>03</w:t>
      </w:r>
    </w:p>
    <w:p w:rsidR="00B74B2F" w:rsidRDefault="00B74B2F" w:rsidP="00B74B2F">
      <w:r>
        <w:t>2. Ações e resultados – Exercício 2016</w:t>
      </w:r>
      <w:proofErr w:type="gramStart"/>
      <w:r>
        <w:t>........................................................</w:t>
      </w:r>
      <w:proofErr w:type="gramEnd"/>
      <w:r>
        <w:t>04</w:t>
      </w:r>
    </w:p>
    <w:p w:rsidR="00B74B2F" w:rsidRDefault="00B74B2F" w:rsidP="00B74B2F">
      <w:r>
        <w:t>2.1 Principais ações realizadas</w:t>
      </w:r>
      <w:proofErr w:type="gramStart"/>
      <w:r>
        <w:t>.....................................................................</w:t>
      </w:r>
      <w:proofErr w:type="gramEnd"/>
      <w:r>
        <w:t>04</w:t>
      </w:r>
    </w:p>
    <w:p w:rsidR="00B74B2F" w:rsidRDefault="00B74B2F" w:rsidP="00B74B2F">
      <w:r>
        <w:t xml:space="preserve">2.2 Principais resultados </w:t>
      </w:r>
      <w:proofErr w:type="gramStart"/>
      <w:r>
        <w:t>alcançados ...</w:t>
      </w:r>
      <w:proofErr w:type="gramEnd"/>
      <w:r>
        <w:t>........................................................07</w:t>
      </w:r>
    </w:p>
    <w:p w:rsidR="00B74B2F" w:rsidRDefault="00B74B2F" w:rsidP="00B74B2F">
      <w:r>
        <w:t>2.3 Justificativas para a não execução de ações planejadas</w:t>
      </w:r>
      <w:proofErr w:type="gramStart"/>
      <w:r>
        <w:t>.........................</w:t>
      </w:r>
      <w:proofErr w:type="gramEnd"/>
      <w:r>
        <w:t>11</w:t>
      </w:r>
    </w:p>
    <w:p w:rsidR="00B74B2F" w:rsidRDefault="00B74B2F" w:rsidP="00B74B2F">
      <w:r>
        <w:t>2.4 Alterações no planejamento</w:t>
      </w:r>
      <w:proofErr w:type="gramStart"/>
      <w:r>
        <w:t>...................................................................</w:t>
      </w:r>
      <w:proofErr w:type="gramEnd"/>
      <w:r>
        <w:t>11</w:t>
      </w:r>
    </w:p>
    <w:p w:rsidR="00B74B2F" w:rsidRDefault="00B74B2F" w:rsidP="00B74B2F">
      <w:r>
        <w:t>2.5 Aprendizados adquiridos e superações conquistadas</w:t>
      </w:r>
      <w:proofErr w:type="gramStart"/>
      <w:r>
        <w:t>.............................</w:t>
      </w:r>
      <w:proofErr w:type="gramEnd"/>
      <w:r>
        <w:t>11</w:t>
      </w:r>
    </w:p>
    <w:p w:rsidR="00B74B2F" w:rsidRDefault="00B74B2F" w:rsidP="00B74B2F">
      <w:r>
        <w:t xml:space="preserve">2.6 Quantitativos de execução das ações </w:t>
      </w:r>
      <w:proofErr w:type="gramStart"/>
      <w:r>
        <w:t>planejadas ...</w:t>
      </w:r>
      <w:proofErr w:type="gramEnd"/>
      <w:r>
        <w:t>................................12</w:t>
      </w:r>
    </w:p>
    <w:p w:rsidR="00B74B2F" w:rsidRDefault="00B74B2F" w:rsidP="00B74B2F">
      <w:r>
        <w:t>3. Conclusão</w:t>
      </w:r>
      <w:proofErr w:type="gramStart"/>
      <w:r>
        <w:t>.................................................................................................</w:t>
      </w:r>
      <w:r w:rsidR="00CA1E39">
        <w:t>.</w:t>
      </w:r>
      <w:proofErr w:type="gramEnd"/>
      <w:r>
        <w:t>13</w:t>
      </w:r>
    </w:p>
    <w:p w:rsidR="002A428C" w:rsidRDefault="00B74B2F" w:rsidP="00B74B2F">
      <w:r>
        <w:t xml:space="preserve"> </w:t>
      </w:r>
      <w:r>
        <w:tab/>
      </w:r>
    </w:p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Default="002A428C" w:rsidP="002A428C"/>
    <w:p w:rsidR="002A428C" w:rsidRPr="00F305D9" w:rsidRDefault="00F305D9" w:rsidP="00F305D9">
      <w:pPr>
        <w:pStyle w:val="PargrafodaLista"/>
        <w:numPr>
          <w:ilvl w:val="0"/>
          <w:numId w:val="2"/>
        </w:numPr>
        <w:rPr>
          <w:b/>
        </w:rPr>
      </w:pPr>
      <w:r w:rsidRPr="00F305D9">
        <w:rPr>
          <w:b/>
        </w:rPr>
        <w:lastRenderedPageBreak/>
        <w:t>I</w:t>
      </w:r>
      <w:r w:rsidR="002A428C" w:rsidRPr="00F305D9">
        <w:rPr>
          <w:b/>
        </w:rPr>
        <w:t>ntrodução</w:t>
      </w:r>
    </w:p>
    <w:p w:rsidR="00F305D9" w:rsidRDefault="00F305D9" w:rsidP="00F305D9"/>
    <w:p w:rsidR="000F1C5D" w:rsidRDefault="000F1C5D" w:rsidP="00F305D9"/>
    <w:p w:rsidR="00A60AEC" w:rsidRDefault="000F1C5D" w:rsidP="00B74B2F">
      <w:pPr>
        <w:jc w:val="both"/>
      </w:pPr>
      <w:r>
        <w:t xml:space="preserve">     Trata-se do Relatório de Ação e Resultados do IFRS Campus Viamão referente ao Plano de Ação elaborado para o exercício de 2016, no ano de 2015, período no qual </w:t>
      </w:r>
      <w:r w:rsidR="000E7CCA">
        <w:t>se intensificou o</w:t>
      </w:r>
      <w:r>
        <w:t xml:space="preserve"> processo de implantação </w:t>
      </w:r>
      <w:r w:rsidR="000E7CCA">
        <w:t xml:space="preserve">do Campus e de </w:t>
      </w:r>
      <w:proofErr w:type="gramStart"/>
      <w:r w:rsidR="000E7CCA">
        <w:t>implementação</w:t>
      </w:r>
      <w:proofErr w:type="gramEnd"/>
      <w:r w:rsidR="000E7CCA">
        <w:t xml:space="preserve"> das políticas de educação </w:t>
      </w:r>
      <w:r w:rsidR="00A60AEC">
        <w:t xml:space="preserve">e demais diretrizes de gestão </w:t>
      </w:r>
      <w:r w:rsidR="000E7CCA">
        <w:t xml:space="preserve">do IFRS </w:t>
      </w:r>
      <w:r>
        <w:t>no município de Viamão.</w:t>
      </w:r>
    </w:p>
    <w:p w:rsidR="00E5498E" w:rsidRDefault="00A60AEC" w:rsidP="00B74B2F">
      <w:pPr>
        <w:jc w:val="both"/>
      </w:pPr>
      <w:r>
        <w:t xml:space="preserve">     Em decorrência do desenvolvimento de ações visando </w:t>
      </w:r>
      <w:r w:rsidR="00543029">
        <w:t>à</w:t>
      </w:r>
      <w:r>
        <w:t xml:space="preserve"> implantação do Campus Viamão e da recente formação do segmento discente, o processo </w:t>
      </w:r>
      <w:r w:rsidR="00543029">
        <w:t>constituído para a</w:t>
      </w:r>
      <w:r>
        <w:t xml:space="preserve"> elaboração das propostas </w:t>
      </w:r>
      <w:r w:rsidR="00543029">
        <w:t>que redundariam n</w:t>
      </w:r>
      <w:r>
        <w:t>a confecção do Plano de Ação para o exercício de 2016</w:t>
      </w:r>
      <w:r w:rsidR="00543029">
        <w:t>, conduzido pela coordenação de desenvolvimento institucional, envolveu o conjunto de servidores alocados no Campus naquele momento</w:t>
      </w:r>
      <w:r w:rsidR="008C7683">
        <w:t>,</w:t>
      </w:r>
      <w:r w:rsidR="00543029">
        <w:t xml:space="preserve"> em uma reunião geral </w:t>
      </w:r>
      <w:r w:rsidR="0041332B">
        <w:t xml:space="preserve">com o propósito de planejar ações </w:t>
      </w:r>
      <w:r w:rsidR="00543029">
        <w:t>busca</w:t>
      </w:r>
      <w:r w:rsidR="0041332B">
        <w:t xml:space="preserve">ndo </w:t>
      </w:r>
      <w:r w:rsidR="00543029">
        <w:t>alcançar objetivos previstos e encaminhados pela Reitoria</w:t>
      </w:r>
      <w:r w:rsidR="0041332B">
        <w:t>.</w:t>
      </w:r>
      <w:r>
        <w:t xml:space="preserve"> </w:t>
      </w:r>
    </w:p>
    <w:p w:rsidR="000F1C5D" w:rsidRDefault="00E5498E" w:rsidP="00B74B2F">
      <w:pPr>
        <w:jc w:val="both"/>
      </w:pPr>
      <w:r>
        <w:t xml:space="preserve">     </w:t>
      </w:r>
      <w:r w:rsidR="000E7CCA">
        <w:t xml:space="preserve">Este relatório visa </w:t>
      </w:r>
      <w:r w:rsidR="000F1C5D">
        <w:t>apresenta</w:t>
      </w:r>
      <w:r w:rsidR="000E7CCA">
        <w:t>r</w:t>
      </w:r>
      <w:r w:rsidR="000F1C5D">
        <w:t xml:space="preserve"> como </w:t>
      </w:r>
      <w:r w:rsidR="000E7CCA">
        <w:t>o Campus Viamão</w:t>
      </w:r>
      <w:r w:rsidR="000F1C5D">
        <w:t xml:space="preserve"> empregou os recursos públicos aportados no seu orçamento na consecução das suas ações de ensino, pesquisa e extensão, assim como os resultados alcançados, os avanços conseguidos e, também, as dificuldades encontradas para atingir os objetivos planejados para o ano em análise.</w:t>
      </w:r>
    </w:p>
    <w:p w:rsidR="00E5498E" w:rsidRDefault="00E5498E" w:rsidP="00B74B2F">
      <w:pPr>
        <w:jc w:val="both"/>
      </w:pPr>
      <w:r>
        <w:t xml:space="preserve">     Assim, as informações contidas neste documento </w:t>
      </w:r>
      <w:r w:rsidR="00AD6320">
        <w:t xml:space="preserve">procuram </w:t>
      </w:r>
      <w:r>
        <w:t>destaca</w:t>
      </w:r>
      <w:r w:rsidR="00AD6320">
        <w:t xml:space="preserve">r </w:t>
      </w:r>
      <w:r>
        <w:t xml:space="preserve">a expansão da oferta de educação profissional e tecnológica </w:t>
      </w:r>
      <w:r w:rsidR="00AD6320">
        <w:t>para o município d</w:t>
      </w:r>
      <w:r>
        <w:t xml:space="preserve">e </w:t>
      </w:r>
      <w:r w:rsidR="00AD6320">
        <w:t>Viamão</w:t>
      </w:r>
      <w:r>
        <w:t>; a política de inclusão social de estudantes de baixa renda por meio de cotas nos processos seletivos e do acesso aos diversos programas institucionais de assistência ao estudante, resultando na formação de profissionais aptos para o mundo do trabalho, e as ações de pesquisa e inovação e de extensão, contribuindo para o desenvolvimento local e regional.</w:t>
      </w:r>
    </w:p>
    <w:p w:rsidR="000E7CCA" w:rsidRPr="000F1C5D" w:rsidRDefault="000E7CCA" w:rsidP="00B74B2F">
      <w:pPr>
        <w:jc w:val="both"/>
      </w:pPr>
      <w:r>
        <w:t xml:space="preserve">     </w:t>
      </w:r>
    </w:p>
    <w:p w:rsidR="00F305D9" w:rsidRDefault="00F305D9" w:rsidP="00B74B2F">
      <w:pPr>
        <w:jc w:val="both"/>
      </w:pPr>
    </w:p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F305D9" w:rsidRDefault="00F305D9" w:rsidP="00F305D9"/>
    <w:p w:rsidR="00804B35" w:rsidRDefault="00804B35" w:rsidP="00F305D9"/>
    <w:p w:rsidR="00804B35" w:rsidRDefault="00804B35" w:rsidP="00F305D9"/>
    <w:p w:rsidR="00804B35" w:rsidRDefault="00804B35" w:rsidP="00F305D9"/>
    <w:p w:rsidR="00F305D9" w:rsidRDefault="00F305D9" w:rsidP="00F305D9"/>
    <w:p w:rsidR="00F305D9" w:rsidRPr="00B74B2F" w:rsidRDefault="00F305D9" w:rsidP="00F305D9">
      <w:pPr>
        <w:pStyle w:val="PargrafodaLista"/>
        <w:numPr>
          <w:ilvl w:val="0"/>
          <w:numId w:val="2"/>
        </w:numPr>
        <w:rPr>
          <w:b/>
        </w:rPr>
      </w:pPr>
      <w:r w:rsidRPr="00B74B2F">
        <w:rPr>
          <w:b/>
        </w:rPr>
        <w:lastRenderedPageBreak/>
        <w:t>Ações e Resultados – Exercício 2016</w:t>
      </w:r>
    </w:p>
    <w:p w:rsidR="00B74B2F" w:rsidRDefault="00B74B2F" w:rsidP="00B74B2F">
      <w:pPr>
        <w:pStyle w:val="PargrafodaLista"/>
        <w:ind w:left="1080"/>
        <w:rPr>
          <w:b/>
        </w:rPr>
      </w:pPr>
    </w:p>
    <w:p w:rsidR="00F305D9" w:rsidRPr="00B74B2F" w:rsidRDefault="00F305D9" w:rsidP="00F305D9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 xml:space="preserve">Principais ações realizadas </w:t>
      </w:r>
    </w:p>
    <w:p w:rsidR="00B74B2F" w:rsidRDefault="00B74B2F" w:rsidP="00F305D9">
      <w:pPr>
        <w:ind w:left="360"/>
        <w:jc w:val="center"/>
        <w:rPr>
          <w:b/>
          <w:sz w:val="20"/>
          <w:szCs w:val="20"/>
        </w:rPr>
      </w:pPr>
    </w:p>
    <w:p w:rsidR="00F305D9" w:rsidRPr="00F305D9" w:rsidRDefault="00F305D9" w:rsidP="00F305D9">
      <w:pPr>
        <w:ind w:left="360"/>
        <w:jc w:val="center"/>
        <w:rPr>
          <w:b/>
          <w:sz w:val="20"/>
          <w:szCs w:val="20"/>
        </w:rPr>
      </w:pPr>
      <w:r w:rsidRPr="00F305D9">
        <w:rPr>
          <w:b/>
          <w:sz w:val="20"/>
          <w:szCs w:val="20"/>
        </w:rPr>
        <w:t>Quadro I - Objetivos traçados e principais ações realizadas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33"/>
        <w:gridCol w:w="4360"/>
      </w:tblGrid>
      <w:tr w:rsidR="00F305D9" w:rsidRPr="00B74B2F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Pr="00B74B2F" w:rsidRDefault="00F305D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i/>
                <w:color w:val="000000" w:themeColor="text1"/>
                <w:sz w:val="20"/>
                <w:szCs w:val="20"/>
              </w:rPr>
              <w:t>CAMPUS</w:t>
            </w:r>
            <w:r w:rsidRPr="00B74B2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B74B2F">
              <w:rPr>
                <w:b/>
                <w:color w:val="000000" w:themeColor="text1"/>
                <w:sz w:val="20"/>
                <w:szCs w:val="20"/>
              </w:rPr>
              <w:t xml:space="preserve"> Viamão</w:t>
            </w:r>
          </w:p>
        </w:tc>
      </w:tr>
      <w:tr w:rsidR="00F305D9" w:rsidRPr="00B74B2F" w:rsidTr="00F305D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Pr="00B74B2F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OBJETIVOS TRAÇADOS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Pr="00B74B2F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PRINCIPAIS AÇÕES REALIZADAS</w:t>
            </w:r>
          </w:p>
        </w:tc>
      </w:tr>
      <w:tr w:rsidR="00F305D9" w:rsidRPr="00B74B2F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ADMINISTRAÇÃO</w:t>
            </w:r>
          </w:p>
          <w:p w:rsidR="00B74B2F" w:rsidRP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  <w:t>Fortalecer a governança, visando a melhor organização e funcionamento administrativo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Default="00F305D9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pt-BR"/>
              </w:rPr>
              <w:t>Locação da Infraestrutura (Imóvel)</w:t>
            </w:r>
          </w:p>
          <w:p w:rsidR="00F305D9" w:rsidRDefault="00F305D9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pt-BR"/>
              </w:rPr>
              <w:t>Fornecimento de energia elétrica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 Fornecimento de serviço abastecimento de água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Manutenção de veículos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Locação de máquinas e equipamentos (Copiadoras e etc...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Serviços técnicos profissionais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Capatazia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Manutenção de software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Manutenção de imóveis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Suporte de TI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Serviços de correio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Serviço de telefonia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Seguro da Viatura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Contratação de transporte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Contratação de serviço de limpeza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pt-BR"/>
              </w:rPr>
              <w:t>Publicações Diário Oficial</w:t>
            </w:r>
            <w:proofErr w:type="gramEnd"/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Indenização de ajuda de custo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Obras e Benfeitorias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Serviço de abastecimento de combustível veicular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- Confecção de Bandeiras, Uniformes e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pt-BR"/>
              </w:rPr>
              <w:t>Flâmulas</w:t>
            </w:r>
            <w:proofErr w:type="gramEnd"/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>- Aquisição de Equipamentos de Som, Vídeo e Fotografia.</w:t>
            </w: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  <w:t>Aprimorar a gestão do patrimônio imobiliário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Promover a capacitação dos servidores ligados a esta diretoria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  <w:t>Aperfeiçoar o processo de alocação e de gestão dos recursos públicos mediante o fortalecimento e a integração das funções de planejamento, orçamento, execução, monitoramento, avaliação e controle.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  <w:t>Viabilizar a elaboração das políticas de gestão de pessoas para aprovação junto às instâncias superiores.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pt-BR"/>
              </w:rPr>
              <w:t>Realizar ações de capacitação dos servidores visando à eficiência, eficácia e qualidade dos serviços prestados à sociedade em consonância com as Diretrizes Nacionais da Política de Desenvolvimento de Pessoal e os interesses institucionais.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Alocar os recursos planejados para os programas de capacitação dos servidores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Aprimorar o gerenciamento logístico para atendimento das demandas do IFRS previstas no PDI e Planos de Ação.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Aperfeiçoar os procedimentos de contratação e gestão de bens e serviços, observando os critérios de sustentabilidade e os princípios da legalidade, impessoalidade, moralidade, publicidade e eficiência.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Alocar os recursos orçamentários e financeiros para a compra de Material de consumo</w:t>
            </w:r>
          </w:p>
          <w:p w:rsidR="00F305D9" w:rsidRDefault="00F305D9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Aquisição de equipamentos de informática</w:t>
            </w:r>
          </w:p>
          <w:p w:rsidR="00F305D9" w:rsidRDefault="00F305D9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Aquisição de equipamentos para escritório</w:t>
            </w:r>
          </w:p>
          <w:p w:rsidR="00F305D9" w:rsidRDefault="00F305D9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Aquisição de mobiliário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RPr="00B74B2F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35" w:rsidRPr="00B74B2F" w:rsidRDefault="00804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DESENVOLVIMENTO INSTITUCIONAL</w:t>
            </w:r>
          </w:p>
          <w:p w:rsidR="00B74B2F" w:rsidRP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83" w:rsidRDefault="008C768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Planejar e coordenar a implantação dos campi novos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Modernizar a infraestrutura física e tecnológica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Ampliar a banda de Internet e melhorar disponibilidade da rede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Implantar um sistema para a elaboração e acompanhamento do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Planejamento Estratégico e Planos de Ação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Apoiar a PRODI a implantar um sistema para a elaboração e acompanhamento do planejamento estratégico e plano de ação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Implantar um Sistema Integrado de Gestão (ERP).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Consolidar a estrutura administrativa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Consolidar o processo de planejamento e acompanhamento dos planos institucionais.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Acompanhar e auxiliar a elaboração dos Relatórios de Desenvolvimento Institucional dos novos cursos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suppressAutoHyphens w:val="0"/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Elaborar um repositório de informações estratégicas para 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RPr="00B74B2F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2F" w:rsidRP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05D9" w:rsidRPr="00B74B2F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ENSINO</w:t>
            </w:r>
          </w:p>
          <w:p w:rsidR="00B74B2F" w:rsidRPr="00B74B2F" w:rsidRDefault="00B74B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Fortalecer e consolidar a oferta de cursos em todos os níveis e modalidades da EPT - Superior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Manter os cursos </w:t>
            </w:r>
            <w:proofErr w:type="spellStart"/>
            <w:r>
              <w:rPr>
                <w:color w:val="000000"/>
                <w:sz w:val="20"/>
                <w:szCs w:val="20"/>
              </w:rPr>
              <w:t>Conc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(Meio </w:t>
            </w:r>
            <w:proofErr w:type="spellStart"/>
            <w:r>
              <w:rPr>
                <w:color w:val="000000"/>
                <w:sz w:val="20"/>
                <w:szCs w:val="20"/>
              </w:rPr>
              <w:t>Amb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e </w:t>
            </w:r>
            <w:proofErr w:type="spellStart"/>
            <w:r>
              <w:rPr>
                <w:color w:val="000000"/>
                <w:sz w:val="20"/>
                <w:szCs w:val="20"/>
              </w:rPr>
              <w:t>Subseq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Adm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ServPub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Coop, </w:t>
            </w:r>
            <w:proofErr w:type="spellStart"/>
            <w:r>
              <w:rPr>
                <w:color w:val="000000"/>
                <w:sz w:val="20"/>
                <w:szCs w:val="20"/>
              </w:rPr>
              <w:t>MeioAmb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Fortalecer e consolidar a oferta de cursos em todos os níveis e modalidades da EPT - Ensino Técnico e Educação Profissional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Adquirir materiais pedagógicos para o desenvolvimento de aulas dos componentes curriculares das áreas de gestão e negócios e meio ambiente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Montar acervo bibliográfico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Implantar a sala para laboratório didático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Propor ações que promovam o acesso e a permanência dos estudantes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Lançar edital de projetos de ensino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Participação em eventos temáticos relacionados aos eixos/cursos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Organizar um calendário de eventos relacionados às temáticas pedagógicas abordadas nos cursos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Promover Visitas Técnicas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Criação dos PCC para cursos 2017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Semanas Acadêmicas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Formaturas</w:t>
            </w:r>
          </w:p>
          <w:p w:rsidR="00F305D9" w:rsidRDefault="00F305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Capacitação de docentes e </w:t>
            </w:r>
            <w:proofErr w:type="spellStart"/>
            <w:r>
              <w:rPr>
                <w:color w:val="000000"/>
                <w:sz w:val="20"/>
                <w:szCs w:val="20"/>
              </w:rPr>
              <w:t>TAEs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ligados ao Ensino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Serviços Gráficos e Editoriais</w:t>
            </w: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Consolidar a Política de Assistência Estudantil do IFRS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Seguro de alunos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Consolidar o Processo de Ingresso discente do IFRS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Criar Observatório da evasão e retenção discente no IFRS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Dar continuidade ao zelo pelo cumprimento aos princípios e objetivos da Política de Assistência Estudantil (Resolução nº 086, de 03 de dezembro de 2013).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EXTENSÃO</w:t>
            </w:r>
          </w:p>
          <w:p w:rsidR="00B74B2F" w:rsidRDefault="00B74B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Promover e subsidiar ações de inclusão social, digital, etnia, racial, de gênero e de grupos em vulnerabilidade social buscando o respeito à diversidade, a valorização cultural e a equidade social. 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Desenvolver as políticas de comunicação do IFRS.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Elaborar materiais gráficos e de divulgação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Gerenciar o fluxo de informações externas e internas da Reitoria e dos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campi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do instituto.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Intermediar estágios e empregos.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Acompanhar os estágios obrigatórios e não obrigatórios.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Realizar o acompanhamento de egressos.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Ampliar estratégias de acompanhamento de egressos</w:t>
            </w:r>
            <w:r>
              <w:rPr>
                <w:color w:val="000000" w:themeColor="text1"/>
              </w:rPr>
              <w:t>.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Qualificar servidores, discentes e membros da sociedade.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Promover a integração entre a instituição e a sociedade.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Estruturar espaços para realização de ações de extensão e eventos.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Estimular ações que visam o desenvolvimento local e regional.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Auxiliar a realização e participação em eventos Científicos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Executar o edital 2016 para Bolsas de Projetos de Extensão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Executar o edital 2016 de Apoio Institucional à Extensão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Ampliar as parcerias entre o IFRS com instituições públicas, privadas e demais órgãos da sociedade civil.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t-BR"/>
              </w:rPr>
              <w:t>Promover a internacionalização do IFRS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2F" w:rsidRDefault="00B74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05D9" w:rsidRDefault="00F305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PESQUISA</w:t>
            </w:r>
          </w:p>
          <w:p w:rsidR="00B74B2F" w:rsidRDefault="00B74B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Construir e consolidar as políticas de pesquisa, pós-graduação e inovação do IFRS de forma articulada e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indissociada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alinhadas com as políticas nacionais de Pós-Graduação e Pesquisa, bem como com as políticas institucionais do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IFRS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Incentivar o desenvolvimento de pesquisa aplicada focada nas linhas de atuação dos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campi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associada à demanda e pertinência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regional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Executar o edital 2016 para Bolsas de Iniciação Científica e/ou Tecnológica do IFRS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Premiações Científicas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Produção Jornalística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Serviços Gráficos e Editoriais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Direitos Autorais</w:t>
            </w: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Fomentar a consolidação da Inovação Tecnológica, mediante parcerias efetivas e concretas com a iniciativa pública 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privada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Executar o edital 2016 de Apoio Institucional à Produção Científica e/ou Tecnológica (AIPCT)</w:t>
            </w:r>
          </w:p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Fomentar propostas integradas entre os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campi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do IFRS na pesquisa, pós-graduação 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inovação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Coordenar o processo de elaboração, implementação e aprovação de propostas de Programas de Pós-Graduação Stricto Senso e Cursos de Especialização Lato Sensu em consonância com as políticas nacionais de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pós-graduação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Ampliar a captação de fomento externo para a pesquisa, pós-graduação 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inovação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Desenvolver parcerias com instituições nacionais e internacionais nas áreas da pesquisa, pós-graduação e inovação, com vistas à produção científica e tecnológica e mobilidade de docentes em nível de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pós-graduação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305D9" w:rsidTr="00F305D9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D9" w:rsidRDefault="00F305D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Incentivar a ampliação da produção científica e tecnológica dos grupos de pesquisa, tendo como parâmetro os indexadores definidos pela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9" w:rsidRDefault="00F305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Auxiliar a realização e participação em eventos Científicos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F305D9" w:rsidRDefault="00F305D9" w:rsidP="00F305D9">
      <w:pPr>
        <w:pStyle w:val="PargrafodaLista"/>
        <w:ind w:left="1080"/>
      </w:pPr>
    </w:p>
    <w:p w:rsidR="00F305D9" w:rsidRDefault="00F305D9" w:rsidP="00F305D9">
      <w:pPr>
        <w:pStyle w:val="PargrafodaLista"/>
        <w:ind w:left="1080"/>
      </w:pPr>
    </w:p>
    <w:p w:rsidR="00F305D9" w:rsidRPr="00B74B2F" w:rsidRDefault="00F305D9" w:rsidP="00F305D9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>Principais resultados alcançados (texto: apenas inserir o Quadro II)</w:t>
      </w:r>
    </w:p>
    <w:p w:rsidR="00B74B2F" w:rsidRDefault="00B74B2F" w:rsidP="005614F5">
      <w:pPr>
        <w:pStyle w:val="PargrafodaLista"/>
        <w:rPr>
          <w:b/>
          <w:sz w:val="20"/>
          <w:szCs w:val="20"/>
        </w:rPr>
      </w:pPr>
    </w:p>
    <w:p w:rsidR="005614F5" w:rsidRPr="005614F5" w:rsidRDefault="005614F5" w:rsidP="005614F5">
      <w:pPr>
        <w:pStyle w:val="PargrafodaList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5614F5">
        <w:rPr>
          <w:b/>
          <w:sz w:val="20"/>
          <w:szCs w:val="20"/>
        </w:rPr>
        <w:t>Quadro II – Principais resultados alcançados no período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614F5" w:rsidRPr="00B74B2F" w:rsidTr="005614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5" w:rsidRPr="00B74B2F" w:rsidRDefault="005614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i/>
                <w:color w:val="000000" w:themeColor="text1"/>
                <w:sz w:val="20"/>
                <w:szCs w:val="20"/>
              </w:rPr>
              <w:t>CAMPUS</w:t>
            </w:r>
            <w:r w:rsidRPr="00B74B2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B74B2F">
              <w:rPr>
                <w:b/>
                <w:color w:val="000000" w:themeColor="text1"/>
                <w:sz w:val="20"/>
                <w:szCs w:val="20"/>
              </w:rPr>
              <w:t xml:space="preserve"> Viamão</w:t>
            </w:r>
          </w:p>
        </w:tc>
      </w:tr>
      <w:tr w:rsidR="005614F5" w:rsidRPr="00B74B2F" w:rsidTr="005614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5" w:rsidRPr="00B74B2F" w:rsidRDefault="005614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RESULTADOS QUALITATIVOS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5" w:rsidRPr="00B74B2F" w:rsidRDefault="005614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4B2F">
              <w:rPr>
                <w:b/>
                <w:color w:val="000000" w:themeColor="text1"/>
                <w:sz w:val="20"/>
                <w:szCs w:val="20"/>
              </w:rPr>
              <w:t>RESULTADOS QUANTITATIVOS</w:t>
            </w:r>
          </w:p>
        </w:tc>
      </w:tr>
      <w:tr w:rsidR="005614F5" w:rsidTr="005614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5" w:rsidRDefault="005614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F1E06">
              <w:rPr>
                <w:color w:val="000000" w:themeColor="text1"/>
                <w:sz w:val="20"/>
                <w:szCs w:val="20"/>
              </w:rPr>
              <w:t>Man</w:t>
            </w:r>
            <w:r w:rsidR="00A02FE3">
              <w:rPr>
                <w:color w:val="000000" w:themeColor="text1"/>
                <w:sz w:val="20"/>
                <w:szCs w:val="20"/>
              </w:rPr>
              <w:t>u</w:t>
            </w:r>
            <w:r w:rsidR="007F1E06">
              <w:rPr>
                <w:color w:val="000000" w:themeColor="text1"/>
                <w:sz w:val="20"/>
                <w:szCs w:val="20"/>
              </w:rPr>
              <w:t>te</w:t>
            </w:r>
            <w:r w:rsidR="00A02FE3">
              <w:rPr>
                <w:color w:val="000000" w:themeColor="text1"/>
                <w:sz w:val="20"/>
                <w:szCs w:val="20"/>
              </w:rPr>
              <w:t xml:space="preserve">nção de </w:t>
            </w:r>
            <w:r w:rsidR="00DE38CC">
              <w:rPr>
                <w:color w:val="000000" w:themeColor="text1"/>
                <w:sz w:val="20"/>
                <w:szCs w:val="20"/>
              </w:rPr>
              <w:t>curso t</w:t>
            </w:r>
            <w:r w:rsidR="007F1E06">
              <w:rPr>
                <w:color w:val="000000" w:themeColor="text1"/>
                <w:sz w:val="20"/>
                <w:szCs w:val="20"/>
              </w:rPr>
              <w:t xml:space="preserve">écnico concomitante ao ensino médio de meio ambiente </w:t>
            </w:r>
          </w:p>
          <w:p w:rsidR="00DE38CC" w:rsidRDefault="00DE3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E38CC" w:rsidRDefault="00DE3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4C7C" w:rsidRDefault="00CF4C7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4C7C" w:rsidRDefault="00CF4C7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F1E06">
              <w:rPr>
                <w:color w:val="000000" w:themeColor="text1"/>
                <w:sz w:val="20"/>
                <w:szCs w:val="20"/>
              </w:rPr>
              <w:t>Man</w:t>
            </w:r>
            <w:r w:rsidR="00A02FE3">
              <w:rPr>
                <w:color w:val="000000" w:themeColor="text1"/>
                <w:sz w:val="20"/>
                <w:szCs w:val="20"/>
              </w:rPr>
              <w:t>u</w:t>
            </w:r>
            <w:r w:rsidR="007F1E06">
              <w:rPr>
                <w:color w:val="000000" w:themeColor="text1"/>
                <w:sz w:val="20"/>
                <w:szCs w:val="20"/>
              </w:rPr>
              <w:t>te</w:t>
            </w:r>
            <w:r w:rsidR="00A02FE3">
              <w:rPr>
                <w:color w:val="000000" w:themeColor="text1"/>
                <w:sz w:val="20"/>
                <w:szCs w:val="20"/>
              </w:rPr>
              <w:t>nção</w:t>
            </w:r>
            <w:r w:rsidR="007F1E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E3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7F1E06">
              <w:rPr>
                <w:color w:val="000000" w:themeColor="text1"/>
                <w:sz w:val="20"/>
                <w:szCs w:val="20"/>
              </w:rPr>
              <w:t>cursos técnicos subsequente ao ensino médio em administração, meio ambiente, cooperativismo e serviços públicos</w:t>
            </w:r>
            <w:r w:rsidR="00CE69DE">
              <w:rPr>
                <w:color w:val="000000" w:themeColor="text1"/>
                <w:sz w:val="20"/>
                <w:szCs w:val="20"/>
              </w:rPr>
              <w:t>.</w:t>
            </w:r>
            <w:r w:rsidR="007F1E0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68CC" w:rsidRDefault="00F168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F1E06">
              <w:rPr>
                <w:color w:val="000000" w:themeColor="text1"/>
                <w:sz w:val="20"/>
                <w:szCs w:val="20"/>
              </w:rPr>
              <w:t>Desenvolv</w:t>
            </w:r>
            <w:r w:rsidR="00A02FE3">
              <w:rPr>
                <w:color w:val="000000" w:themeColor="text1"/>
                <w:sz w:val="20"/>
                <w:szCs w:val="20"/>
              </w:rPr>
              <w:t>im</w:t>
            </w:r>
            <w:r w:rsidR="007F1E06">
              <w:rPr>
                <w:color w:val="000000" w:themeColor="text1"/>
                <w:sz w:val="20"/>
                <w:szCs w:val="20"/>
              </w:rPr>
              <w:t>e</w:t>
            </w:r>
            <w:r w:rsidR="00A02FE3">
              <w:rPr>
                <w:color w:val="000000" w:themeColor="text1"/>
                <w:sz w:val="20"/>
                <w:szCs w:val="20"/>
              </w:rPr>
              <w:t xml:space="preserve">nto do </w:t>
            </w:r>
            <w:r w:rsidR="007F1E06">
              <w:rPr>
                <w:color w:val="000000" w:themeColor="text1"/>
                <w:sz w:val="20"/>
                <w:szCs w:val="20"/>
              </w:rPr>
              <w:t>programa de assistência estudantil</w:t>
            </w:r>
          </w:p>
          <w:p w:rsidR="00786209" w:rsidRDefault="0078620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86209" w:rsidRDefault="0078620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86209" w:rsidRDefault="0078620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E3301" w:rsidRDefault="009E33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FB23E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614F5">
              <w:rPr>
                <w:color w:val="000000" w:themeColor="text1"/>
                <w:sz w:val="20"/>
                <w:szCs w:val="20"/>
              </w:rPr>
              <w:t>-</w:t>
            </w:r>
            <w:r w:rsidR="007F1E06">
              <w:rPr>
                <w:color w:val="000000" w:themeColor="text1"/>
                <w:sz w:val="20"/>
                <w:szCs w:val="20"/>
              </w:rPr>
              <w:t>Constitui</w:t>
            </w:r>
            <w:r w:rsidR="00A02FE3">
              <w:rPr>
                <w:color w:val="000000" w:themeColor="text1"/>
                <w:sz w:val="20"/>
                <w:szCs w:val="20"/>
              </w:rPr>
              <w:t>ção</w:t>
            </w:r>
            <w:r w:rsidR="007F1E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7683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7F1E06">
              <w:rPr>
                <w:color w:val="000000" w:themeColor="text1"/>
                <w:sz w:val="20"/>
                <w:szCs w:val="20"/>
              </w:rPr>
              <w:t>acervo bibliográfico do campus</w:t>
            </w: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11C7" w:rsidRDefault="00E611C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47492" w:rsidRDefault="0034749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47492" w:rsidRDefault="0034749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F1E06">
              <w:rPr>
                <w:color w:val="000000" w:themeColor="text1"/>
                <w:sz w:val="20"/>
                <w:szCs w:val="20"/>
              </w:rPr>
              <w:t>Constitui</w:t>
            </w:r>
            <w:r w:rsidR="00A02FE3">
              <w:rPr>
                <w:color w:val="000000" w:themeColor="text1"/>
                <w:sz w:val="20"/>
                <w:szCs w:val="20"/>
              </w:rPr>
              <w:t>ção</w:t>
            </w:r>
            <w:r w:rsidR="007F1E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7F1E06">
              <w:rPr>
                <w:color w:val="000000" w:themeColor="text1"/>
                <w:sz w:val="20"/>
                <w:szCs w:val="20"/>
              </w:rPr>
              <w:t>laboratório</w:t>
            </w:r>
            <w:r w:rsidR="00A02FE3">
              <w:rPr>
                <w:color w:val="000000" w:themeColor="text1"/>
                <w:sz w:val="20"/>
                <w:szCs w:val="20"/>
              </w:rPr>
              <w:t xml:space="preserve"> de informática</w:t>
            </w: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6568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A02FE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-Constituição 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color w:val="000000" w:themeColor="text1"/>
                <w:sz w:val="20"/>
                <w:szCs w:val="20"/>
              </w:rPr>
              <w:t>laboratório de ciências da natureza</w:t>
            </w: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84BB9" w:rsidRDefault="00C84B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02FE3" w:rsidRDefault="00A02FE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-Participação do Salão de Pesquisa, Extensão e Ensino do IFRS</w:t>
            </w:r>
            <w:r w:rsidR="007C6B6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C6B62">
              <w:rPr>
                <w:color w:val="000000" w:themeColor="text1"/>
                <w:sz w:val="20"/>
                <w:szCs w:val="20"/>
              </w:rPr>
              <w:t>2016</w:t>
            </w:r>
            <w:proofErr w:type="gramEnd"/>
          </w:p>
          <w:p w:rsidR="00B525F7" w:rsidRDefault="00B525F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525F7" w:rsidRDefault="00B525F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525F7" w:rsidRDefault="00B525F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820EB" w:rsidRDefault="005820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820EB" w:rsidRDefault="005820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02FE3" w:rsidRDefault="00A02FE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-Realização de visitas técnicas</w:t>
            </w: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3E1C" w:rsidRDefault="00B93E1C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133D" w:rsidRDefault="0048133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D397F" w:rsidRDefault="002D397F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2828" w:rsidRDefault="002B2828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-Elaboração e aprovação dos Projetos Pedagógicos de Cursos </w:t>
            </w:r>
            <w:r w:rsidR="005820EB">
              <w:rPr>
                <w:color w:val="000000" w:themeColor="text1"/>
                <w:sz w:val="20"/>
                <w:szCs w:val="20"/>
              </w:rPr>
              <w:t xml:space="preserve">e Relatórios de Desenvolvimento Institucional </w:t>
            </w:r>
            <w:r>
              <w:rPr>
                <w:color w:val="000000" w:themeColor="text1"/>
                <w:sz w:val="20"/>
                <w:szCs w:val="20"/>
              </w:rPr>
              <w:t>para implantação do Curso Superior de Tecnologia em Gestão Ambiental e Curso Superior em Processos Gerenciais</w:t>
            </w: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Default="007C6B62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2828" w:rsidRPr="003951E6" w:rsidRDefault="002B2828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3951E6">
              <w:rPr>
                <w:color w:val="000000" w:themeColor="text1"/>
                <w:sz w:val="20"/>
                <w:szCs w:val="20"/>
              </w:rPr>
              <w:t xml:space="preserve">Realização da I </w:t>
            </w:r>
            <w:r w:rsidR="00656899" w:rsidRPr="003951E6">
              <w:rPr>
                <w:color w:val="222222"/>
                <w:sz w:val="20"/>
                <w:szCs w:val="20"/>
                <w:shd w:val="clear" w:color="auto" w:fill="FFFFFF"/>
              </w:rPr>
              <w:t>Mostra de Pesquisa, Ensino e Extensão do IFRS-</w:t>
            </w:r>
            <w:r w:rsidR="007C6B62"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56899" w:rsidRPr="003951E6">
              <w:rPr>
                <w:color w:val="222222"/>
                <w:sz w:val="20"/>
                <w:szCs w:val="20"/>
                <w:shd w:val="clear" w:color="auto" w:fill="FFFFFF"/>
              </w:rPr>
              <w:t>ampus Viamão</w:t>
            </w:r>
            <w:r w:rsidR="007C6B62">
              <w:rPr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3951E6">
              <w:rPr>
                <w:color w:val="222222"/>
                <w:sz w:val="20"/>
                <w:szCs w:val="20"/>
                <w:shd w:val="clear" w:color="auto" w:fill="FFFFFF"/>
              </w:rPr>
              <w:t xml:space="preserve"> Incluir </w:t>
            </w:r>
            <w:r w:rsidR="007C6B62">
              <w:rPr>
                <w:color w:val="222222"/>
                <w:sz w:val="20"/>
                <w:szCs w:val="20"/>
                <w:shd w:val="clear" w:color="auto" w:fill="FFFFFF"/>
              </w:rPr>
              <w:t xml:space="preserve">para </w:t>
            </w:r>
            <w:proofErr w:type="gramStart"/>
            <w:r w:rsidR="007C6B62">
              <w:rPr>
                <w:color w:val="222222"/>
                <w:sz w:val="20"/>
                <w:szCs w:val="20"/>
                <w:shd w:val="clear" w:color="auto" w:fill="FFFFFF"/>
              </w:rPr>
              <w:t>Transformar</w:t>
            </w:r>
            <w:proofErr w:type="gramEnd"/>
          </w:p>
          <w:p w:rsidR="00B3343B" w:rsidRDefault="00B3343B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3343B" w:rsidRDefault="00B3343B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2828" w:rsidRDefault="002B2828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-Realização de formaturas dos alunos dos curso</w:t>
            </w:r>
            <w:r w:rsidR="00CE69DE">
              <w:rPr>
                <w:color w:val="000000" w:themeColor="text1"/>
                <w:sz w:val="20"/>
                <w:szCs w:val="20"/>
              </w:rPr>
              <w:t xml:space="preserve">s </w:t>
            </w:r>
            <w:proofErr w:type="gramStart"/>
            <w:r w:rsidR="00CE69DE">
              <w:rPr>
                <w:color w:val="000000" w:themeColor="text1"/>
                <w:sz w:val="20"/>
                <w:szCs w:val="20"/>
              </w:rPr>
              <w:t>técnicos subsequente</w:t>
            </w:r>
            <w:proofErr w:type="gramEnd"/>
            <w:r w:rsidR="00CE69DE">
              <w:rPr>
                <w:color w:val="000000" w:themeColor="text1"/>
                <w:sz w:val="20"/>
                <w:szCs w:val="20"/>
              </w:rPr>
              <w:t xml:space="preserve"> e concomitante do campus.</w:t>
            </w:r>
          </w:p>
          <w:p w:rsidR="00CE69DE" w:rsidRDefault="00CE69D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69DE" w:rsidRDefault="00CE69D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69DE" w:rsidRDefault="00CE69D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69DE" w:rsidRDefault="00CE69D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69DE" w:rsidRDefault="00CE69D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801CB" w:rsidRDefault="007801CB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2828" w:rsidRDefault="002B2828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-Realização de capacitação de servidores do campus</w:t>
            </w:r>
          </w:p>
          <w:p w:rsidR="00382FE1" w:rsidRDefault="00382FE1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82FE1" w:rsidRDefault="00382FE1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82FE1" w:rsidRDefault="00382FE1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82FE1" w:rsidRDefault="00382FE1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175D" w:rsidRDefault="00CF175D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2828" w:rsidRDefault="002B2828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DC4069">
              <w:rPr>
                <w:color w:val="000000" w:themeColor="text1"/>
                <w:sz w:val="20"/>
                <w:szCs w:val="20"/>
              </w:rPr>
              <w:t>Aquisição de mobiliário</w:t>
            </w: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C5CFA" w:rsidRDefault="008C5C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4A0E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4069" w:rsidRDefault="00154A0E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DC4069">
              <w:rPr>
                <w:color w:val="000000" w:themeColor="text1"/>
                <w:sz w:val="20"/>
                <w:szCs w:val="20"/>
              </w:rPr>
              <w:t>Locação do imóvel para instalação do campus</w:t>
            </w:r>
          </w:p>
          <w:p w:rsidR="00EA3463" w:rsidRDefault="00EA3463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3463" w:rsidRDefault="00EA3463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3463" w:rsidRDefault="00EA3463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4069" w:rsidRDefault="00DC4069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-realização de licitação para contratação de obra de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construção do prédio do campus</w:t>
            </w: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2B28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3463" w:rsidRDefault="00EA3463" w:rsidP="00EB05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="00DE38CC">
              <w:rPr>
                <w:color w:val="000000" w:themeColor="text1"/>
                <w:sz w:val="20"/>
                <w:szCs w:val="20"/>
              </w:rPr>
              <w:t>Realização de processo seletivo em 2016/II com a oferta de 36 vagas para o curso Técnico em Meio Ambiente concomitante ao ensino médio</w:t>
            </w:r>
            <w:r w:rsidR="00CF4C7C">
              <w:rPr>
                <w:color w:val="000000" w:themeColor="text1"/>
                <w:sz w:val="20"/>
                <w:szCs w:val="20"/>
              </w:rPr>
              <w:t xml:space="preserve"> e continuidade das atividades acadêmicas relacionadas com a turma 2015/I</w:t>
            </w: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CF4C7C">
              <w:rPr>
                <w:color w:val="000000" w:themeColor="text1"/>
                <w:sz w:val="20"/>
                <w:szCs w:val="20"/>
              </w:rPr>
              <w:t>Realização de processo seletivo em 2016/I com a oferta 36 vagas para o curso técnico em administração subse</w:t>
            </w:r>
            <w:r w:rsidR="00F168CC">
              <w:rPr>
                <w:color w:val="000000" w:themeColor="text1"/>
                <w:sz w:val="20"/>
                <w:szCs w:val="20"/>
              </w:rPr>
              <w:t xml:space="preserve">quente ao ensino médio e 36 vagas para o curso técnico em serviços </w:t>
            </w:r>
            <w:proofErr w:type="gramStart"/>
            <w:r w:rsidR="00F168CC">
              <w:rPr>
                <w:color w:val="000000" w:themeColor="text1"/>
                <w:sz w:val="20"/>
                <w:szCs w:val="20"/>
              </w:rPr>
              <w:t>públicos subsequente ao ensino médio</w:t>
            </w:r>
            <w:proofErr w:type="gramEnd"/>
            <w:r w:rsidR="00F168CC">
              <w:rPr>
                <w:color w:val="000000" w:themeColor="text1"/>
                <w:sz w:val="20"/>
                <w:szCs w:val="20"/>
              </w:rPr>
              <w:t>. Em 2016/II, foi realizado novo processo seletivo, com a oferta de 36 vagas para cada um dos cursos técnicos em administração, meio ambiente e cooperativismo na modalidade subsequente ao ensino médio. Foram mantidas as atividades acadêmicas relacionadas aos cursos da modalidade subsequente ao ensino médio dos cursos ofertados em 2015.</w:t>
            </w: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0B3F5A">
              <w:rPr>
                <w:color w:val="000000" w:themeColor="text1"/>
                <w:sz w:val="20"/>
                <w:szCs w:val="20"/>
              </w:rPr>
              <w:t xml:space="preserve">Foram pagos </w:t>
            </w:r>
            <w:r w:rsidR="000311B8">
              <w:rPr>
                <w:color w:val="000000" w:themeColor="text1"/>
                <w:sz w:val="20"/>
                <w:szCs w:val="20"/>
              </w:rPr>
              <w:t>1391</w:t>
            </w:r>
            <w:r w:rsidR="000B3F5A">
              <w:rPr>
                <w:color w:val="000000" w:themeColor="text1"/>
                <w:sz w:val="20"/>
                <w:szCs w:val="20"/>
              </w:rPr>
              <w:t xml:space="preserve"> benefícios </w:t>
            </w:r>
            <w:r w:rsidR="009E3301">
              <w:rPr>
                <w:color w:val="000000" w:themeColor="text1"/>
                <w:sz w:val="20"/>
                <w:szCs w:val="20"/>
              </w:rPr>
              <w:t>a 299 alunos ao longo do ano de 2016, sendo</w:t>
            </w:r>
            <w:r w:rsidR="000B3F5A">
              <w:rPr>
                <w:color w:val="000000" w:themeColor="text1"/>
                <w:sz w:val="20"/>
                <w:szCs w:val="20"/>
              </w:rPr>
              <w:t xml:space="preserve"> 130 alunos 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beneficiados </w:t>
            </w:r>
            <w:r w:rsidR="000B3F5A">
              <w:rPr>
                <w:color w:val="000000" w:themeColor="text1"/>
                <w:sz w:val="20"/>
                <w:szCs w:val="20"/>
              </w:rPr>
              <w:t>no primeiro semestre e 169 alunos no segundo semestre, atingindo um investimento total de R$200.073,96 no ano.</w:t>
            </w: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8867B0">
              <w:rPr>
                <w:color w:val="000000" w:themeColor="text1"/>
                <w:sz w:val="20"/>
                <w:szCs w:val="20"/>
              </w:rPr>
              <w:t>Foi empenhado o valo</w:t>
            </w:r>
            <w:r w:rsidR="00E611C7">
              <w:rPr>
                <w:color w:val="000000" w:themeColor="text1"/>
                <w:sz w:val="20"/>
                <w:szCs w:val="20"/>
              </w:rPr>
              <w:t>r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 de R$</w:t>
            </w:r>
            <w:r w:rsidR="00347492">
              <w:rPr>
                <w:color w:val="000000" w:themeColor="text1"/>
                <w:sz w:val="20"/>
                <w:szCs w:val="20"/>
              </w:rPr>
              <w:t>80.</w:t>
            </w:r>
            <w:r w:rsidR="00656899">
              <w:rPr>
                <w:color w:val="000000" w:themeColor="text1"/>
                <w:sz w:val="20"/>
                <w:szCs w:val="20"/>
              </w:rPr>
              <w:t>24</w:t>
            </w:r>
            <w:r w:rsidR="00347492">
              <w:rPr>
                <w:color w:val="000000" w:themeColor="text1"/>
                <w:sz w:val="20"/>
                <w:szCs w:val="20"/>
              </w:rPr>
              <w:t>0,00</w:t>
            </w:r>
            <w:r w:rsidR="00CE69DE">
              <w:rPr>
                <w:color w:val="000000" w:themeColor="text1"/>
                <w:sz w:val="20"/>
                <w:szCs w:val="20"/>
              </w:rPr>
              <w:t>,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58FD">
              <w:rPr>
                <w:color w:val="000000" w:themeColor="text1"/>
                <w:sz w:val="20"/>
                <w:szCs w:val="20"/>
              </w:rPr>
              <w:t xml:space="preserve">no segundo semestre de </w:t>
            </w:r>
            <w:r w:rsidR="00E611C7">
              <w:rPr>
                <w:color w:val="000000" w:themeColor="text1"/>
                <w:sz w:val="20"/>
                <w:szCs w:val="20"/>
              </w:rPr>
              <w:t>2016</w:t>
            </w:r>
            <w:r w:rsidR="006A58FD">
              <w:rPr>
                <w:color w:val="000000" w:themeColor="text1"/>
                <w:sz w:val="20"/>
                <w:szCs w:val="20"/>
              </w:rPr>
              <w:t>,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para constituição do acervo bibliográfico do Campus Viamão. Embora </w:t>
            </w:r>
            <w:r w:rsidR="00E611C7">
              <w:rPr>
                <w:color w:val="000000" w:themeColor="text1"/>
                <w:sz w:val="20"/>
                <w:szCs w:val="20"/>
              </w:rPr>
              <w:t>sem ter recebido os exemplares decorrentes deste processo de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 compras</w:t>
            </w:r>
            <w:r w:rsidR="00E611C7">
              <w:rPr>
                <w:color w:val="000000" w:themeColor="text1"/>
                <w:sz w:val="20"/>
                <w:szCs w:val="20"/>
              </w:rPr>
              <w:t>,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 ainda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 em curso</w:t>
            </w:r>
            <w:r w:rsidR="00347492">
              <w:rPr>
                <w:color w:val="000000" w:themeColor="text1"/>
                <w:sz w:val="20"/>
                <w:szCs w:val="20"/>
              </w:rPr>
              <w:t xml:space="preserve"> na Reitoria do IFRS e com previsão de desfecho em 2017</w:t>
            </w:r>
            <w:r w:rsidR="008867B0">
              <w:rPr>
                <w:color w:val="000000" w:themeColor="text1"/>
                <w:sz w:val="20"/>
                <w:szCs w:val="20"/>
              </w:rPr>
              <w:t xml:space="preserve">, o acervo bibliográfico do Campus é composto atualmente por 217 títulos com um total de 287 exemplares 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recebidos através de doações </w:t>
            </w:r>
            <w:r w:rsidR="006F3F90">
              <w:rPr>
                <w:color w:val="000000" w:themeColor="text1"/>
                <w:sz w:val="20"/>
                <w:szCs w:val="20"/>
              </w:rPr>
              <w:t>de pessoas físicas</w:t>
            </w:r>
            <w:r w:rsidR="00E611C7">
              <w:rPr>
                <w:color w:val="000000" w:themeColor="text1"/>
                <w:sz w:val="20"/>
                <w:szCs w:val="20"/>
              </w:rPr>
              <w:t xml:space="preserve"> e majoritariamente de exemplares </w:t>
            </w:r>
            <w:r w:rsidR="006A58FD">
              <w:rPr>
                <w:color w:val="000000" w:themeColor="text1"/>
                <w:sz w:val="20"/>
                <w:szCs w:val="20"/>
              </w:rPr>
              <w:t>originários do Campus Porto Alegres do IFRS</w:t>
            </w:r>
            <w:r w:rsidR="00E611C7">
              <w:rPr>
                <w:color w:val="000000" w:themeColor="text1"/>
                <w:sz w:val="20"/>
                <w:szCs w:val="20"/>
              </w:rPr>
              <w:t>.</w:t>
            </w: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14F5" w:rsidRDefault="005614F5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6F3F90">
              <w:rPr>
                <w:color w:val="000000" w:themeColor="text1"/>
                <w:sz w:val="20"/>
                <w:szCs w:val="20"/>
              </w:rPr>
              <w:t xml:space="preserve">O laboratório de informática do Campus Viamão é composto por 20 maquinas Core </w:t>
            </w:r>
            <w:proofErr w:type="gramStart"/>
            <w:r w:rsidR="006F3F9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  <w:r w:rsidR="006F3F90">
              <w:rPr>
                <w:color w:val="000000" w:themeColor="text1"/>
                <w:sz w:val="20"/>
                <w:szCs w:val="20"/>
              </w:rPr>
              <w:t xml:space="preserve"> com 4 giga de memória </w:t>
            </w:r>
            <w:proofErr w:type="spellStart"/>
            <w:r w:rsidR="006A58FD">
              <w:rPr>
                <w:color w:val="000000" w:themeColor="text1"/>
                <w:sz w:val="20"/>
                <w:szCs w:val="20"/>
              </w:rPr>
              <w:t>r</w:t>
            </w:r>
            <w:r w:rsidR="006F3F90">
              <w:rPr>
                <w:color w:val="000000" w:themeColor="text1"/>
                <w:sz w:val="20"/>
                <w:szCs w:val="20"/>
              </w:rPr>
              <w:t>am</w:t>
            </w:r>
            <w:proofErr w:type="spellEnd"/>
            <w:r w:rsidR="006F3F90">
              <w:rPr>
                <w:color w:val="000000" w:themeColor="text1"/>
                <w:sz w:val="20"/>
                <w:szCs w:val="20"/>
              </w:rPr>
              <w:t xml:space="preserve"> e Windows 7. A constituição deste laboratório se de</w:t>
            </w:r>
            <w:r w:rsidR="00656899">
              <w:rPr>
                <w:color w:val="000000" w:themeColor="text1"/>
                <w:sz w:val="20"/>
                <w:szCs w:val="20"/>
              </w:rPr>
              <w:t>ve</w:t>
            </w:r>
            <w:r w:rsidR="006F3F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6899">
              <w:rPr>
                <w:color w:val="000000" w:themeColor="text1"/>
                <w:sz w:val="20"/>
                <w:szCs w:val="20"/>
              </w:rPr>
              <w:t xml:space="preserve">ao empréstimo dos equipamentos de informática e ao fornecimento de </w:t>
            </w:r>
            <w:r w:rsidR="00656899">
              <w:rPr>
                <w:color w:val="000000" w:themeColor="text1"/>
                <w:sz w:val="20"/>
                <w:szCs w:val="20"/>
              </w:rPr>
              <w:lastRenderedPageBreak/>
              <w:t xml:space="preserve">mão de obra para a instalação do mesmo por parte da Secretaria de Educação de Viamão, decorrente de </w:t>
            </w:r>
            <w:r w:rsidR="006F3F90">
              <w:rPr>
                <w:color w:val="000000" w:themeColor="text1"/>
                <w:sz w:val="20"/>
                <w:szCs w:val="20"/>
              </w:rPr>
              <w:t>ação de col</w:t>
            </w:r>
            <w:r w:rsidR="00656899">
              <w:rPr>
                <w:color w:val="000000" w:themeColor="text1"/>
                <w:sz w:val="20"/>
                <w:szCs w:val="20"/>
              </w:rPr>
              <w:t>aboração empreendida entre o Campus Viamão</w:t>
            </w:r>
            <w:r w:rsidR="003951E6">
              <w:rPr>
                <w:color w:val="000000" w:themeColor="text1"/>
                <w:sz w:val="20"/>
                <w:szCs w:val="20"/>
              </w:rPr>
              <w:t xml:space="preserve"> do IFRS </w:t>
            </w:r>
            <w:r w:rsidR="00656899">
              <w:rPr>
                <w:color w:val="000000" w:themeColor="text1"/>
                <w:sz w:val="20"/>
                <w:szCs w:val="20"/>
              </w:rPr>
              <w:t>e o Executivo Municipal de Viamão.</w:t>
            </w:r>
          </w:p>
          <w:p w:rsidR="005614F5" w:rsidRDefault="00656899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3951E6">
              <w:rPr>
                <w:color w:val="000000" w:themeColor="text1"/>
                <w:sz w:val="20"/>
                <w:szCs w:val="20"/>
              </w:rPr>
              <w:t>O laboratório de ciências da natureza foi constituído a partir d</w:t>
            </w:r>
            <w:r w:rsidR="0027305B">
              <w:rPr>
                <w:color w:val="000000" w:themeColor="text1"/>
                <w:sz w:val="20"/>
                <w:szCs w:val="20"/>
              </w:rPr>
              <w:t>a</w:t>
            </w:r>
            <w:r w:rsidR="003951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305B">
              <w:rPr>
                <w:color w:val="000000" w:themeColor="text1"/>
                <w:sz w:val="20"/>
                <w:szCs w:val="20"/>
              </w:rPr>
              <w:t>cedência</w:t>
            </w:r>
            <w:r w:rsidR="003951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305B">
              <w:rPr>
                <w:color w:val="000000" w:themeColor="text1"/>
                <w:sz w:val="20"/>
                <w:szCs w:val="20"/>
              </w:rPr>
              <w:t>a</w:t>
            </w:r>
            <w:r w:rsidR="003951E6">
              <w:rPr>
                <w:color w:val="000000" w:themeColor="text1"/>
                <w:sz w:val="20"/>
                <w:szCs w:val="20"/>
              </w:rPr>
              <w:t>o Campus Viamão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51E6">
              <w:rPr>
                <w:color w:val="000000" w:themeColor="text1"/>
                <w:sz w:val="20"/>
                <w:szCs w:val="20"/>
              </w:rPr>
              <w:t>de um caminhão com laboratório móvel de padrão ETEC cedido pela Reitoria do IFRS.</w:t>
            </w:r>
            <w:r w:rsidR="00C84BB9">
              <w:rPr>
                <w:color w:val="000000" w:themeColor="text1"/>
                <w:sz w:val="20"/>
                <w:szCs w:val="20"/>
              </w:rPr>
              <w:t xml:space="preserve"> O Campus Viamão foi órgão participante de processo licitatório do Campus Osório para aquisição equipamentos de laboratório e material de consumo de laboratório, no entanto até o momento a Pro Reitoria de Administração do IFRS autorizou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 somente</w:t>
            </w:r>
            <w:r w:rsidR="00C84BB9">
              <w:rPr>
                <w:color w:val="000000" w:themeColor="text1"/>
                <w:sz w:val="20"/>
                <w:szCs w:val="20"/>
              </w:rPr>
              <w:t xml:space="preserve"> os gastos para aqui</w:t>
            </w:r>
            <w:r w:rsidR="0027305B">
              <w:rPr>
                <w:color w:val="000000" w:themeColor="text1"/>
                <w:sz w:val="20"/>
                <w:szCs w:val="20"/>
              </w:rPr>
              <w:t>sição de</w:t>
            </w:r>
            <w:r w:rsidR="00C84BB9">
              <w:rPr>
                <w:color w:val="000000" w:themeColor="text1"/>
                <w:sz w:val="20"/>
                <w:szCs w:val="20"/>
              </w:rPr>
              <w:t xml:space="preserve"> reagentes e vidraria para o laboratório. </w:t>
            </w:r>
          </w:p>
          <w:p w:rsidR="00656899" w:rsidRDefault="00656899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Foram apresentados </w:t>
            </w:r>
            <w:r w:rsidR="00032DF0">
              <w:rPr>
                <w:color w:val="000000" w:themeColor="text1"/>
                <w:sz w:val="20"/>
                <w:szCs w:val="20"/>
              </w:rPr>
              <w:t>05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745F">
              <w:rPr>
                <w:color w:val="000000" w:themeColor="text1"/>
                <w:sz w:val="20"/>
                <w:szCs w:val="20"/>
              </w:rPr>
              <w:t>trabalhos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de ensino, 0</w:t>
            </w:r>
            <w:r w:rsidR="00032DF0">
              <w:rPr>
                <w:color w:val="000000" w:themeColor="text1"/>
                <w:sz w:val="20"/>
                <w:szCs w:val="20"/>
              </w:rPr>
              <w:t>4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745F">
              <w:rPr>
                <w:color w:val="000000" w:themeColor="text1"/>
                <w:sz w:val="20"/>
                <w:szCs w:val="20"/>
              </w:rPr>
              <w:t>trabalhos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de pesquisa e 0</w:t>
            </w:r>
            <w:r w:rsidR="00032DF0">
              <w:rPr>
                <w:color w:val="000000" w:themeColor="text1"/>
                <w:sz w:val="20"/>
                <w:szCs w:val="20"/>
              </w:rPr>
              <w:t>5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de extensão no </w:t>
            </w:r>
            <w:r w:rsidR="005820EB">
              <w:rPr>
                <w:color w:val="000000" w:themeColor="text1"/>
                <w:sz w:val="20"/>
                <w:szCs w:val="20"/>
              </w:rPr>
              <w:t>Salão de Pesquisa, Extensão e Ensino do IFRS 2016,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com a participação </w:t>
            </w:r>
            <w:r w:rsidR="00032DF0">
              <w:rPr>
                <w:color w:val="000000" w:themeColor="text1"/>
                <w:sz w:val="20"/>
                <w:szCs w:val="20"/>
              </w:rPr>
              <w:t>14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20EB">
              <w:rPr>
                <w:color w:val="000000" w:themeColor="text1"/>
                <w:sz w:val="20"/>
                <w:szCs w:val="20"/>
              </w:rPr>
              <w:t xml:space="preserve">alunos 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bolsistas, acompanhados de 07 </w:t>
            </w:r>
            <w:r w:rsidR="0020745F">
              <w:rPr>
                <w:color w:val="000000" w:themeColor="text1"/>
                <w:sz w:val="20"/>
                <w:szCs w:val="20"/>
              </w:rPr>
              <w:t xml:space="preserve">orientadores </w:t>
            </w:r>
            <w:r w:rsidR="00B525F7">
              <w:rPr>
                <w:color w:val="000000" w:themeColor="text1"/>
                <w:sz w:val="20"/>
                <w:szCs w:val="20"/>
              </w:rPr>
              <w:t>(01 técnico e 06 docentes) proponentes d</w:t>
            </w:r>
            <w:r w:rsidR="0020745F">
              <w:rPr>
                <w:color w:val="000000" w:themeColor="text1"/>
                <w:sz w:val="20"/>
                <w:szCs w:val="20"/>
              </w:rPr>
              <w:t>e</w:t>
            </w:r>
            <w:r w:rsidR="00B525F7">
              <w:rPr>
                <w:color w:val="000000" w:themeColor="text1"/>
                <w:sz w:val="20"/>
                <w:szCs w:val="20"/>
              </w:rPr>
              <w:t xml:space="preserve"> projetos de ensino, pesquisa e extensão</w:t>
            </w:r>
            <w:r w:rsidR="0020745F">
              <w:rPr>
                <w:color w:val="000000" w:themeColor="text1"/>
                <w:sz w:val="20"/>
                <w:szCs w:val="20"/>
              </w:rPr>
              <w:t xml:space="preserve"> do Campus Viamão</w:t>
            </w:r>
            <w:r w:rsidR="00B525F7">
              <w:rPr>
                <w:color w:val="000000" w:themeColor="text1"/>
                <w:sz w:val="20"/>
                <w:szCs w:val="20"/>
              </w:rPr>
              <w:t>.</w:t>
            </w:r>
          </w:p>
          <w:p w:rsidR="002D397F" w:rsidRDefault="002D397F" w:rsidP="00B74B2F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018F7" w:rsidRDefault="007C6B62" w:rsidP="00B74B2F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018F7">
              <w:rPr>
                <w:color w:val="000000" w:themeColor="text1"/>
                <w:sz w:val="20"/>
                <w:szCs w:val="20"/>
              </w:rPr>
              <w:t xml:space="preserve">Foram realizadas 10 visitas técnicas: </w:t>
            </w:r>
          </w:p>
          <w:p w:rsidR="008C7683" w:rsidRDefault="008C7683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Visita Técnica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 a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Cerâmica Soares e Escola Estadual Técnica em Agricultura (EETA)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 com os alunos do curso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Téc. Meio Ambiente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 subsequente com o 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bjetivo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 de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conhecer o processo produtivo da Cerâmica Soares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e 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processo de produção de laticínios na E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scola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E</w:t>
            </w:r>
            <w:r w:rsidR="00C3771D">
              <w:rPr>
                <w:color w:val="222222"/>
                <w:sz w:val="20"/>
                <w:szCs w:val="20"/>
                <w:lang w:eastAsia="pt-BR"/>
              </w:rPr>
              <w:t xml:space="preserve">stadual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TA, a horta orgânica e uma área na qual está sendo realizad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o manejo ecológico do solo. </w:t>
            </w:r>
          </w:p>
          <w:p w:rsidR="002D397F" w:rsidRDefault="008C7683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Visita 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t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écnica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ao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Lago Tarumã 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em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Viamão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com os do curso T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éc. Meio Ambiente Subsequente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bjetiv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and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o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reconhecer o espaço natural e propor ações de PRAD e EA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.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V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isita 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t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écnica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à p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ropriedade rural Recanto do Vagalume 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em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Viamão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com a turma do curso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Téc. Meio Ambiente Subsequente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objetivando o reconhecimento d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o espaço natural rural como potencialidade para propor ações de PRAD e EA, em trilhas ambientais.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Visita 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t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écnica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ao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Departamento Municipal de Água e Esgotos de Porto Alegre (DMAE)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com os alunos do curso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Técnico em Meio Ambiente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subsequente (no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urno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)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bjetiv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and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o 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a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presentar aos alunos uma Estação de Tratamento de Águas (ETA), para consolidação do conteúdo teórico trabalhado em aula.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Visita Técnica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à e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stação de Tratamento de Esgoto – ETE Serraria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com os alunos do curso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Técnico em Meio Ambiente 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concomitante o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bjetiv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>and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o</w:t>
            </w:r>
            <w:r w:rsidR="000F7006">
              <w:rPr>
                <w:color w:val="222222"/>
                <w:sz w:val="20"/>
                <w:szCs w:val="20"/>
                <w:lang w:eastAsia="pt-BR"/>
              </w:rPr>
              <w:t xml:space="preserve"> a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presentar</w:t>
            </w:r>
            <w:r w:rsidR="00B93E1C">
              <w:rPr>
                <w:color w:val="222222"/>
                <w:sz w:val="20"/>
                <w:szCs w:val="20"/>
                <w:lang w:eastAsia="pt-BR"/>
              </w:rPr>
              <w:t>-lhes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uma Estação de Tratamento de Esgoto (ETE), para consolidação do conteúdo teórico trabalhado em aula.</w:t>
            </w:r>
          </w:p>
          <w:p w:rsidR="002D397F" w:rsidRDefault="00B93E1C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  <w:r w:rsidR="002D397F">
              <w:rPr>
                <w:color w:val="222222"/>
                <w:sz w:val="20"/>
                <w:szCs w:val="20"/>
                <w:lang w:eastAsia="pt-BR"/>
              </w:rPr>
              <w:t xml:space="preserve">    Vis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ita Técnica</w:t>
            </w:r>
            <w:r>
              <w:rPr>
                <w:color w:val="222222"/>
                <w:sz w:val="20"/>
                <w:szCs w:val="20"/>
                <w:lang w:eastAsia="pt-BR"/>
              </w:rPr>
              <w:t xml:space="preserve"> ao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Parque Estadual de Exposição – Esteio/RS </w:t>
            </w:r>
            <w:r>
              <w:rPr>
                <w:color w:val="222222"/>
                <w:sz w:val="20"/>
                <w:szCs w:val="20"/>
                <w:lang w:eastAsia="pt-BR"/>
              </w:rPr>
              <w:t>–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Expointer</w:t>
            </w:r>
            <w:proofErr w:type="spellEnd"/>
            <w:r>
              <w:rPr>
                <w:color w:val="222222"/>
                <w:sz w:val="20"/>
                <w:szCs w:val="20"/>
                <w:lang w:eastAsia="pt-BR"/>
              </w:rPr>
              <w:t xml:space="preserve"> com os alunos dos cursos 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Técnico</w:t>
            </w:r>
            <w:r>
              <w:rPr>
                <w:color w:val="222222"/>
                <w:sz w:val="20"/>
                <w:szCs w:val="20"/>
                <w:lang w:eastAsia="pt-BR"/>
              </w:rPr>
              <w:t>s subsequente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 xml:space="preserve"> em Meio </w:t>
            </w:r>
            <w:r>
              <w:rPr>
                <w:color w:val="222222"/>
                <w:sz w:val="20"/>
                <w:szCs w:val="20"/>
                <w:lang w:eastAsia="pt-BR"/>
              </w:rPr>
              <w:t xml:space="preserve">Ambiente, Cooperativismo, Administração e Serviços </w:t>
            </w:r>
            <w:r>
              <w:rPr>
                <w:color w:val="222222"/>
                <w:sz w:val="20"/>
                <w:szCs w:val="20"/>
                <w:lang w:eastAsia="pt-BR"/>
              </w:rPr>
              <w:lastRenderedPageBreak/>
              <w:t>Públicos, com o ob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jetivo</w:t>
            </w:r>
            <w:r>
              <w:rPr>
                <w:color w:val="222222"/>
                <w:sz w:val="20"/>
                <w:szCs w:val="20"/>
                <w:lang w:eastAsia="pt-BR"/>
              </w:rPr>
              <w:t xml:space="preserve"> de c</w:t>
            </w:r>
            <w:r w:rsidR="009018F7" w:rsidRPr="009018F7">
              <w:rPr>
                <w:color w:val="222222"/>
                <w:sz w:val="20"/>
                <w:szCs w:val="20"/>
                <w:lang w:eastAsia="pt-BR"/>
              </w:rPr>
              <w:t>onhecer espaços de comercialização e processos de produção de orgânicos, agricultura familiar e ações de EA nos espaços e políticas públicas</w:t>
            </w:r>
            <w:r w:rsidR="009018F7" w:rsidRPr="00142BF3">
              <w:rPr>
                <w:color w:val="222222"/>
                <w:sz w:val="20"/>
                <w:szCs w:val="20"/>
                <w:lang w:eastAsia="pt-BR"/>
              </w:rPr>
              <w:t>.</w:t>
            </w:r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 xml:space="preserve">Visita técnica às empresas </w:t>
            </w:r>
            <w:proofErr w:type="spellStart"/>
            <w:proofErr w:type="gramStart"/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>HidroRay</w:t>
            </w:r>
            <w:proofErr w:type="spellEnd"/>
            <w:proofErr w:type="gramEnd"/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 xml:space="preserve"> e Empresa </w:t>
            </w:r>
            <w:proofErr w:type="spellStart"/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>Gestamp</w:t>
            </w:r>
            <w:proofErr w:type="spellEnd"/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 xml:space="preserve"> (Complexo GM</w:t>
            </w:r>
            <w:r w:rsidR="00142BF3">
              <w:rPr>
                <w:color w:val="222222"/>
                <w:sz w:val="20"/>
                <w:szCs w:val="20"/>
                <w:lang w:eastAsia="pt-BR"/>
              </w:rPr>
              <w:t xml:space="preserve">) com os alunos do </w:t>
            </w:r>
            <w:r w:rsidR="00142BF3" w:rsidRPr="00142BF3">
              <w:rPr>
                <w:color w:val="222222"/>
                <w:sz w:val="20"/>
                <w:szCs w:val="20"/>
                <w:lang w:eastAsia="pt-BR"/>
              </w:rPr>
              <w:t>curso Técnico em Administração.</w:t>
            </w:r>
            <w:r w:rsidR="00142BF3">
              <w:rPr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 xml:space="preserve">     </w:t>
            </w:r>
            <w:r w:rsidR="00142BF3">
              <w:rPr>
                <w:color w:val="222222"/>
                <w:sz w:val="20"/>
                <w:szCs w:val="20"/>
                <w:lang w:eastAsia="pt-BR"/>
              </w:rPr>
              <w:t xml:space="preserve">Visita técnica à Confeitaria </w:t>
            </w:r>
            <w:proofErr w:type="spellStart"/>
            <w:r w:rsidR="00142BF3">
              <w:rPr>
                <w:color w:val="222222"/>
                <w:sz w:val="20"/>
                <w:szCs w:val="20"/>
                <w:lang w:eastAsia="pt-BR"/>
              </w:rPr>
              <w:t>Armelin</w:t>
            </w:r>
            <w:proofErr w:type="spellEnd"/>
            <w:r w:rsidR="00BF10C5">
              <w:rPr>
                <w:color w:val="222222"/>
                <w:sz w:val="20"/>
                <w:szCs w:val="20"/>
                <w:lang w:eastAsia="pt-BR"/>
              </w:rPr>
              <w:t xml:space="preserve"> em Porto Alegre</w:t>
            </w:r>
            <w:r w:rsidR="00142BF3">
              <w:rPr>
                <w:color w:val="222222"/>
                <w:sz w:val="20"/>
                <w:szCs w:val="20"/>
                <w:lang w:eastAsia="pt-BR"/>
              </w:rPr>
              <w:t xml:space="preserve"> com os alunos do curso Técnico em </w:t>
            </w:r>
            <w:r w:rsidR="00142BF3" w:rsidRPr="00BF10C5">
              <w:rPr>
                <w:color w:val="222222"/>
                <w:sz w:val="20"/>
                <w:szCs w:val="20"/>
                <w:lang w:eastAsia="pt-BR"/>
              </w:rPr>
              <w:t>S</w:t>
            </w:r>
            <w:r w:rsidR="00142BF3" w:rsidRPr="00BF10C5">
              <w:rPr>
                <w:color w:val="222222"/>
                <w:sz w:val="20"/>
                <w:szCs w:val="20"/>
                <w:shd w:val="clear" w:color="auto" w:fill="FFFFFF"/>
              </w:rPr>
              <w:t>erviços Públicos subsequente com objetivo de conhecer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 o processo de gestão da empresa a partir do relato da proprietária da empresa sobre planejamento, marketing, questões financeiras, gestão de pessoas</w:t>
            </w:r>
            <w:r w:rsidR="00F402E6">
              <w:rPr>
                <w:color w:val="222222"/>
                <w:sz w:val="20"/>
                <w:szCs w:val="20"/>
                <w:shd w:val="clear" w:color="auto" w:fill="FFFFFF"/>
              </w:rPr>
              <w:t xml:space="preserve"> e questões ambientais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D397F" w:rsidRDefault="002D397F" w:rsidP="00B74B2F">
            <w:pPr>
              <w:shd w:val="clear" w:color="auto" w:fill="FFFFFF"/>
              <w:suppressAutoHyphens w:val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Visita técnica a </w:t>
            </w:r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 xml:space="preserve">Mostra Agroindustrial da 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Escola Estadual Técnica em Agricultura </w:t>
            </w:r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 xml:space="preserve">de Viamão 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(EETA) com alunos formandos do curso Cooperativismo e Meio Ambiente objetivando </w:t>
            </w:r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>complementar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 conhecimento</w:t>
            </w:r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>s sobre os processos produtivos e comercialização de produtos agroindustriais e</w:t>
            </w:r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 xml:space="preserve"> dar-lhes subsídios para elaboração dos </w:t>
            </w:r>
            <w:proofErr w:type="spellStart"/>
            <w:r w:rsidR="00BF10C5">
              <w:rPr>
                <w:color w:val="222222"/>
                <w:sz w:val="20"/>
                <w:szCs w:val="20"/>
                <w:shd w:val="clear" w:color="auto" w:fill="FFFFFF"/>
              </w:rPr>
              <w:t>TCCs</w:t>
            </w:r>
            <w:proofErr w:type="spellEnd"/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42BF3" w:rsidRPr="00142BF3" w:rsidRDefault="002D397F" w:rsidP="00B74B2F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  <w:r w:rsidR="0048133D">
              <w:rPr>
                <w:color w:val="222222"/>
                <w:sz w:val="20"/>
                <w:szCs w:val="20"/>
                <w:shd w:val="clear" w:color="auto" w:fill="FFFFFF"/>
              </w:rPr>
              <w:t>Visita técnica a Área de Proteção Ambiental do Banhado Grande, localizada nos município de Viamão, Gravataí e Alvorada, em atividade de divulgação de legislação sobre a proibição de pulverização agrícola na área da APA do Banhado Grande pelo Ministério Público Estadual e pela Comissão Especial Rio Grande do Sul sem Agrotóxicos da ALERGS.</w:t>
            </w:r>
          </w:p>
          <w:p w:rsidR="00142BF3" w:rsidRPr="00142BF3" w:rsidRDefault="00142BF3" w:rsidP="00B74B2F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</w:p>
          <w:p w:rsidR="00142BF3" w:rsidRPr="00142BF3" w:rsidRDefault="00142BF3" w:rsidP="00B74B2F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</w:p>
          <w:p w:rsidR="009018F7" w:rsidRPr="009018F7" w:rsidRDefault="009018F7" w:rsidP="00B74B2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018F7" w:rsidRDefault="009018F7" w:rsidP="00B74B2F">
            <w:pPr>
              <w:jc w:val="both"/>
              <w:rPr>
                <w:rFonts w:ascii="Arial" w:hAnsi="Arial" w:cs="Arial"/>
              </w:rPr>
            </w:pPr>
          </w:p>
          <w:p w:rsidR="007C6B62" w:rsidRDefault="007C6B62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6899" w:rsidRDefault="00FD46D6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5820EB">
              <w:rPr>
                <w:color w:val="000000" w:themeColor="text1"/>
                <w:sz w:val="20"/>
                <w:szCs w:val="20"/>
              </w:rPr>
              <w:t>Foram elaborados os Projetos Pedagógicos de Curso dos cursos superiores de Tecnologia em Gestão Ambiental e de Processos Gerenciais</w:t>
            </w:r>
            <w:r>
              <w:rPr>
                <w:color w:val="000000" w:themeColor="text1"/>
                <w:sz w:val="20"/>
                <w:szCs w:val="20"/>
              </w:rPr>
              <w:t xml:space="preserve"> através de comissão constituída para este fim por ordem de serviço da Direção Geral do Campus Viamão e elaborados os respectivos Relatórios de Desenvolvimento Institucional ao encargo da Coordenação de Desenvolvimento Institucional do Campus. Os Projetos Pedagógicos de Curso foram aprovados pela Pro Reitoria de Ensino e pelo Conselho Superior do IFRS permitindo a oferta de 40 vagas em cada um dos cursos superiores no processo seletivo 2016/II.</w:t>
            </w:r>
          </w:p>
          <w:p w:rsidR="00B90BFA" w:rsidRDefault="00B90BFA" w:rsidP="00B74B2F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BFA" w:rsidRDefault="00B90BFA" w:rsidP="00B74B2F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6B62" w:rsidRPr="007C6B62" w:rsidRDefault="007C6B62" w:rsidP="00B74B2F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-Foram apresentados </w:t>
            </w:r>
            <w:r w:rsidR="00B3343B">
              <w:rPr>
                <w:color w:val="000000" w:themeColor="text1"/>
                <w:sz w:val="20"/>
                <w:szCs w:val="20"/>
              </w:rPr>
              <w:t>065 trabalhos envolvendo aproximadamente 250 alunos e orientadores do Campus Viamão do IFRS e de duas instituições de ensino municipais, duas instituições de ensino estaduais e instituição de ensino privada.</w:t>
            </w:r>
          </w:p>
          <w:p w:rsidR="00656899" w:rsidRDefault="00B3343B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133C55">
              <w:rPr>
                <w:color w:val="000000" w:themeColor="text1"/>
                <w:sz w:val="20"/>
                <w:szCs w:val="20"/>
              </w:rPr>
              <w:t>Realizou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-se </w:t>
            </w:r>
            <w:r w:rsidR="00133C55">
              <w:rPr>
                <w:color w:val="000000" w:themeColor="text1"/>
                <w:sz w:val="20"/>
                <w:szCs w:val="20"/>
              </w:rPr>
              <w:t xml:space="preserve">a cerimônia de formatura de 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30 </w:t>
            </w:r>
            <w:r w:rsidR="00133C55">
              <w:rPr>
                <w:color w:val="000000" w:themeColor="text1"/>
                <w:sz w:val="20"/>
                <w:szCs w:val="20"/>
              </w:rPr>
              <w:t>formandos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 dos cursos técnicos </w:t>
            </w:r>
            <w:r w:rsidR="00133C55">
              <w:rPr>
                <w:color w:val="000000" w:themeColor="text1"/>
                <w:sz w:val="20"/>
                <w:szCs w:val="20"/>
              </w:rPr>
              <w:t>subsequente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 de Serviços Públicos e de Cooperativismo no primeiro semestre de 2016 e </w:t>
            </w:r>
            <w:r w:rsidR="00465F5A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96 </w:t>
            </w:r>
            <w:r w:rsidR="00133C55">
              <w:rPr>
                <w:color w:val="000000" w:themeColor="text1"/>
                <w:sz w:val="20"/>
                <w:szCs w:val="20"/>
              </w:rPr>
              <w:t xml:space="preserve">formandos </w:t>
            </w:r>
            <w:r w:rsidR="0027305B">
              <w:rPr>
                <w:color w:val="000000" w:themeColor="text1"/>
                <w:sz w:val="20"/>
                <w:szCs w:val="20"/>
              </w:rPr>
              <w:t>dos cursos</w:t>
            </w:r>
            <w:r w:rsidR="00133C55">
              <w:rPr>
                <w:color w:val="000000" w:themeColor="text1"/>
                <w:sz w:val="20"/>
                <w:szCs w:val="20"/>
              </w:rPr>
              <w:t xml:space="preserve"> técnicos subsequente em</w:t>
            </w:r>
            <w:r w:rsidR="0027305B">
              <w:rPr>
                <w:color w:val="000000" w:themeColor="text1"/>
                <w:sz w:val="20"/>
                <w:szCs w:val="20"/>
              </w:rPr>
              <w:t xml:space="preserve"> Cooperativismo</w:t>
            </w:r>
            <w:r w:rsidR="00133C55">
              <w:rPr>
                <w:color w:val="000000" w:themeColor="text1"/>
                <w:sz w:val="20"/>
                <w:szCs w:val="20"/>
              </w:rPr>
              <w:t>,</w:t>
            </w:r>
            <w:r w:rsidR="00465F5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5F5A">
              <w:rPr>
                <w:color w:val="000000" w:themeColor="text1"/>
                <w:sz w:val="20"/>
                <w:szCs w:val="20"/>
              </w:rPr>
              <w:lastRenderedPageBreak/>
              <w:t>subsequente em administração, subsequente em meio ambiente</w:t>
            </w:r>
            <w:r w:rsidR="00CE69DE">
              <w:rPr>
                <w:color w:val="000000" w:themeColor="text1"/>
                <w:sz w:val="20"/>
                <w:szCs w:val="20"/>
              </w:rPr>
              <w:t xml:space="preserve"> e concomitante em meio ambiente</w:t>
            </w:r>
            <w:r w:rsidR="006A58FD">
              <w:rPr>
                <w:color w:val="000000" w:themeColor="text1"/>
                <w:sz w:val="20"/>
                <w:szCs w:val="20"/>
              </w:rPr>
              <w:t xml:space="preserve"> em 2016/II</w:t>
            </w:r>
            <w:r w:rsidR="00CE69DE">
              <w:rPr>
                <w:color w:val="000000" w:themeColor="text1"/>
                <w:sz w:val="20"/>
                <w:szCs w:val="20"/>
              </w:rPr>
              <w:t>.</w:t>
            </w:r>
            <w:r w:rsidR="00133C5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801CB" w:rsidRPr="00BF4160" w:rsidRDefault="00CE69DE" w:rsidP="00B74B2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04072">
              <w:rPr>
                <w:rFonts w:eastAsiaTheme="minorHAnsi"/>
                <w:sz w:val="20"/>
                <w:szCs w:val="20"/>
                <w:lang w:eastAsia="en-US"/>
              </w:rPr>
              <w:t xml:space="preserve"> liberação e custeio (inscrições, diárias e passagens)</w:t>
            </w:r>
            <w:r w:rsidR="00154A0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34A94">
              <w:rPr>
                <w:rFonts w:eastAsiaTheme="minorHAnsi"/>
                <w:sz w:val="20"/>
                <w:szCs w:val="20"/>
                <w:lang w:eastAsia="en-US"/>
              </w:rPr>
              <w:t>p</w:t>
            </w:r>
            <w:r w:rsidR="00B04072">
              <w:rPr>
                <w:rFonts w:eastAsiaTheme="minorHAnsi"/>
                <w:sz w:val="20"/>
                <w:szCs w:val="20"/>
                <w:lang w:eastAsia="en-US"/>
              </w:rPr>
              <w:t>ara</w:t>
            </w:r>
            <w:r w:rsidR="00C34A94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proofErr w:type="gramStart"/>
            <w:r w:rsidR="00C34A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040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C34A94">
              <w:rPr>
                <w:rFonts w:eastAsiaTheme="minorHAnsi"/>
                <w:sz w:val="20"/>
                <w:szCs w:val="20"/>
                <w:lang w:eastAsia="en-US"/>
              </w:rPr>
              <w:t>P</w:t>
            </w:r>
            <w:r w:rsidR="002774CB">
              <w:rPr>
                <w:color w:val="000000" w:themeColor="text1"/>
                <w:sz w:val="20"/>
                <w:szCs w:val="20"/>
              </w:rPr>
              <w:t xml:space="preserve">articipação de 28 servidores em 030 eventos </w:t>
            </w:r>
            <w:r w:rsidR="00382FE1" w:rsidRPr="00382FE1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2774CB">
              <w:rPr>
                <w:color w:val="000000" w:themeColor="text1"/>
                <w:sz w:val="20"/>
                <w:szCs w:val="20"/>
              </w:rPr>
              <w:t>c</w:t>
            </w:r>
            <w:r w:rsidR="00382FE1" w:rsidRPr="00382FE1">
              <w:rPr>
                <w:color w:val="000000" w:themeColor="text1"/>
                <w:sz w:val="20"/>
                <w:szCs w:val="20"/>
              </w:rPr>
              <w:t xml:space="preserve">apacitação em </w:t>
            </w:r>
            <w:r w:rsidR="002774CB">
              <w:rPr>
                <w:color w:val="000000" w:themeColor="text1"/>
                <w:sz w:val="20"/>
                <w:szCs w:val="20"/>
              </w:rPr>
              <w:t>processos de e</w:t>
            </w:r>
            <w:r w:rsidR="00382FE1" w:rsidRPr="00382FE1">
              <w:rPr>
                <w:color w:val="000000" w:themeColor="text1"/>
                <w:sz w:val="20"/>
                <w:szCs w:val="20"/>
              </w:rPr>
              <w:t>nsino e</w:t>
            </w:r>
            <w:r w:rsidR="00382FE1">
              <w:rPr>
                <w:color w:val="000000" w:themeColor="text1"/>
                <w:sz w:val="20"/>
                <w:szCs w:val="20"/>
              </w:rPr>
              <w:t xml:space="preserve"> a</w:t>
            </w:r>
            <w:r w:rsidR="002774CB">
              <w:rPr>
                <w:color w:val="000000" w:themeColor="text1"/>
                <w:sz w:val="20"/>
                <w:szCs w:val="20"/>
              </w:rPr>
              <w:t>prendizagem com carga horária de 20 horas</w:t>
            </w:r>
            <w:r w:rsidR="002C309F">
              <w:rPr>
                <w:color w:val="000000" w:themeColor="text1"/>
                <w:sz w:val="20"/>
                <w:szCs w:val="20"/>
              </w:rPr>
              <w:t>;</w:t>
            </w:r>
            <w:r w:rsidR="00497242">
              <w:rPr>
                <w:color w:val="000000" w:themeColor="text1"/>
                <w:sz w:val="20"/>
                <w:szCs w:val="20"/>
              </w:rPr>
              <w:t xml:space="preserve"> para participação de 05 </w:t>
            </w:r>
            <w:r w:rsidR="0015024C">
              <w:rPr>
                <w:color w:val="000000" w:themeColor="text1"/>
                <w:sz w:val="20"/>
                <w:szCs w:val="20"/>
              </w:rPr>
              <w:t>professores do ensino básico</w:t>
            </w:r>
            <w:r w:rsidR="004972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024C">
              <w:rPr>
                <w:color w:val="000000" w:themeColor="text1"/>
                <w:sz w:val="20"/>
                <w:szCs w:val="20"/>
              </w:rPr>
              <w:t xml:space="preserve">em </w:t>
            </w:r>
            <w:r w:rsidR="00497242">
              <w:rPr>
                <w:color w:val="000000" w:themeColor="text1"/>
                <w:sz w:val="20"/>
                <w:szCs w:val="20"/>
              </w:rPr>
              <w:t>curso de pesquisadores</w:t>
            </w:r>
            <w:r w:rsidR="0015024C">
              <w:rPr>
                <w:color w:val="000000" w:themeColor="text1"/>
                <w:sz w:val="20"/>
                <w:szCs w:val="20"/>
              </w:rPr>
              <w:t xml:space="preserve"> com carga horária de 14 horas</w:t>
            </w:r>
            <w:r w:rsidR="00497242">
              <w:rPr>
                <w:color w:val="000000" w:themeColor="text1"/>
                <w:sz w:val="20"/>
                <w:szCs w:val="20"/>
              </w:rPr>
              <w:t>;</w:t>
            </w:r>
            <w:r w:rsidR="0015024C">
              <w:rPr>
                <w:color w:val="000000" w:themeColor="text1"/>
                <w:sz w:val="20"/>
                <w:szCs w:val="20"/>
              </w:rPr>
              <w:t xml:space="preserve"> participação d</w:t>
            </w:r>
            <w:r w:rsidR="00843011">
              <w:rPr>
                <w:color w:val="000000" w:themeColor="text1"/>
                <w:sz w:val="20"/>
                <w:szCs w:val="20"/>
              </w:rPr>
              <w:t xml:space="preserve">a bibliotecária do Campus no Seminário Nacional de Bibliotecas Universitárias em Manaus com carga horária de 40 horas; para participação da jornalista do Campus no Workshop Politicas de Comunicação 2016, em Bento Gonçalves, com carga horária de 11 horas; </w:t>
            </w:r>
            <w:r w:rsidR="00775AD0">
              <w:rPr>
                <w:color w:val="000000" w:themeColor="text1"/>
                <w:sz w:val="20"/>
                <w:szCs w:val="20"/>
              </w:rPr>
              <w:t xml:space="preserve">participação de 02 pedagogas do Campus Viamão no I Encontro de Pedagogos do IFRS com carga horária de 07 horas; </w:t>
            </w:r>
            <w:r w:rsidR="0052319D">
              <w:rPr>
                <w:color w:val="000000" w:themeColor="text1"/>
                <w:sz w:val="20"/>
                <w:szCs w:val="20"/>
              </w:rPr>
              <w:t xml:space="preserve">participação de </w:t>
            </w:r>
            <w:r w:rsidR="00775AD0">
              <w:rPr>
                <w:color w:val="000000" w:themeColor="text1"/>
                <w:sz w:val="20"/>
                <w:szCs w:val="20"/>
              </w:rPr>
              <w:t>01 assistente administrativa em atividade de Capacitação das Coordenadorias de Gestão de Pessoas</w:t>
            </w:r>
            <w:r w:rsidR="00154A0E">
              <w:rPr>
                <w:color w:val="000000" w:themeColor="text1"/>
                <w:sz w:val="20"/>
                <w:szCs w:val="20"/>
              </w:rPr>
              <w:t>, com carga horária de 12 horas</w:t>
            </w:r>
            <w:r w:rsidR="00775AD0">
              <w:rPr>
                <w:color w:val="000000" w:themeColor="text1"/>
                <w:sz w:val="20"/>
                <w:szCs w:val="20"/>
              </w:rPr>
              <w:t>;</w:t>
            </w:r>
            <w:r w:rsidR="00154A0E">
              <w:rPr>
                <w:color w:val="000000" w:themeColor="text1"/>
                <w:sz w:val="20"/>
                <w:szCs w:val="20"/>
              </w:rPr>
              <w:t xml:space="preserve"> participação de 01 assistente administrativo em atividade de capacitação para os membros das CISSPAS do IFRS, com carga horária de 20 horas;</w:t>
            </w:r>
            <w:r w:rsidR="00EF6726">
              <w:rPr>
                <w:color w:val="000000" w:themeColor="text1"/>
                <w:sz w:val="20"/>
                <w:szCs w:val="20"/>
              </w:rPr>
              <w:t xml:space="preserve"> p</w:t>
            </w:r>
            <w:r w:rsidR="00800AAA">
              <w:rPr>
                <w:color w:val="000000" w:themeColor="text1"/>
                <w:sz w:val="20"/>
                <w:szCs w:val="20"/>
              </w:rPr>
              <w:t xml:space="preserve">articipação de 01 docente no Encontro Nacional da Associação Nacional de </w:t>
            </w:r>
            <w:r w:rsidR="00EF6726">
              <w:rPr>
                <w:color w:val="000000" w:themeColor="text1"/>
                <w:sz w:val="20"/>
                <w:szCs w:val="20"/>
              </w:rPr>
              <w:t xml:space="preserve">Pós-graduação e Pesquisa, na Bahia, sem custos para o IFRS; </w:t>
            </w:r>
            <w:r w:rsidR="00BF4160">
              <w:rPr>
                <w:color w:val="000000" w:themeColor="text1"/>
                <w:sz w:val="20"/>
                <w:szCs w:val="20"/>
              </w:rPr>
              <w:t xml:space="preserve">participação de 01 docente em Boston –EUA, da conferencia “The Inaugural Communication </w:t>
            </w:r>
            <w:proofErr w:type="spellStart"/>
            <w:r w:rsidR="00BF416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BF4160">
              <w:rPr>
                <w:color w:val="000000" w:themeColor="text1"/>
                <w:sz w:val="20"/>
                <w:szCs w:val="20"/>
              </w:rPr>
              <w:t xml:space="preserve"> Media </w:t>
            </w:r>
            <w:proofErr w:type="spellStart"/>
            <w:r w:rsidR="00BF4160">
              <w:rPr>
                <w:color w:val="000000" w:themeColor="text1"/>
                <w:sz w:val="20"/>
                <w:szCs w:val="20"/>
              </w:rPr>
              <w:t>Studies</w:t>
            </w:r>
            <w:proofErr w:type="spellEnd"/>
            <w:r w:rsidR="00BF41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4160">
              <w:rPr>
                <w:color w:val="000000" w:themeColor="text1"/>
                <w:sz w:val="20"/>
                <w:szCs w:val="20"/>
              </w:rPr>
              <w:t>Conference</w:t>
            </w:r>
            <w:proofErr w:type="spellEnd"/>
            <w:r w:rsidR="00BF4160">
              <w:rPr>
                <w:color w:val="000000" w:themeColor="text1"/>
                <w:sz w:val="20"/>
                <w:szCs w:val="20"/>
              </w:rPr>
              <w:t xml:space="preserve">”, com carga horária de 16 horas; participação de 02 servidores em curso sobre Processo Administrativo Disciplinar, promovido pela Advocacia Geral da União, seccional Porto Alegre, com carga horária de </w:t>
            </w:r>
            <w:r w:rsidR="006366AB">
              <w:rPr>
                <w:color w:val="000000" w:themeColor="text1"/>
                <w:sz w:val="20"/>
                <w:szCs w:val="20"/>
              </w:rPr>
              <w:t>40 horas; participação de 01 Assistente em Administração em curso de capacitação S</w:t>
            </w:r>
            <w:r w:rsidR="00677878">
              <w:rPr>
                <w:color w:val="000000" w:themeColor="text1"/>
                <w:sz w:val="20"/>
                <w:szCs w:val="20"/>
              </w:rPr>
              <w:t>IAFI</w:t>
            </w:r>
            <w:r w:rsidR="006366AB">
              <w:rPr>
                <w:color w:val="000000" w:themeColor="text1"/>
                <w:sz w:val="20"/>
                <w:szCs w:val="20"/>
              </w:rPr>
              <w:t xml:space="preserve"> – Módulo Operacional, atualizado com o novo PCASP </w:t>
            </w:r>
            <w:r w:rsidR="00677878">
              <w:rPr>
                <w:color w:val="000000" w:themeColor="text1"/>
                <w:sz w:val="20"/>
                <w:szCs w:val="20"/>
              </w:rPr>
              <w:t>–</w:t>
            </w:r>
            <w:r w:rsidR="006366AB">
              <w:rPr>
                <w:color w:val="000000" w:themeColor="text1"/>
                <w:sz w:val="20"/>
                <w:szCs w:val="20"/>
              </w:rPr>
              <w:t xml:space="preserve"> 17</w:t>
            </w:r>
            <w:r w:rsidR="00677878">
              <w:rPr>
                <w:color w:val="000000" w:themeColor="text1"/>
                <w:sz w:val="20"/>
                <w:szCs w:val="20"/>
              </w:rPr>
              <w:t xml:space="preserve">° Edição, </w:t>
            </w:r>
            <w:r w:rsidR="006366AB">
              <w:rPr>
                <w:color w:val="000000" w:themeColor="text1"/>
                <w:sz w:val="20"/>
                <w:szCs w:val="20"/>
              </w:rPr>
              <w:t>promovido pela ESAF</w:t>
            </w:r>
            <w:r w:rsidR="00677878">
              <w:rPr>
                <w:color w:val="000000" w:themeColor="text1"/>
                <w:sz w:val="20"/>
                <w:szCs w:val="20"/>
              </w:rPr>
              <w:t xml:space="preserve">/RS, com carga horária de 24 horas; </w:t>
            </w:r>
            <w:r w:rsidR="00FB7D03">
              <w:rPr>
                <w:color w:val="000000" w:themeColor="text1"/>
                <w:sz w:val="20"/>
                <w:szCs w:val="20"/>
              </w:rPr>
              <w:t>participação de 01 docente em Curso para formação de pregoeiro, curso sobre gestão de contratos administrativos e cursos de formação pedagógica, com carga horária de 24 horas; participação de 06 servidores no 2° Workshop Diversidade e Inclusão do IFRS, promovido</w:t>
            </w:r>
            <w:r w:rsidR="00CF175D">
              <w:rPr>
                <w:color w:val="000000" w:themeColor="text1"/>
                <w:sz w:val="20"/>
                <w:szCs w:val="20"/>
              </w:rPr>
              <w:t xml:space="preserve"> pela Reitoria e Pro Reitoria de Extensão do IFRS.</w:t>
            </w:r>
          </w:p>
          <w:p w:rsidR="00B3343B" w:rsidRDefault="00B3343B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8C5CFA">
              <w:rPr>
                <w:color w:val="000000" w:themeColor="text1"/>
                <w:sz w:val="20"/>
                <w:szCs w:val="20"/>
              </w:rPr>
              <w:t>Em c</w:t>
            </w:r>
            <w:r w:rsidR="00746A98">
              <w:rPr>
                <w:color w:val="000000" w:themeColor="text1"/>
                <w:sz w:val="20"/>
                <w:szCs w:val="20"/>
              </w:rPr>
              <w:t>omplementa</w:t>
            </w:r>
            <w:r w:rsidR="008C5CFA">
              <w:rPr>
                <w:color w:val="000000" w:themeColor="text1"/>
                <w:sz w:val="20"/>
                <w:szCs w:val="20"/>
              </w:rPr>
              <w:t>ção</w:t>
            </w:r>
            <w:r w:rsidR="00746A98">
              <w:rPr>
                <w:color w:val="000000" w:themeColor="text1"/>
                <w:sz w:val="20"/>
                <w:szCs w:val="20"/>
              </w:rPr>
              <w:t xml:space="preserve"> a aquisição de mobiliário realizado em 2014 e 2015, fo</w:t>
            </w:r>
            <w:r w:rsidR="008C5CFA">
              <w:rPr>
                <w:color w:val="000000" w:themeColor="text1"/>
                <w:sz w:val="20"/>
                <w:szCs w:val="20"/>
              </w:rPr>
              <w:t>i gasto R$246.807,00</w:t>
            </w:r>
            <w:r w:rsidR="00746A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5CFA">
              <w:rPr>
                <w:color w:val="000000" w:themeColor="text1"/>
                <w:sz w:val="20"/>
                <w:szCs w:val="20"/>
              </w:rPr>
              <w:t xml:space="preserve">para </w:t>
            </w:r>
            <w:r w:rsidR="00746A98">
              <w:rPr>
                <w:color w:val="000000" w:themeColor="text1"/>
                <w:sz w:val="20"/>
                <w:szCs w:val="20"/>
              </w:rPr>
              <w:t>adquir</w:t>
            </w:r>
            <w:r w:rsidR="008C5CFA">
              <w:rPr>
                <w:color w:val="000000" w:themeColor="text1"/>
                <w:sz w:val="20"/>
                <w:szCs w:val="20"/>
              </w:rPr>
              <w:t>ir</w:t>
            </w:r>
            <w:r w:rsidR="00746A98">
              <w:rPr>
                <w:color w:val="000000" w:themeColor="text1"/>
                <w:sz w:val="20"/>
                <w:szCs w:val="20"/>
              </w:rPr>
              <w:t xml:space="preserve"> 45 armários, 77 cadeiras, 36 cadeiras para laboratório de informática, 02 poltronas de diretor, 02 longarinas de três lugares e 01 de 01 lugar, 03 estações de estudo individual, 04 mesas de centro, 02 balcões de atendimento, 30 gaveteiros, 13 divisões de mesa, 12 cadeiras giratórias, </w:t>
            </w:r>
            <w:r w:rsidR="000D331C">
              <w:rPr>
                <w:color w:val="000000" w:themeColor="text1"/>
                <w:sz w:val="20"/>
                <w:szCs w:val="20"/>
              </w:rPr>
              <w:t>53 cadeiras com apoio de braço, 100 carteiras universitárias e 100 metros de cortina.</w:t>
            </w:r>
          </w:p>
          <w:p w:rsidR="00B3343B" w:rsidRDefault="00B3343B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A3463">
              <w:rPr>
                <w:color w:val="000000" w:themeColor="text1"/>
                <w:sz w:val="20"/>
                <w:szCs w:val="20"/>
              </w:rPr>
              <w:t xml:space="preserve">Foi empenhado o valor de R$522.000,00 para a locação de 1000 m² em condomínio do </w:t>
            </w:r>
            <w:proofErr w:type="spellStart"/>
            <w:r w:rsidR="00EA3463">
              <w:rPr>
                <w:color w:val="000000" w:themeColor="text1"/>
                <w:sz w:val="20"/>
                <w:szCs w:val="20"/>
              </w:rPr>
              <w:t>Tecnopuc</w:t>
            </w:r>
            <w:proofErr w:type="spellEnd"/>
            <w:r w:rsidR="00EA3463">
              <w:rPr>
                <w:color w:val="000000" w:themeColor="text1"/>
                <w:sz w:val="20"/>
                <w:szCs w:val="20"/>
              </w:rPr>
              <w:t>, envolvendo todos os serviços nas áreas de uso coletivo, inclusive o serviço de segurança.</w:t>
            </w:r>
          </w:p>
          <w:p w:rsidR="00B3343B" w:rsidRDefault="00B3343B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8C5CFA">
              <w:rPr>
                <w:color w:val="000000" w:themeColor="text1"/>
                <w:sz w:val="20"/>
                <w:szCs w:val="20"/>
              </w:rPr>
              <w:t xml:space="preserve">Foi empenhado o valor de R$2.000.000,00 para </w:t>
            </w:r>
            <w:r w:rsidR="008C5CFA">
              <w:rPr>
                <w:color w:val="000000" w:themeColor="text1"/>
                <w:sz w:val="20"/>
                <w:szCs w:val="20"/>
              </w:rPr>
              <w:lastRenderedPageBreak/>
              <w:t>construção do primeiro modulo do Campus Viamão do IFRS, em área cedida pelo executivo municipal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, bem como foi </w:t>
            </w:r>
            <w:r w:rsidR="008C5CFA">
              <w:rPr>
                <w:color w:val="000000" w:themeColor="text1"/>
                <w:sz w:val="20"/>
                <w:szCs w:val="20"/>
              </w:rPr>
              <w:t xml:space="preserve">concluído o processo licitatório 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que </w:t>
            </w:r>
            <w:r w:rsidR="008C5CFA">
              <w:rPr>
                <w:color w:val="000000" w:themeColor="text1"/>
                <w:sz w:val="20"/>
                <w:szCs w:val="20"/>
              </w:rPr>
              <w:t>defini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u </w:t>
            </w:r>
            <w:r w:rsidR="008C5CFA">
              <w:rPr>
                <w:color w:val="000000" w:themeColor="text1"/>
                <w:sz w:val="20"/>
                <w:szCs w:val="20"/>
              </w:rPr>
              <w:t>a empresa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5CFA">
              <w:rPr>
                <w:color w:val="000000" w:themeColor="text1"/>
                <w:sz w:val="20"/>
                <w:szCs w:val="20"/>
              </w:rPr>
              <w:t>encarregada da obra</w:t>
            </w:r>
            <w:r w:rsidR="009E3301">
              <w:rPr>
                <w:color w:val="000000" w:themeColor="text1"/>
                <w:sz w:val="20"/>
                <w:szCs w:val="20"/>
              </w:rPr>
              <w:t xml:space="preserve"> de edificação</w:t>
            </w:r>
            <w:r w:rsidR="008C5CFA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B85190" w:rsidRDefault="00B85190" w:rsidP="00B74B2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05D9" w:rsidRDefault="00F305D9" w:rsidP="00F305D9">
      <w:pPr>
        <w:pStyle w:val="PargrafodaLista"/>
        <w:ind w:left="1080"/>
      </w:pPr>
    </w:p>
    <w:p w:rsidR="00CF175D" w:rsidRDefault="00CF175D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Pr="00B74B2F" w:rsidRDefault="005F5270" w:rsidP="005F5270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>Justificativas para a não execução de ações planejadas</w:t>
      </w:r>
    </w:p>
    <w:p w:rsidR="00990B37" w:rsidRDefault="00B85190" w:rsidP="00CA6D2D">
      <w:pPr>
        <w:suppressAutoHyphens w:val="0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     </w:t>
      </w:r>
    </w:p>
    <w:p w:rsidR="00A739E3" w:rsidRDefault="00990B37" w:rsidP="00B74B2F">
      <w:pPr>
        <w:suppressAutoHyphens w:val="0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     </w:t>
      </w:r>
      <w:r w:rsidR="00B9628E">
        <w:rPr>
          <w:color w:val="000000"/>
          <w:lang w:eastAsia="pt-BR"/>
        </w:rPr>
        <w:t>A</w:t>
      </w:r>
      <w:r w:rsidR="00B85190">
        <w:rPr>
          <w:color w:val="000000"/>
          <w:lang w:eastAsia="pt-BR"/>
        </w:rPr>
        <w:t xml:space="preserve"> c</w:t>
      </w:r>
      <w:r w:rsidR="00CA6D2D" w:rsidRPr="00CA6D2D">
        <w:rPr>
          <w:color w:val="000000"/>
          <w:lang w:eastAsia="pt-BR"/>
        </w:rPr>
        <w:t>ria</w:t>
      </w:r>
      <w:r w:rsidR="00B85190">
        <w:rPr>
          <w:color w:val="000000"/>
          <w:lang w:eastAsia="pt-BR"/>
        </w:rPr>
        <w:t>ção</w:t>
      </w:r>
      <w:r w:rsidR="00CA6D2D" w:rsidRPr="00CA6D2D">
        <w:rPr>
          <w:color w:val="000000"/>
          <w:lang w:eastAsia="pt-BR"/>
        </w:rPr>
        <w:t xml:space="preserve"> </w:t>
      </w:r>
      <w:r w:rsidR="00B9628E">
        <w:rPr>
          <w:color w:val="000000"/>
          <w:lang w:eastAsia="pt-BR"/>
        </w:rPr>
        <w:t xml:space="preserve">de </w:t>
      </w:r>
      <w:r w:rsidR="00CA6D2D" w:rsidRPr="00CA6D2D">
        <w:rPr>
          <w:color w:val="000000"/>
          <w:lang w:eastAsia="pt-BR"/>
        </w:rPr>
        <w:t xml:space="preserve">cursos </w:t>
      </w:r>
      <w:r w:rsidR="00224F04">
        <w:rPr>
          <w:color w:val="000000"/>
          <w:lang w:eastAsia="pt-BR"/>
        </w:rPr>
        <w:t>E</w:t>
      </w:r>
      <w:r w:rsidR="00CA6D2D" w:rsidRPr="00CA6D2D">
        <w:rPr>
          <w:color w:val="000000"/>
          <w:lang w:eastAsia="pt-BR"/>
        </w:rPr>
        <w:t>TEC (</w:t>
      </w:r>
      <w:proofErr w:type="spellStart"/>
      <w:r w:rsidR="00CA6D2D" w:rsidRPr="00CA6D2D">
        <w:rPr>
          <w:color w:val="000000"/>
          <w:lang w:eastAsia="pt-BR"/>
        </w:rPr>
        <w:t>Serv</w:t>
      </w:r>
      <w:proofErr w:type="spellEnd"/>
      <w:r w:rsidR="00CA6D2D" w:rsidRPr="00CA6D2D">
        <w:rPr>
          <w:color w:val="000000"/>
          <w:lang w:eastAsia="pt-BR"/>
        </w:rPr>
        <w:t xml:space="preserve"> Pub e Meio </w:t>
      </w:r>
      <w:proofErr w:type="spellStart"/>
      <w:r w:rsidR="00CA6D2D" w:rsidRPr="00CA6D2D">
        <w:rPr>
          <w:color w:val="000000"/>
          <w:lang w:eastAsia="pt-BR"/>
        </w:rPr>
        <w:t>Amb</w:t>
      </w:r>
      <w:proofErr w:type="spellEnd"/>
      <w:r w:rsidR="00CA6D2D" w:rsidRPr="00CA6D2D">
        <w:rPr>
          <w:color w:val="000000"/>
          <w:lang w:eastAsia="pt-BR"/>
        </w:rPr>
        <w:t>)</w:t>
      </w:r>
      <w:r w:rsidR="00B9628E">
        <w:rPr>
          <w:color w:val="000000"/>
          <w:lang w:eastAsia="pt-BR"/>
        </w:rPr>
        <w:t>, prevista no Plano de Ação de 2016, não p</w:t>
      </w:r>
      <w:r w:rsidR="00224F04">
        <w:rPr>
          <w:color w:val="000000"/>
          <w:lang w:eastAsia="pt-BR"/>
        </w:rPr>
        <w:t>ô</w:t>
      </w:r>
      <w:r w:rsidR="00B9628E">
        <w:rPr>
          <w:color w:val="000000"/>
          <w:lang w:eastAsia="pt-BR"/>
        </w:rPr>
        <w:t xml:space="preserve">de ser concretizada em </w:t>
      </w:r>
      <w:r w:rsidR="00A739E3">
        <w:rPr>
          <w:color w:val="000000"/>
          <w:lang w:eastAsia="pt-BR"/>
        </w:rPr>
        <w:t>decorrência da equipe de técnicos e docentes do campus, ainda em formação, não contar, neste período, com servidores habilitados para a realização de atividades em educação à distância.</w:t>
      </w:r>
    </w:p>
    <w:p w:rsidR="00CA6D2D" w:rsidRDefault="00A739E3" w:rsidP="00B74B2F">
      <w:pPr>
        <w:suppressAutoHyphens w:val="0"/>
        <w:jc w:val="both"/>
        <w:rPr>
          <w:lang w:eastAsia="pt-BR"/>
        </w:rPr>
      </w:pPr>
      <w:r>
        <w:rPr>
          <w:color w:val="000000"/>
          <w:lang w:eastAsia="pt-BR"/>
        </w:rPr>
        <w:t xml:space="preserve">     No Plano de Ação 2016, na área de pesquisa, entre as ações propostas,</w:t>
      </w:r>
      <w:r w:rsidR="00E86E34">
        <w:rPr>
          <w:color w:val="000000"/>
          <w:lang w:eastAsia="pt-BR"/>
        </w:rPr>
        <w:t xml:space="preserve"> </w:t>
      </w:r>
      <w:r w:rsidR="00AB22BF">
        <w:rPr>
          <w:color w:val="000000"/>
          <w:lang w:eastAsia="pt-BR"/>
        </w:rPr>
        <w:t xml:space="preserve">havia </w:t>
      </w:r>
      <w:r w:rsidR="00E86E34">
        <w:rPr>
          <w:color w:val="000000"/>
          <w:lang w:eastAsia="pt-BR"/>
        </w:rPr>
        <w:t>previsão de recursos para o pagamento de d</w:t>
      </w:r>
      <w:r w:rsidR="00CA6D2D" w:rsidRPr="00CA6D2D">
        <w:rPr>
          <w:lang w:eastAsia="pt-BR"/>
        </w:rPr>
        <w:t xml:space="preserve">ireitos </w:t>
      </w:r>
      <w:r w:rsidR="00E86E34">
        <w:rPr>
          <w:lang w:eastAsia="pt-BR"/>
        </w:rPr>
        <w:t>a</w:t>
      </w:r>
      <w:r w:rsidR="00CA6D2D" w:rsidRPr="00CA6D2D">
        <w:rPr>
          <w:lang w:eastAsia="pt-BR"/>
        </w:rPr>
        <w:t>utorais</w:t>
      </w:r>
      <w:r w:rsidR="00E86E34">
        <w:rPr>
          <w:lang w:eastAsia="pt-BR"/>
        </w:rPr>
        <w:t>, no entanto esta despesa não foi realizada</w:t>
      </w:r>
      <w:r w:rsidR="00AB22BF">
        <w:rPr>
          <w:lang w:eastAsia="pt-BR"/>
        </w:rPr>
        <w:t xml:space="preserve"> e por consequência a ação cancelada</w:t>
      </w:r>
      <w:r w:rsidR="00E86E34">
        <w:rPr>
          <w:lang w:eastAsia="pt-BR"/>
        </w:rPr>
        <w:t>.</w:t>
      </w:r>
    </w:p>
    <w:p w:rsidR="00CA6D2D" w:rsidRDefault="00AB22BF" w:rsidP="00B74B2F">
      <w:pPr>
        <w:suppressAutoHyphens w:val="0"/>
        <w:jc w:val="both"/>
        <w:rPr>
          <w:lang w:eastAsia="pt-BR"/>
        </w:rPr>
      </w:pPr>
      <w:r>
        <w:rPr>
          <w:lang w:eastAsia="pt-BR"/>
        </w:rPr>
        <w:t xml:space="preserve">     Na área de gestão administração</w:t>
      </w:r>
      <w:r w:rsidR="00014BBF">
        <w:rPr>
          <w:lang w:eastAsia="pt-BR"/>
        </w:rPr>
        <w:t>, as ações propostas</w:t>
      </w:r>
      <w:r w:rsidR="00AE6D2B">
        <w:rPr>
          <w:lang w:eastAsia="pt-BR"/>
        </w:rPr>
        <w:t xml:space="preserve"> de capatazia, suporte de TI e contratação de frete, previstas no Plano de Ação 2016, não foram necessárias para o funcionamento do Campus, e por esta razão, canceladas.</w:t>
      </w:r>
    </w:p>
    <w:p w:rsidR="00CA6D2D" w:rsidRDefault="00AE6D2B" w:rsidP="00B74B2F">
      <w:pPr>
        <w:suppressAutoHyphens w:val="0"/>
        <w:jc w:val="both"/>
        <w:rPr>
          <w:lang w:eastAsia="pt-BR"/>
        </w:rPr>
      </w:pPr>
      <w:r>
        <w:rPr>
          <w:lang w:eastAsia="pt-BR"/>
        </w:rPr>
        <w:t xml:space="preserve">     Ainda entre as ações propostas e canceladas encontra-se o item relativo </w:t>
      </w:r>
      <w:r w:rsidR="00990B37">
        <w:rPr>
          <w:lang w:eastAsia="pt-BR"/>
        </w:rPr>
        <w:t>à</w:t>
      </w:r>
      <w:r>
        <w:rPr>
          <w:lang w:eastAsia="pt-BR"/>
        </w:rPr>
        <w:t xml:space="preserve"> manutenção</w:t>
      </w:r>
      <w:r w:rsidR="00CA6D2D" w:rsidRPr="00CA6D2D">
        <w:rPr>
          <w:lang w:eastAsia="pt-BR"/>
        </w:rPr>
        <w:t xml:space="preserve"> de imóveis</w:t>
      </w:r>
      <w:r>
        <w:rPr>
          <w:lang w:eastAsia="pt-BR"/>
        </w:rPr>
        <w:t xml:space="preserve">, não realizado </w:t>
      </w:r>
      <w:r w:rsidR="00990B37">
        <w:rPr>
          <w:lang w:eastAsia="pt-BR"/>
        </w:rPr>
        <w:t>porque o Campus permanece</w:t>
      </w:r>
      <w:r w:rsidR="00082B94">
        <w:rPr>
          <w:lang w:eastAsia="pt-BR"/>
        </w:rPr>
        <w:t>rá</w:t>
      </w:r>
      <w:r w:rsidR="00990B37">
        <w:rPr>
          <w:lang w:eastAsia="pt-BR"/>
        </w:rPr>
        <w:t xml:space="preserve"> em prédio locado</w:t>
      </w:r>
      <w:r w:rsidR="002D3C78">
        <w:rPr>
          <w:lang w:eastAsia="pt-BR"/>
        </w:rPr>
        <w:t xml:space="preserve"> </w:t>
      </w:r>
      <w:r w:rsidR="00990B37">
        <w:rPr>
          <w:lang w:eastAsia="pt-BR"/>
        </w:rPr>
        <w:t xml:space="preserve">junto ao condomínio do </w:t>
      </w:r>
      <w:proofErr w:type="spellStart"/>
      <w:r w:rsidR="00990B37">
        <w:rPr>
          <w:lang w:eastAsia="pt-BR"/>
        </w:rPr>
        <w:t>Tecnopuc</w:t>
      </w:r>
      <w:proofErr w:type="spellEnd"/>
      <w:r w:rsidR="00990B37">
        <w:rPr>
          <w:lang w:eastAsia="pt-BR"/>
        </w:rPr>
        <w:t xml:space="preserve"> até a construção de prédio próprio; e a </w:t>
      </w:r>
      <w:r w:rsidR="00082B94">
        <w:rPr>
          <w:lang w:eastAsia="pt-BR"/>
        </w:rPr>
        <w:t xml:space="preserve">ação proposta </w:t>
      </w:r>
      <w:r w:rsidR="003F7F19">
        <w:rPr>
          <w:lang w:eastAsia="pt-BR"/>
        </w:rPr>
        <w:t>qu</w:t>
      </w:r>
      <w:r w:rsidR="00082B94">
        <w:rPr>
          <w:lang w:eastAsia="pt-BR"/>
        </w:rPr>
        <w:t>e</w:t>
      </w:r>
      <w:r w:rsidR="003F7F19">
        <w:rPr>
          <w:lang w:eastAsia="pt-BR"/>
        </w:rPr>
        <w:t xml:space="preserve"> aloca</w:t>
      </w:r>
      <w:r w:rsidR="00082B94">
        <w:rPr>
          <w:lang w:eastAsia="pt-BR"/>
        </w:rPr>
        <w:t xml:space="preserve"> </w:t>
      </w:r>
      <w:r w:rsidR="00990B37">
        <w:rPr>
          <w:lang w:eastAsia="pt-BR"/>
        </w:rPr>
        <w:t xml:space="preserve">valores para </w:t>
      </w:r>
      <w:r w:rsidR="00082B94">
        <w:rPr>
          <w:lang w:eastAsia="pt-BR"/>
        </w:rPr>
        <w:t xml:space="preserve">realização de </w:t>
      </w:r>
      <w:r w:rsidR="00990B37">
        <w:rPr>
          <w:lang w:eastAsia="pt-BR"/>
        </w:rPr>
        <w:t xml:space="preserve">perícias, também </w:t>
      </w:r>
      <w:r w:rsidR="003F7F19">
        <w:rPr>
          <w:lang w:eastAsia="pt-BR"/>
        </w:rPr>
        <w:t>desnecessária para o</w:t>
      </w:r>
      <w:r w:rsidR="00990B37">
        <w:rPr>
          <w:lang w:eastAsia="pt-BR"/>
        </w:rPr>
        <w:t xml:space="preserve"> Campus</w:t>
      </w:r>
      <w:r w:rsidR="003F7F19">
        <w:rPr>
          <w:lang w:eastAsia="pt-BR"/>
        </w:rPr>
        <w:t xml:space="preserve"> Viamão</w:t>
      </w:r>
      <w:r w:rsidR="00990B37">
        <w:rPr>
          <w:lang w:eastAsia="pt-BR"/>
        </w:rPr>
        <w:t xml:space="preserve"> em 2016.</w:t>
      </w:r>
    </w:p>
    <w:p w:rsidR="00415AEA" w:rsidRDefault="00415AEA" w:rsidP="00415AEA">
      <w:pPr>
        <w:pStyle w:val="PargrafodaLista"/>
        <w:ind w:left="1080"/>
      </w:pPr>
    </w:p>
    <w:p w:rsidR="005F5270" w:rsidRPr="00B74B2F" w:rsidRDefault="005F5270" w:rsidP="005F5270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>Alterações no planejamento</w:t>
      </w:r>
    </w:p>
    <w:p w:rsidR="00894797" w:rsidRDefault="00A7481F" w:rsidP="00CF175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CF175D" w:rsidRDefault="00894797" w:rsidP="00B74B2F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F175D" w:rsidRPr="00AA2C7F">
        <w:rPr>
          <w:rFonts w:eastAsiaTheme="minorHAnsi"/>
          <w:lang w:eastAsia="en-US"/>
        </w:rPr>
        <w:t>A</w:t>
      </w:r>
      <w:r w:rsidR="00A468A7">
        <w:rPr>
          <w:rFonts w:eastAsiaTheme="minorHAnsi"/>
          <w:lang w:eastAsia="en-US"/>
        </w:rPr>
        <w:t xml:space="preserve">lgumas </w:t>
      </w:r>
      <w:r w:rsidR="00CF175D" w:rsidRPr="00AA2C7F">
        <w:rPr>
          <w:rFonts w:eastAsiaTheme="minorHAnsi"/>
          <w:lang w:eastAsia="en-US"/>
        </w:rPr>
        <w:t xml:space="preserve">alterações </w:t>
      </w:r>
      <w:r w:rsidR="00A468A7">
        <w:rPr>
          <w:rFonts w:eastAsiaTheme="minorHAnsi"/>
          <w:lang w:eastAsia="en-US"/>
        </w:rPr>
        <w:t>promovidas em</w:t>
      </w:r>
      <w:r w:rsidR="00CF175D" w:rsidRPr="00AA2C7F">
        <w:rPr>
          <w:rFonts w:eastAsiaTheme="minorHAnsi"/>
          <w:lang w:eastAsia="en-US"/>
        </w:rPr>
        <w:t xml:space="preserve"> ações previstas no Plano de Ação 2015 </w:t>
      </w:r>
      <w:r w:rsidR="00A7481F">
        <w:rPr>
          <w:rFonts w:eastAsiaTheme="minorHAnsi"/>
          <w:lang w:eastAsia="en-US"/>
        </w:rPr>
        <w:t>foram decorrentes das medidas de contingenciamento as quais o campus foi submetido ao longo 2016</w:t>
      </w:r>
      <w:r w:rsidR="00865406">
        <w:rPr>
          <w:rFonts w:eastAsiaTheme="minorHAnsi"/>
          <w:lang w:eastAsia="en-US"/>
        </w:rPr>
        <w:t xml:space="preserve"> gerando certa morosidade, para além do que prevíamos, em nossa execução financeira.</w:t>
      </w:r>
    </w:p>
    <w:p w:rsidR="00CF175D" w:rsidRPr="00AA2C7F" w:rsidRDefault="00865406" w:rsidP="00B74B2F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</w:t>
      </w:r>
      <w:r w:rsidR="00522B4A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 xml:space="preserve">demora </w:t>
      </w:r>
      <w:r w:rsidR="00522B4A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 xml:space="preserve">a criação do CNPJ do Campus, </w:t>
      </w:r>
      <w:r w:rsidR="00894797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 xml:space="preserve">a </w:t>
      </w:r>
      <w:r w:rsidR="00894797">
        <w:rPr>
          <w:rFonts w:eastAsiaTheme="minorHAnsi"/>
          <w:lang w:eastAsia="en-US"/>
        </w:rPr>
        <w:t>autorização de</w:t>
      </w:r>
      <w:r>
        <w:rPr>
          <w:rFonts w:eastAsiaTheme="minorHAnsi"/>
          <w:lang w:eastAsia="en-US"/>
        </w:rPr>
        <w:t xml:space="preserve"> funci</w:t>
      </w:r>
      <w:r w:rsidR="00522B4A">
        <w:rPr>
          <w:rFonts w:eastAsiaTheme="minorHAnsi"/>
          <w:lang w:eastAsia="en-US"/>
        </w:rPr>
        <w:t>onamento</w:t>
      </w:r>
      <w:r w:rsidR="00E811B5">
        <w:rPr>
          <w:rFonts w:eastAsiaTheme="minorHAnsi"/>
          <w:lang w:eastAsia="en-US"/>
        </w:rPr>
        <w:t xml:space="preserve"> </w:t>
      </w:r>
      <w:r w:rsidR="008F3849">
        <w:rPr>
          <w:rFonts w:eastAsiaTheme="minorHAnsi"/>
          <w:lang w:eastAsia="en-US"/>
        </w:rPr>
        <w:t xml:space="preserve">pleno </w:t>
      </w:r>
      <w:r w:rsidR="00894797">
        <w:rPr>
          <w:rFonts w:eastAsiaTheme="minorHAnsi"/>
          <w:lang w:eastAsia="en-US"/>
        </w:rPr>
        <w:t>de unidades dos Institutos Federais</w:t>
      </w:r>
      <w:r>
        <w:rPr>
          <w:rFonts w:eastAsiaTheme="minorHAnsi"/>
          <w:lang w:eastAsia="en-US"/>
        </w:rPr>
        <w:t xml:space="preserve">, concretizada </w:t>
      </w:r>
      <w:r w:rsidR="00894797">
        <w:rPr>
          <w:rFonts w:eastAsiaTheme="minorHAnsi"/>
          <w:lang w:eastAsia="en-US"/>
        </w:rPr>
        <w:t>na portaria N° 378 de 09</w:t>
      </w:r>
      <w:r>
        <w:rPr>
          <w:rFonts w:eastAsiaTheme="minorHAnsi"/>
          <w:lang w:eastAsia="en-US"/>
        </w:rPr>
        <w:t xml:space="preserve">.5.2016, e </w:t>
      </w:r>
      <w:r w:rsidR="008F3849">
        <w:rPr>
          <w:rFonts w:eastAsiaTheme="minorHAnsi"/>
          <w:lang w:eastAsia="en-US"/>
        </w:rPr>
        <w:t>n</w:t>
      </w:r>
      <w:r w:rsidR="00522B4A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criação de nossa unidade gestora</w:t>
      </w:r>
      <w:r w:rsidR="00522B4A">
        <w:rPr>
          <w:rFonts w:eastAsiaTheme="minorHAnsi"/>
          <w:lang w:eastAsia="en-US"/>
        </w:rPr>
        <w:t>, efetivada somente ao final de outubro, fatores estes geradores de dependência a outras unidades do IFRS, foram elementos importantes nas alterações de prazos previstos originalmente no Plano de Ação</w:t>
      </w:r>
      <w:r w:rsidR="00894797">
        <w:rPr>
          <w:rFonts w:eastAsiaTheme="minorHAnsi"/>
          <w:lang w:eastAsia="en-US"/>
        </w:rPr>
        <w:t xml:space="preserve">, bem como o ingresso gradativo de </w:t>
      </w:r>
      <w:r w:rsidR="00CF175D" w:rsidRPr="00AA2C7F">
        <w:rPr>
          <w:rFonts w:eastAsiaTheme="minorHAnsi"/>
          <w:lang w:eastAsia="en-US"/>
        </w:rPr>
        <w:t>pessoal para a execução</w:t>
      </w:r>
      <w:r w:rsidR="00894797">
        <w:rPr>
          <w:rFonts w:eastAsiaTheme="minorHAnsi"/>
          <w:lang w:eastAsia="en-US"/>
        </w:rPr>
        <w:t xml:space="preserve"> </w:t>
      </w:r>
      <w:r w:rsidR="00CF175D" w:rsidRPr="00AA2C7F">
        <w:rPr>
          <w:rFonts w:eastAsiaTheme="minorHAnsi"/>
          <w:lang w:eastAsia="en-US"/>
        </w:rPr>
        <w:t>das atividades previstas</w:t>
      </w:r>
      <w:r w:rsidR="008F3849">
        <w:rPr>
          <w:rFonts w:eastAsiaTheme="minorHAnsi"/>
          <w:lang w:eastAsia="en-US"/>
        </w:rPr>
        <w:t xml:space="preserve"> também concorreu para algumas alterações</w:t>
      </w:r>
      <w:r w:rsidR="00CF175D" w:rsidRPr="00AA2C7F">
        <w:rPr>
          <w:rFonts w:eastAsiaTheme="minorHAnsi"/>
          <w:lang w:eastAsia="en-US"/>
        </w:rPr>
        <w:t>.</w:t>
      </w:r>
    </w:p>
    <w:p w:rsidR="003F7F19" w:rsidRDefault="003F7F19" w:rsidP="003F7F19"/>
    <w:p w:rsidR="00415AEA" w:rsidRDefault="003F7F19" w:rsidP="00B74B2F">
      <w:r>
        <w:t xml:space="preserve">     </w:t>
      </w:r>
    </w:p>
    <w:p w:rsidR="00804B35" w:rsidRPr="00B74B2F" w:rsidRDefault="005F5270" w:rsidP="00804B35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>Aprendizados adqu</w:t>
      </w:r>
      <w:r w:rsidR="00804B35" w:rsidRPr="00B74B2F">
        <w:rPr>
          <w:b/>
        </w:rPr>
        <w:t>iridos e superações conquistadas</w:t>
      </w:r>
    </w:p>
    <w:p w:rsidR="00804B35" w:rsidRDefault="00804B35" w:rsidP="00804B35">
      <w:pPr>
        <w:pStyle w:val="PargrafodaLista"/>
        <w:ind w:left="1080"/>
      </w:pPr>
    </w:p>
    <w:p w:rsidR="00F03141" w:rsidRDefault="00804B35" w:rsidP="00B74B2F">
      <w:pPr>
        <w:jc w:val="both"/>
      </w:pPr>
      <w:r>
        <w:t xml:space="preserve">     No ano de 2016, quando da elaboração do Plano de Ação para 2017, desenvolveu-se um processo de consultas e de tomada de decisões envolvendo todos os segmentos que constituem a comunidade acadêmica, fortalecendo assim uma metodologia de participação e comprometimento nas decisões que envolvem o planejamento e a gestão do Campus Viamão, </w:t>
      </w:r>
      <w:r w:rsidR="00F03141">
        <w:t xml:space="preserve">superando </w:t>
      </w:r>
      <w:r>
        <w:t>a experiência desenvolvida no período anterior,</w:t>
      </w:r>
      <w:r w:rsidR="00C70EAF">
        <w:t xml:space="preserve"> mas t</w:t>
      </w:r>
      <w:r w:rsidR="00F8149D">
        <w:t xml:space="preserve">omando-a </w:t>
      </w:r>
      <w:r w:rsidR="00C70EAF">
        <w:t>como ponto de partida.</w:t>
      </w:r>
    </w:p>
    <w:p w:rsidR="00380F19" w:rsidRDefault="00F03141" w:rsidP="00B74B2F">
      <w:pPr>
        <w:jc w:val="both"/>
      </w:pPr>
      <w:r>
        <w:lastRenderedPageBreak/>
        <w:t xml:space="preserve">     O custo da locação do imóvel, </w:t>
      </w:r>
      <w:r w:rsidR="00C70EAF">
        <w:t xml:space="preserve">alvo de questionamento pelo valor dispendido ao longo do ano, </w:t>
      </w:r>
      <w:r>
        <w:t>pelo fato de incluir as despesas de segurança, consumo de agua e manutenção de área externa</w:t>
      </w:r>
      <w:r w:rsidR="00F8149D">
        <w:t>,</w:t>
      </w:r>
      <w:r>
        <w:t xml:space="preserve"> </w:t>
      </w:r>
      <w:r w:rsidR="00C70EAF">
        <w:t xml:space="preserve">acabou por </w:t>
      </w:r>
      <w:r>
        <w:t>gera</w:t>
      </w:r>
      <w:r w:rsidR="00F8149D">
        <w:t>r</w:t>
      </w:r>
      <w:r w:rsidR="00C70EAF">
        <w:t xml:space="preserve"> u</w:t>
      </w:r>
      <w:r>
        <w:t>ma significativa redução d</w:t>
      </w:r>
      <w:r w:rsidR="00F8149D">
        <w:t>os</w:t>
      </w:r>
      <w:r>
        <w:t xml:space="preserve"> custos projetados</w:t>
      </w:r>
      <w:r w:rsidR="00C70EAF">
        <w:t>,</w:t>
      </w:r>
      <w:r>
        <w:t xml:space="preserve"> em </w:t>
      </w:r>
      <w:r w:rsidR="00C70EAF">
        <w:t>comparação</w:t>
      </w:r>
      <w:r>
        <w:t xml:space="preserve"> aos </w:t>
      </w:r>
      <w:r w:rsidR="00C70EAF">
        <w:t xml:space="preserve">custos de manutenção e conservação dos </w:t>
      </w:r>
      <w:r>
        <w:t>Campis com áreas próprias.</w:t>
      </w:r>
      <w:r w:rsidR="00380F19">
        <w:t xml:space="preserve"> </w:t>
      </w:r>
    </w:p>
    <w:p w:rsidR="00804B35" w:rsidRDefault="00380F19" w:rsidP="00B74B2F">
      <w:pPr>
        <w:jc w:val="both"/>
      </w:pPr>
      <w:r>
        <w:t xml:space="preserve">    Destaca-se ainda a necessidade de acompanhamento permanente do Plano de Ação do Campus como forma de viabilização plena do planejamento previsto.</w:t>
      </w:r>
    </w:p>
    <w:p w:rsidR="00A7481F" w:rsidRDefault="00A7481F" w:rsidP="00A7481F">
      <w:r>
        <w:t xml:space="preserve">     </w:t>
      </w:r>
    </w:p>
    <w:p w:rsidR="00415AEA" w:rsidRDefault="00415AEA" w:rsidP="00415AEA">
      <w:pPr>
        <w:pStyle w:val="PargrafodaLista"/>
        <w:ind w:left="1080"/>
      </w:pPr>
    </w:p>
    <w:p w:rsidR="00415AEA" w:rsidRPr="00B74B2F" w:rsidRDefault="00415AEA" w:rsidP="005F5270">
      <w:pPr>
        <w:pStyle w:val="PargrafodaLista"/>
        <w:numPr>
          <w:ilvl w:val="1"/>
          <w:numId w:val="2"/>
        </w:numPr>
        <w:rPr>
          <w:b/>
        </w:rPr>
      </w:pPr>
      <w:r w:rsidRPr="00B74B2F">
        <w:rPr>
          <w:b/>
        </w:rPr>
        <w:t>Quantitativos de execução das ações planejadas</w:t>
      </w:r>
    </w:p>
    <w:p w:rsidR="00B74B2F" w:rsidRDefault="00B74B2F" w:rsidP="00415AEA">
      <w:pPr>
        <w:jc w:val="center"/>
        <w:rPr>
          <w:b/>
          <w:sz w:val="20"/>
          <w:szCs w:val="20"/>
        </w:rPr>
      </w:pPr>
    </w:p>
    <w:p w:rsidR="00415AEA" w:rsidRDefault="00415AEA" w:rsidP="00415A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Quadro III – Quantitativos da execução das ações planejadas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311"/>
        <w:gridCol w:w="1368"/>
        <w:gridCol w:w="1464"/>
        <w:gridCol w:w="1560"/>
        <w:gridCol w:w="1559"/>
      </w:tblGrid>
      <w:tr w:rsidR="00415AEA" w:rsidTr="000C00A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CAMPUS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ÁREAS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Nº TOTAL (Ações Planejadas)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CONCLUÍDA(s)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INICIADA(s)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ATRASADA(s) (Postergada para 2017)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EA" w:rsidRDefault="00415AEA" w:rsidP="000C00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CANCELADA(s)</w:t>
            </w:r>
          </w:p>
        </w:tc>
        <w:bookmarkStart w:id="0" w:name="_GoBack"/>
        <w:bookmarkEnd w:id="0"/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Administração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Desenvolvimento Institucional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Ensino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Extensão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5AEA" w:rsidTr="0070529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Pesquisa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A" w:rsidRDefault="00415AE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</w:tr>
    </w:tbl>
    <w:p w:rsidR="00415AEA" w:rsidRDefault="00415AEA" w:rsidP="00415AEA">
      <w:pPr>
        <w:pStyle w:val="PargrafodaLista"/>
        <w:ind w:left="1080"/>
      </w:pPr>
    </w:p>
    <w:p w:rsidR="005F5270" w:rsidRDefault="005F5270" w:rsidP="005F5270">
      <w:pPr>
        <w:pStyle w:val="PargrafodaLista"/>
        <w:ind w:left="1080"/>
      </w:pPr>
    </w:p>
    <w:p w:rsidR="00B74B2F" w:rsidRDefault="00B74B2F">
      <w:pPr>
        <w:suppressAutoHyphens w:val="0"/>
        <w:spacing w:after="200" w:line="276" w:lineRule="auto"/>
      </w:pPr>
      <w:r>
        <w:br w:type="page"/>
      </w:r>
    </w:p>
    <w:p w:rsidR="005614F5" w:rsidRPr="00B74B2F" w:rsidRDefault="00415AEA" w:rsidP="00415AEA">
      <w:pPr>
        <w:pStyle w:val="PargrafodaLista"/>
        <w:numPr>
          <w:ilvl w:val="0"/>
          <w:numId w:val="2"/>
        </w:numPr>
        <w:rPr>
          <w:b/>
        </w:rPr>
      </w:pPr>
      <w:r w:rsidRPr="00B74B2F">
        <w:rPr>
          <w:b/>
        </w:rPr>
        <w:lastRenderedPageBreak/>
        <w:t>Conclusão</w:t>
      </w: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7543C4" w:rsidRDefault="00380F19" w:rsidP="00B74B2F">
      <w:pPr>
        <w:jc w:val="both"/>
      </w:pPr>
      <w:r>
        <w:t xml:space="preserve">     Em</w:t>
      </w:r>
      <w:r w:rsidR="007543C4">
        <w:t>bora as restrições orçamentárias impostas pelo Ministério da Educação no primeiro semestre de 2016 tenham redundado em uma execução financeira mais lenta ao longo do ano, em</w:t>
      </w:r>
      <w:r>
        <w:t xml:space="preserve"> linhas gerais, </w:t>
      </w:r>
      <w:r w:rsidR="007543C4">
        <w:t>não impedi</w:t>
      </w:r>
      <w:r w:rsidR="004B7EF3">
        <w:t>ram</w:t>
      </w:r>
      <w:r w:rsidR="007543C4">
        <w:t xml:space="preserve"> a plena execução do </w:t>
      </w:r>
      <w:r>
        <w:t>Plano de Ação 2016 do Campus Viamão</w:t>
      </w:r>
      <w:r w:rsidR="007543C4">
        <w:t xml:space="preserve">, </w:t>
      </w:r>
      <w:r w:rsidR="00630458">
        <w:t>como p</w:t>
      </w:r>
      <w:r w:rsidR="00AF370B">
        <w:t>ô</w:t>
      </w:r>
      <w:r w:rsidR="00630458">
        <w:t>de ser vislumbrado ao longo deste relatório.</w:t>
      </w:r>
      <w:r w:rsidR="004B7EF3">
        <w:t xml:space="preserve"> Como forma de exemplificação</w:t>
      </w:r>
      <w:r w:rsidR="00F03141">
        <w:t>,</w:t>
      </w:r>
      <w:r w:rsidR="004B7EF3">
        <w:t xml:space="preserve"> podemos citar as ações relacionadas </w:t>
      </w:r>
      <w:r w:rsidR="00AF370B">
        <w:t>à</w:t>
      </w:r>
      <w:r w:rsidR="004B7EF3">
        <w:t xml:space="preserve"> contratação de serviços para a edificação da sede definitiva para o Campus Viamão</w:t>
      </w:r>
      <w:r w:rsidR="001C20C0">
        <w:t xml:space="preserve">, que </w:t>
      </w:r>
      <w:r w:rsidR="004B7EF3">
        <w:t>só p</w:t>
      </w:r>
      <w:r w:rsidR="00F03141">
        <w:t>ô</w:t>
      </w:r>
      <w:r w:rsidR="001C20C0">
        <w:t>de</w:t>
      </w:r>
      <w:r w:rsidR="004B7EF3">
        <w:t xml:space="preserve"> ser</w:t>
      </w:r>
      <w:r w:rsidR="001C20C0">
        <w:t xml:space="preserve"> c</w:t>
      </w:r>
      <w:r w:rsidR="004B7EF3">
        <w:t>oncretizadas ao final do período.</w:t>
      </w:r>
    </w:p>
    <w:p w:rsidR="00380F19" w:rsidRDefault="007543C4" w:rsidP="00B74B2F">
      <w:pPr>
        <w:jc w:val="both"/>
      </w:pPr>
      <w:r>
        <w:t xml:space="preserve">     </w:t>
      </w:r>
      <w:r w:rsidR="00630458">
        <w:t xml:space="preserve">As ações relacionadas </w:t>
      </w:r>
      <w:r w:rsidR="001C20C0">
        <w:t>ao fortalecimento e a consolidação da oferta de cursos em todos os níveis e modalidades da EPT, através da m</w:t>
      </w:r>
      <w:r w:rsidR="00630458">
        <w:t xml:space="preserve">anutenção da oferta dos cursos técnicos e </w:t>
      </w:r>
      <w:r w:rsidR="001C20C0">
        <w:t>d</w:t>
      </w:r>
      <w:r w:rsidR="00630458">
        <w:t>a expansão das vagas ofertadas</w:t>
      </w:r>
      <w:r w:rsidR="0022149B">
        <w:t xml:space="preserve"> à</w:t>
      </w:r>
      <w:r w:rsidR="00630458">
        <w:t xml:space="preserve"> comunidade </w:t>
      </w:r>
      <w:r w:rsidR="00F03141">
        <w:t>v</w:t>
      </w:r>
      <w:r w:rsidR="00630458">
        <w:t xml:space="preserve">iamonense, bem como </w:t>
      </w:r>
      <w:r w:rsidR="001C20C0">
        <w:t>d</w:t>
      </w:r>
      <w:r w:rsidR="00630458">
        <w:t xml:space="preserve">a oferta de cursos de nível superior públicos e gratuitos (Tecnólogo em Processos Gerenciais e Tecnólogo em Gestão Ambiental), fato inédito na história do município de Viamão, </w:t>
      </w:r>
      <w:r>
        <w:t>foram executadas plenamente.</w:t>
      </w:r>
    </w:p>
    <w:p w:rsidR="00C21B7B" w:rsidRDefault="001C20C0" w:rsidP="00C21B7B">
      <w:pPr>
        <w:jc w:val="both"/>
      </w:pPr>
      <w:r>
        <w:t xml:space="preserve">     Da mesma forma, as ações de consolidação d</w:t>
      </w:r>
      <w:r w:rsidR="00C21B7B">
        <w:t xml:space="preserve">e um programa de </w:t>
      </w:r>
      <w:r>
        <w:t>assistência estudantil</w:t>
      </w:r>
      <w:r w:rsidR="00C21B7B">
        <w:t xml:space="preserve">, no qual foram pagos 1391 </w:t>
      </w:r>
      <w:r w:rsidR="00F03141">
        <w:t xml:space="preserve">benefícios </w:t>
      </w:r>
      <w:r w:rsidR="00C21B7B">
        <w:t>a 299 alunos</w:t>
      </w:r>
      <w:r w:rsidR="00F03141">
        <w:t xml:space="preserve"> (mais de 60% do total de alunos)</w:t>
      </w:r>
      <w:r w:rsidR="00C21B7B">
        <w:t xml:space="preserve"> ao longo de 2016, atingindo um investimento total de R$ 200.073,96 no ano</w:t>
      </w:r>
      <w:r w:rsidR="00F03141">
        <w:t xml:space="preserve"> (aproximadamente 15% do orçamento do Campus Viamão)</w:t>
      </w:r>
      <w:r w:rsidR="00AF370B">
        <w:t xml:space="preserve"> atenderam ao planejamento elaborado</w:t>
      </w:r>
      <w:r w:rsidR="00C21B7B">
        <w:t>.</w:t>
      </w:r>
    </w:p>
    <w:p w:rsidR="00F8149D" w:rsidRDefault="00F8149D" w:rsidP="00C21B7B">
      <w:pPr>
        <w:jc w:val="both"/>
        <w:rPr>
          <w:color w:val="000000" w:themeColor="text1"/>
          <w:sz w:val="20"/>
          <w:szCs w:val="20"/>
        </w:rPr>
      </w:pPr>
      <w:r>
        <w:t xml:space="preserve">     Por fim, destaca-se para além do previsto no Plano de Ação 2016 do Campus Viamão, um conjunto de atividades geradoras de </w:t>
      </w:r>
      <w:r w:rsidR="00463D0C">
        <w:t>aproximação</w:t>
      </w:r>
      <w:r>
        <w:t xml:space="preserve"> da insti</w:t>
      </w:r>
      <w:r w:rsidR="00463D0C">
        <w:t>tuição, de segmentos socialmente vulneráveis tais como indígenas</w:t>
      </w:r>
      <w:r w:rsidR="00FE30B7">
        <w:t>,</w:t>
      </w:r>
      <w:r w:rsidR="00463D0C">
        <w:t xml:space="preserve"> quilombolas</w:t>
      </w:r>
      <w:r w:rsidR="00FE30B7">
        <w:t xml:space="preserve"> e moradores de bairros populares, bem como a consolidação de parcerias com segmentos públicos e privados da estrutura </w:t>
      </w:r>
      <w:proofErr w:type="gramStart"/>
      <w:r w:rsidR="00FE30B7">
        <w:t>sócio econômica local</w:t>
      </w:r>
      <w:proofErr w:type="gramEnd"/>
      <w:r w:rsidR="00FE30B7">
        <w:t>, com destaque para a Prefeitura Municipal</w:t>
      </w:r>
      <w:r w:rsidR="0061105D">
        <w:t xml:space="preserve"> de Viamão</w:t>
      </w:r>
      <w:r w:rsidR="00FE30B7">
        <w:t>, escolas públicas estaduais</w:t>
      </w:r>
      <w:r w:rsidR="0061105D">
        <w:t xml:space="preserve"> e municipais sediadas no município e representações dos assentados da reforma agrária Filhos de Sepé.</w:t>
      </w:r>
      <w:r>
        <w:t xml:space="preserve"> </w:t>
      </w:r>
    </w:p>
    <w:p w:rsidR="001C20C0" w:rsidRDefault="001C20C0" w:rsidP="00804B35"/>
    <w:p w:rsidR="007543C4" w:rsidRDefault="007543C4" w:rsidP="00804B35">
      <w:r>
        <w:t xml:space="preserve">      </w:t>
      </w:r>
    </w:p>
    <w:p w:rsidR="00804B35" w:rsidRDefault="00804B35" w:rsidP="00804B35"/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p w:rsidR="005614F5" w:rsidRDefault="005614F5" w:rsidP="00F305D9">
      <w:pPr>
        <w:pStyle w:val="PargrafodaLista"/>
        <w:ind w:left="1080"/>
      </w:pPr>
    </w:p>
    <w:sectPr w:rsidR="005614F5" w:rsidSect="00B74B2F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74" w:rsidRDefault="00676C74" w:rsidP="00B74B2F">
      <w:r>
        <w:separator/>
      </w:r>
    </w:p>
  </w:endnote>
  <w:endnote w:type="continuationSeparator" w:id="0">
    <w:p w:rsidR="00676C74" w:rsidRDefault="00676C74" w:rsidP="00B7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74" w:rsidRDefault="00676C74" w:rsidP="00B74B2F">
      <w:r>
        <w:separator/>
      </w:r>
    </w:p>
  </w:footnote>
  <w:footnote w:type="continuationSeparator" w:id="0">
    <w:p w:rsidR="00676C74" w:rsidRDefault="00676C74" w:rsidP="00B7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61874"/>
      <w:docPartObj>
        <w:docPartGallery w:val="Page Numbers (Top of Page)"/>
        <w:docPartUnique/>
      </w:docPartObj>
    </w:sdtPr>
    <w:sdtEndPr/>
    <w:sdtContent>
      <w:p w:rsidR="00B74B2F" w:rsidRDefault="00B74B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6">
          <w:rPr>
            <w:noProof/>
          </w:rPr>
          <w:t>12</w:t>
        </w:r>
        <w:r>
          <w:fldChar w:fldCharType="end"/>
        </w:r>
      </w:p>
    </w:sdtContent>
  </w:sdt>
  <w:p w:rsidR="00B74B2F" w:rsidRDefault="00B74B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1AF"/>
    <w:multiLevelType w:val="hybridMultilevel"/>
    <w:tmpl w:val="77CC3A14"/>
    <w:lvl w:ilvl="0" w:tplc="415CB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E6B"/>
    <w:multiLevelType w:val="multilevel"/>
    <w:tmpl w:val="439E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8C"/>
    <w:rsid w:val="00014BBF"/>
    <w:rsid w:val="000311B8"/>
    <w:rsid w:val="00032DF0"/>
    <w:rsid w:val="00082B94"/>
    <w:rsid w:val="000B3F5A"/>
    <w:rsid w:val="000C00AF"/>
    <w:rsid w:val="000D0BE9"/>
    <w:rsid w:val="000D331C"/>
    <w:rsid w:val="000E7CCA"/>
    <w:rsid w:val="000F1C5D"/>
    <w:rsid w:val="000F7006"/>
    <w:rsid w:val="00121F01"/>
    <w:rsid w:val="00133C55"/>
    <w:rsid w:val="00142BF3"/>
    <w:rsid w:val="0015024C"/>
    <w:rsid w:val="00154A0E"/>
    <w:rsid w:val="001C20C0"/>
    <w:rsid w:val="0020745F"/>
    <w:rsid w:val="0022149B"/>
    <w:rsid w:val="00224F04"/>
    <w:rsid w:val="0027305B"/>
    <w:rsid w:val="002774CB"/>
    <w:rsid w:val="002A428C"/>
    <w:rsid w:val="002B2828"/>
    <w:rsid w:val="002C309F"/>
    <w:rsid w:val="002C3EA3"/>
    <w:rsid w:val="002D397F"/>
    <w:rsid w:val="002D3C78"/>
    <w:rsid w:val="00347492"/>
    <w:rsid w:val="0037711C"/>
    <w:rsid w:val="00380F19"/>
    <w:rsid w:val="00382FE1"/>
    <w:rsid w:val="003951E6"/>
    <w:rsid w:val="003F7F19"/>
    <w:rsid w:val="0041332B"/>
    <w:rsid w:val="00415AEA"/>
    <w:rsid w:val="00463D0C"/>
    <w:rsid w:val="00465F5A"/>
    <w:rsid w:val="0048133D"/>
    <w:rsid w:val="00497242"/>
    <w:rsid w:val="004B7EF3"/>
    <w:rsid w:val="00522B4A"/>
    <w:rsid w:val="0052319D"/>
    <w:rsid w:val="00541E1F"/>
    <w:rsid w:val="00543029"/>
    <w:rsid w:val="005614F5"/>
    <w:rsid w:val="005820EB"/>
    <w:rsid w:val="005F5270"/>
    <w:rsid w:val="0061105D"/>
    <w:rsid w:val="00630458"/>
    <w:rsid w:val="006366AB"/>
    <w:rsid w:val="00656899"/>
    <w:rsid w:val="00676C74"/>
    <w:rsid w:val="00677878"/>
    <w:rsid w:val="006A58FD"/>
    <w:rsid w:val="006F3F90"/>
    <w:rsid w:val="00705296"/>
    <w:rsid w:val="00746A98"/>
    <w:rsid w:val="007543C4"/>
    <w:rsid w:val="00775AD0"/>
    <w:rsid w:val="007801CB"/>
    <w:rsid w:val="00786209"/>
    <w:rsid w:val="007C6B62"/>
    <w:rsid w:val="007F1E06"/>
    <w:rsid w:val="00800AAA"/>
    <w:rsid w:val="00804B35"/>
    <w:rsid w:val="00843011"/>
    <w:rsid w:val="00865406"/>
    <w:rsid w:val="008867B0"/>
    <w:rsid w:val="00894797"/>
    <w:rsid w:val="008C5CFA"/>
    <w:rsid w:val="008C7683"/>
    <w:rsid w:val="008F3849"/>
    <w:rsid w:val="009018F7"/>
    <w:rsid w:val="00910DDE"/>
    <w:rsid w:val="009209A3"/>
    <w:rsid w:val="00990B37"/>
    <w:rsid w:val="009E3301"/>
    <w:rsid w:val="00A02FE3"/>
    <w:rsid w:val="00A468A7"/>
    <w:rsid w:val="00A60AEC"/>
    <w:rsid w:val="00A739E3"/>
    <w:rsid w:val="00A7481F"/>
    <w:rsid w:val="00AA2C7F"/>
    <w:rsid w:val="00AB22BF"/>
    <w:rsid w:val="00AD6320"/>
    <w:rsid w:val="00AE60D1"/>
    <w:rsid w:val="00AE6D2B"/>
    <w:rsid w:val="00AF370B"/>
    <w:rsid w:val="00B04072"/>
    <w:rsid w:val="00B3343B"/>
    <w:rsid w:val="00B525F7"/>
    <w:rsid w:val="00B74B2F"/>
    <w:rsid w:val="00B85190"/>
    <w:rsid w:val="00B90BFA"/>
    <w:rsid w:val="00B93E1C"/>
    <w:rsid w:val="00B95EE0"/>
    <w:rsid w:val="00B9628E"/>
    <w:rsid w:val="00BF10C5"/>
    <w:rsid w:val="00BF4160"/>
    <w:rsid w:val="00C21B7B"/>
    <w:rsid w:val="00C34A94"/>
    <w:rsid w:val="00C3771D"/>
    <w:rsid w:val="00C70EAF"/>
    <w:rsid w:val="00C84BB9"/>
    <w:rsid w:val="00CA1E39"/>
    <w:rsid w:val="00CA6D2D"/>
    <w:rsid w:val="00CE69DE"/>
    <w:rsid w:val="00CF175D"/>
    <w:rsid w:val="00CF4C7C"/>
    <w:rsid w:val="00D70069"/>
    <w:rsid w:val="00DC4069"/>
    <w:rsid w:val="00DE38CC"/>
    <w:rsid w:val="00E5498E"/>
    <w:rsid w:val="00E611C7"/>
    <w:rsid w:val="00E811B5"/>
    <w:rsid w:val="00E86E34"/>
    <w:rsid w:val="00EA3463"/>
    <w:rsid w:val="00EB05CD"/>
    <w:rsid w:val="00EC1BBB"/>
    <w:rsid w:val="00EF6726"/>
    <w:rsid w:val="00F03141"/>
    <w:rsid w:val="00F168CC"/>
    <w:rsid w:val="00F305D9"/>
    <w:rsid w:val="00F35BBA"/>
    <w:rsid w:val="00F402E6"/>
    <w:rsid w:val="00F8149D"/>
    <w:rsid w:val="00FB2021"/>
    <w:rsid w:val="00FB23E1"/>
    <w:rsid w:val="00FB7D03"/>
    <w:rsid w:val="00FD46D6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8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305D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56899"/>
  </w:style>
  <w:style w:type="paragraph" w:styleId="Cabealho">
    <w:name w:val="header"/>
    <w:basedOn w:val="Normal"/>
    <w:link w:val="CabealhoChar"/>
    <w:uiPriority w:val="99"/>
    <w:unhideWhenUsed/>
    <w:rsid w:val="00B74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74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B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8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305D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56899"/>
  </w:style>
  <w:style w:type="paragraph" w:styleId="Cabealho">
    <w:name w:val="header"/>
    <w:basedOn w:val="Normal"/>
    <w:link w:val="CabealhoChar"/>
    <w:uiPriority w:val="99"/>
    <w:unhideWhenUsed/>
    <w:rsid w:val="00B74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74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B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4134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..</cp:lastModifiedBy>
  <cp:revision>3</cp:revision>
  <dcterms:created xsi:type="dcterms:W3CDTF">2016-12-22T12:36:00Z</dcterms:created>
  <dcterms:modified xsi:type="dcterms:W3CDTF">2016-12-22T12:37:00Z</dcterms:modified>
</cp:coreProperties>
</file>