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2DDF" w:rsidRDefault="001A5369">
      <w:pPr>
        <w:spacing w:after="0" w:line="240" w:lineRule="auto"/>
        <w:jc w:val="center"/>
      </w:pPr>
      <w:bookmarkStart w:id="0" w:name="_GoBack"/>
      <w:bookmarkEnd w:id="0"/>
      <w:r>
        <w:rPr>
          <w:noProof/>
        </w:rPr>
        <w:drawing>
          <wp:inline distT="114300" distB="114300" distL="114300" distR="114300">
            <wp:extent cx="2588542" cy="86645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588542" cy="866458"/>
                    </a:xfrm>
                    <a:prstGeom prst="rect">
                      <a:avLst/>
                    </a:prstGeom>
                    <a:ln/>
                  </pic:spPr>
                </pic:pic>
              </a:graphicData>
            </a:graphic>
          </wp:inline>
        </w:drawing>
      </w:r>
    </w:p>
    <w:p w:rsidR="00202DDF" w:rsidRPr="00C81F73" w:rsidRDefault="001A5369">
      <w:pPr>
        <w:spacing w:after="0" w:line="240" w:lineRule="auto"/>
        <w:jc w:val="center"/>
        <w:rPr>
          <w:sz w:val="24"/>
          <w:szCs w:val="24"/>
        </w:rPr>
      </w:pPr>
      <w:r w:rsidRPr="00C81F73">
        <w:rPr>
          <w:rFonts w:ascii="Times New Roman" w:eastAsia="Times New Roman" w:hAnsi="Times New Roman" w:cs="Times New Roman"/>
          <w:b/>
          <w:sz w:val="24"/>
          <w:szCs w:val="24"/>
        </w:rPr>
        <w:t>MINISTÉRIO DA EDUCAÇÃO</w:t>
      </w:r>
    </w:p>
    <w:p w:rsidR="00202DDF" w:rsidRPr="00C81F73" w:rsidRDefault="001A5369">
      <w:pPr>
        <w:spacing w:after="0" w:line="240" w:lineRule="auto"/>
        <w:jc w:val="center"/>
        <w:rPr>
          <w:sz w:val="24"/>
          <w:szCs w:val="24"/>
        </w:rPr>
      </w:pPr>
      <w:r w:rsidRPr="00C81F73">
        <w:rPr>
          <w:rFonts w:ascii="Times New Roman" w:eastAsia="Times New Roman" w:hAnsi="Times New Roman" w:cs="Times New Roman"/>
          <w:sz w:val="24"/>
          <w:szCs w:val="24"/>
        </w:rPr>
        <w:t>SECRETARIA DE EDUCAÇÃO PROFISSIONAL E TECNOLÓGICA</w:t>
      </w:r>
    </w:p>
    <w:p w:rsidR="00202DDF" w:rsidRPr="00C81F73" w:rsidRDefault="001A5369">
      <w:pPr>
        <w:spacing w:after="0" w:line="240" w:lineRule="auto"/>
        <w:jc w:val="center"/>
        <w:rPr>
          <w:sz w:val="24"/>
          <w:szCs w:val="24"/>
        </w:rPr>
      </w:pPr>
      <w:r w:rsidRPr="00C81F73">
        <w:rPr>
          <w:rFonts w:ascii="Times New Roman" w:eastAsia="Times New Roman" w:hAnsi="Times New Roman" w:cs="Times New Roman"/>
          <w:sz w:val="24"/>
          <w:szCs w:val="24"/>
        </w:rPr>
        <w:t>INSTITUTO FEDERAL DE EDUCAÇÃO, CIÊNCIA E TECNOLOGIA DO RIO GRANDE DO SUL CAMPUS RIO GRANDE</w:t>
      </w: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1A5369">
      <w:pPr>
        <w:spacing w:after="0" w:line="240" w:lineRule="auto"/>
        <w:jc w:val="center"/>
      </w:pPr>
      <w:r>
        <w:rPr>
          <w:rFonts w:ascii="Times New Roman" w:eastAsia="Times New Roman" w:hAnsi="Times New Roman" w:cs="Times New Roman"/>
          <w:b/>
          <w:sz w:val="24"/>
          <w:szCs w:val="24"/>
        </w:rPr>
        <w:t>RELATÓRIO DE AÇÃO E RESULTADOS 2016</w:t>
      </w: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202DDF">
      <w:pPr>
        <w:spacing w:after="0" w:line="240" w:lineRule="auto"/>
        <w:jc w:val="center"/>
      </w:pPr>
    </w:p>
    <w:p w:rsidR="00202DDF" w:rsidRDefault="001A5369">
      <w:pPr>
        <w:spacing w:after="0" w:line="240" w:lineRule="auto"/>
        <w:jc w:val="center"/>
      </w:pPr>
      <w:r>
        <w:rPr>
          <w:rFonts w:ascii="Times New Roman" w:eastAsia="Times New Roman" w:hAnsi="Times New Roman" w:cs="Times New Roman"/>
          <w:sz w:val="24"/>
          <w:szCs w:val="24"/>
        </w:rPr>
        <w:t>Rio Grande, 2</w:t>
      </w:r>
      <w:r w:rsidR="00B60A8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de dezembro de 2016.</w:t>
      </w:r>
    </w:p>
    <w:p w:rsidR="00202DDF" w:rsidRDefault="00202DDF">
      <w:pPr>
        <w:keepNext/>
        <w:keepLines/>
        <w:spacing w:after="0" w:line="240" w:lineRule="auto"/>
        <w:jc w:val="both"/>
      </w:pPr>
    </w:p>
    <w:p w:rsidR="00202DDF" w:rsidRDefault="001A5369">
      <w:pPr>
        <w:keepNext/>
        <w:keepLines/>
        <w:spacing w:after="0" w:line="240" w:lineRule="auto"/>
        <w:jc w:val="center"/>
      </w:pPr>
      <w:r>
        <w:rPr>
          <w:rFonts w:ascii="Times New Roman" w:eastAsia="Times New Roman" w:hAnsi="Times New Roman" w:cs="Times New Roman"/>
          <w:b/>
          <w:sz w:val="24"/>
          <w:szCs w:val="24"/>
        </w:rPr>
        <w:t>Sumário</w:t>
      </w:r>
    </w:p>
    <w:p w:rsidR="00202DDF" w:rsidRDefault="00202DDF"/>
    <w:sdt>
      <w:sdtPr>
        <w:rPr>
          <w:rFonts w:ascii="Calibri" w:eastAsia="Calibri" w:hAnsi="Calibri" w:cs="Calibri"/>
          <w:b w:val="0"/>
          <w:bCs w:val="0"/>
          <w:color w:val="000000"/>
          <w:sz w:val="22"/>
          <w:szCs w:val="22"/>
        </w:rPr>
        <w:id w:val="450450424"/>
        <w:docPartObj>
          <w:docPartGallery w:val="Table of Contents"/>
          <w:docPartUnique/>
        </w:docPartObj>
      </w:sdtPr>
      <w:sdtEndPr/>
      <w:sdtContent>
        <w:p w:rsidR="00C81F73" w:rsidRDefault="00C81F73">
          <w:pPr>
            <w:pStyle w:val="CabealhodoSumrio"/>
          </w:pPr>
        </w:p>
        <w:p w:rsidR="00C81F73" w:rsidRPr="00C81F73" w:rsidRDefault="00C81F73">
          <w:pPr>
            <w:pStyle w:val="Sumrio1"/>
            <w:tabs>
              <w:tab w:val="left" w:pos="440"/>
              <w:tab w:val="right" w:leader="dot" w:pos="9627"/>
            </w:tabs>
            <w:rPr>
              <w:rFonts w:ascii="Times New Roman" w:hAnsi="Times New Roman" w:cs="Times New Roman"/>
              <w:noProof/>
              <w:sz w:val="24"/>
              <w:szCs w:val="24"/>
            </w:rPr>
          </w:pPr>
          <w:r>
            <w:fldChar w:fldCharType="begin"/>
          </w:r>
          <w:r>
            <w:instrText xml:space="preserve"> TOC \o "1-3" \h \z \u </w:instrText>
          </w:r>
          <w:r>
            <w:fldChar w:fldCharType="separate"/>
          </w:r>
          <w:hyperlink w:anchor="_Toc470771594" w:history="1">
            <w:r w:rsidRPr="00C81F73">
              <w:rPr>
                <w:rStyle w:val="Hyperlink"/>
                <w:rFonts w:ascii="Times New Roman" w:hAnsi="Times New Roman" w:cs="Times New Roman"/>
                <w:noProof/>
                <w:sz w:val="24"/>
                <w:szCs w:val="24"/>
              </w:rPr>
              <w:t>1.</w:t>
            </w:r>
            <w:r w:rsidRPr="00C81F73">
              <w:rPr>
                <w:rFonts w:ascii="Times New Roman" w:hAnsi="Times New Roman" w:cs="Times New Roman"/>
                <w:noProof/>
                <w:sz w:val="24"/>
                <w:szCs w:val="24"/>
              </w:rPr>
              <w:tab/>
            </w:r>
            <w:r w:rsidRPr="00C81F73">
              <w:rPr>
                <w:rStyle w:val="Hyperlink"/>
                <w:rFonts w:ascii="Times New Roman" w:hAnsi="Times New Roman" w:cs="Times New Roman"/>
                <w:noProof/>
                <w:sz w:val="24"/>
                <w:szCs w:val="24"/>
              </w:rPr>
              <w:t>Introdução</w:t>
            </w:r>
            <w:r w:rsidRPr="00C81F73">
              <w:rPr>
                <w:rFonts w:ascii="Times New Roman" w:hAnsi="Times New Roman" w:cs="Times New Roman"/>
                <w:noProof/>
                <w:webHidden/>
                <w:sz w:val="24"/>
                <w:szCs w:val="24"/>
              </w:rPr>
              <w:tab/>
            </w:r>
            <w:r w:rsidRPr="00C81F73">
              <w:rPr>
                <w:rFonts w:ascii="Times New Roman" w:hAnsi="Times New Roman" w:cs="Times New Roman"/>
                <w:noProof/>
                <w:webHidden/>
                <w:sz w:val="24"/>
                <w:szCs w:val="24"/>
              </w:rPr>
              <w:fldChar w:fldCharType="begin"/>
            </w:r>
            <w:r w:rsidRPr="00C81F73">
              <w:rPr>
                <w:rFonts w:ascii="Times New Roman" w:hAnsi="Times New Roman" w:cs="Times New Roman"/>
                <w:noProof/>
                <w:webHidden/>
                <w:sz w:val="24"/>
                <w:szCs w:val="24"/>
              </w:rPr>
              <w:instrText xml:space="preserve"> PAGEREF _Toc470771594 \h </w:instrText>
            </w:r>
            <w:r w:rsidRPr="00C81F73">
              <w:rPr>
                <w:rFonts w:ascii="Times New Roman" w:hAnsi="Times New Roman" w:cs="Times New Roman"/>
                <w:noProof/>
                <w:webHidden/>
                <w:sz w:val="24"/>
                <w:szCs w:val="24"/>
              </w:rPr>
            </w:r>
            <w:r w:rsidRPr="00C81F73">
              <w:rPr>
                <w:rFonts w:ascii="Times New Roman" w:hAnsi="Times New Roman" w:cs="Times New Roman"/>
                <w:noProof/>
                <w:webHidden/>
                <w:sz w:val="24"/>
                <w:szCs w:val="24"/>
              </w:rPr>
              <w:fldChar w:fldCharType="separate"/>
            </w:r>
            <w:r w:rsidR="00727927">
              <w:rPr>
                <w:rFonts w:ascii="Times New Roman" w:hAnsi="Times New Roman" w:cs="Times New Roman"/>
                <w:noProof/>
                <w:webHidden/>
                <w:sz w:val="24"/>
                <w:szCs w:val="24"/>
              </w:rPr>
              <w:t>3</w:t>
            </w:r>
            <w:r w:rsidRPr="00C81F73">
              <w:rPr>
                <w:rFonts w:ascii="Times New Roman" w:hAnsi="Times New Roman" w:cs="Times New Roman"/>
                <w:noProof/>
                <w:webHidden/>
                <w:sz w:val="24"/>
                <w:szCs w:val="24"/>
              </w:rPr>
              <w:fldChar w:fldCharType="end"/>
            </w:r>
          </w:hyperlink>
        </w:p>
        <w:p w:rsidR="00C81F73" w:rsidRPr="00C81F73" w:rsidRDefault="00375036">
          <w:pPr>
            <w:pStyle w:val="Sumrio1"/>
            <w:tabs>
              <w:tab w:val="left" w:pos="440"/>
              <w:tab w:val="right" w:leader="dot" w:pos="9627"/>
            </w:tabs>
            <w:rPr>
              <w:rFonts w:ascii="Times New Roman" w:hAnsi="Times New Roman" w:cs="Times New Roman"/>
              <w:noProof/>
              <w:sz w:val="24"/>
              <w:szCs w:val="24"/>
            </w:rPr>
          </w:pPr>
          <w:hyperlink w:anchor="_Toc470771595" w:history="1">
            <w:r w:rsidR="00C81F73" w:rsidRPr="00C81F73">
              <w:rPr>
                <w:rStyle w:val="Hyperlink"/>
                <w:rFonts w:ascii="Times New Roman" w:hAnsi="Times New Roman" w:cs="Times New Roman"/>
                <w:noProof/>
                <w:sz w:val="24"/>
                <w:szCs w:val="24"/>
              </w:rPr>
              <w:t>2.</w:t>
            </w:r>
            <w:r w:rsidR="00C81F73" w:rsidRPr="00C81F73">
              <w:rPr>
                <w:rFonts w:ascii="Times New Roman" w:hAnsi="Times New Roman" w:cs="Times New Roman"/>
                <w:noProof/>
                <w:sz w:val="24"/>
                <w:szCs w:val="24"/>
              </w:rPr>
              <w:tab/>
            </w:r>
            <w:r w:rsidR="00C81F73" w:rsidRPr="00C81F73">
              <w:rPr>
                <w:rStyle w:val="Hyperlink"/>
                <w:rFonts w:ascii="Times New Roman" w:hAnsi="Times New Roman" w:cs="Times New Roman"/>
                <w:noProof/>
                <w:sz w:val="24"/>
                <w:szCs w:val="24"/>
              </w:rPr>
              <w:t>Ações e Resultados – Exercício 2016</w:t>
            </w:r>
            <w:r w:rsidR="00C81F73" w:rsidRPr="00C81F73">
              <w:rPr>
                <w:rFonts w:ascii="Times New Roman" w:hAnsi="Times New Roman" w:cs="Times New Roman"/>
                <w:noProof/>
                <w:webHidden/>
                <w:sz w:val="24"/>
                <w:szCs w:val="24"/>
              </w:rPr>
              <w:tab/>
            </w:r>
            <w:r w:rsidR="00C81F73" w:rsidRPr="00C81F73">
              <w:rPr>
                <w:rFonts w:ascii="Times New Roman" w:hAnsi="Times New Roman" w:cs="Times New Roman"/>
                <w:noProof/>
                <w:webHidden/>
                <w:sz w:val="24"/>
                <w:szCs w:val="24"/>
              </w:rPr>
              <w:fldChar w:fldCharType="begin"/>
            </w:r>
            <w:r w:rsidR="00C81F73" w:rsidRPr="00C81F73">
              <w:rPr>
                <w:rFonts w:ascii="Times New Roman" w:hAnsi="Times New Roman" w:cs="Times New Roman"/>
                <w:noProof/>
                <w:webHidden/>
                <w:sz w:val="24"/>
                <w:szCs w:val="24"/>
              </w:rPr>
              <w:instrText xml:space="preserve"> PAGEREF _Toc470771595 \h </w:instrText>
            </w:r>
            <w:r w:rsidR="00C81F73" w:rsidRPr="00C81F73">
              <w:rPr>
                <w:rFonts w:ascii="Times New Roman" w:hAnsi="Times New Roman" w:cs="Times New Roman"/>
                <w:noProof/>
                <w:webHidden/>
                <w:sz w:val="24"/>
                <w:szCs w:val="24"/>
              </w:rPr>
            </w:r>
            <w:r w:rsidR="00C81F73" w:rsidRPr="00C81F73">
              <w:rPr>
                <w:rFonts w:ascii="Times New Roman" w:hAnsi="Times New Roman" w:cs="Times New Roman"/>
                <w:noProof/>
                <w:webHidden/>
                <w:sz w:val="24"/>
                <w:szCs w:val="24"/>
              </w:rPr>
              <w:fldChar w:fldCharType="separate"/>
            </w:r>
            <w:r w:rsidR="00727927">
              <w:rPr>
                <w:rFonts w:ascii="Times New Roman" w:hAnsi="Times New Roman" w:cs="Times New Roman"/>
                <w:noProof/>
                <w:webHidden/>
                <w:sz w:val="24"/>
                <w:szCs w:val="24"/>
              </w:rPr>
              <w:t>5</w:t>
            </w:r>
            <w:r w:rsidR="00C81F73" w:rsidRPr="00C81F73">
              <w:rPr>
                <w:rFonts w:ascii="Times New Roman" w:hAnsi="Times New Roman" w:cs="Times New Roman"/>
                <w:noProof/>
                <w:webHidden/>
                <w:sz w:val="24"/>
                <w:szCs w:val="24"/>
              </w:rPr>
              <w:fldChar w:fldCharType="end"/>
            </w:r>
          </w:hyperlink>
        </w:p>
        <w:p w:rsidR="00C81F73" w:rsidRPr="00C81F73" w:rsidRDefault="00375036">
          <w:pPr>
            <w:pStyle w:val="Sumrio1"/>
            <w:tabs>
              <w:tab w:val="left" w:pos="660"/>
              <w:tab w:val="right" w:leader="dot" w:pos="9627"/>
            </w:tabs>
            <w:rPr>
              <w:rFonts w:ascii="Times New Roman" w:hAnsi="Times New Roman" w:cs="Times New Roman"/>
              <w:noProof/>
              <w:sz w:val="24"/>
              <w:szCs w:val="24"/>
            </w:rPr>
          </w:pPr>
          <w:hyperlink w:anchor="_Toc470771596" w:history="1">
            <w:r w:rsidR="00C81F73" w:rsidRPr="00C81F73">
              <w:rPr>
                <w:rStyle w:val="Hyperlink"/>
                <w:rFonts w:ascii="Times New Roman" w:hAnsi="Times New Roman" w:cs="Times New Roman"/>
                <w:noProof/>
                <w:sz w:val="24"/>
                <w:szCs w:val="24"/>
              </w:rPr>
              <w:t>2.1.</w:t>
            </w:r>
            <w:r w:rsidR="00C81F73" w:rsidRPr="00C81F73">
              <w:rPr>
                <w:rFonts w:ascii="Times New Roman" w:hAnsi="Times New Roman" w:cs="Times New Roman"/>
                <w:noProof/>
                <w:sz w:val="24"/>
                <w:szCs w:val="24"/>
              </w:rPr>
              <w:tab/>
            </w:r>
            <w:r w:rsidR="00C81F73" w:rsidRPr="00C81F73">
              <w:rPr>
                <w:rStyle w:val="Hyperlink"/>
                <w:rFonts w:ascii="Times New Roman" w:hAnsi="Times New Roman" w:cs="Times New Roman"/>
                <w:noProof/>
                <w:sz w:val="24"/>
                <w:szCs w:val="24"/>
              </w:rPr>
              <w:t>Principais ações realizadas</w:t>
            </w:r>
            <w:r w:rsidR="00C81F73" w:rsidRPr="00C81F73">
              <w:rPr>
                <w:rFonts w:ascii="Times New Roman" w:hAnsi="Times New Roman" w:cs="Times New Roman"/>
                <w:noProof/>
                <w:webHidden/>
                <w:sz w:val="24"/>
                <w:szCs w:val="24"/>
              </w:rPr>
              <w:tab/>
            </w:r>
            <w:r w:rsidR="00C81F73" w:rsidRPr="00C81F73">
              <w:rPr>
                <w:rFonts w:ascii="Times New Roman" w:hAnsi="Times New Roman" w:cs="Times New Roman"/>
                <w:noProof/>
                <w:webHidden/>
                <w:sz w:val="24"/>
                <w:szCs w:val="24"/>
              </w:rPr>
              <w:fldChar w:fldCharType="begin"/>
            </w:r>
            <w:r w:rsidR="00C81F73" w:rsidRPr="00C81F73">
              <w:rPr>
                <w:rFonts w:ascii="Times New Roman" w:hAnsi="Times New Roman" w:cs="Times New Roman"/>
                <w:noProof/>
                <w:webHidden/>
                <w:sz w:val="24"/>
                <w:szCs w:val="24"/>
              </w:rPr>
              <w:instrText xml:space="preserve"> PAGEREF _Toc470771596 \h </w:instrText>
            </w:r>
            <w:r w:rsidR="00C81F73" w:rsidRPr="00C81F73">
              <w:rPr>
                <w:rFonts w:ascii="Times New Roman" w:hAnsi="Times New Roman" w:cs="Times New Roman"/>
                <w:noProof/>
                <w:webHidden/>
                <w:sz w:val="24"/>
                <w:szCs w:val="24"/>
              </w:rPr>
            </w:r>
            <w:r w:rsidR="00C81F73" w:rsidRPr="00C81F73">
              <w:rPr>
                <w:rFonts w:ascii="Times New Roman" w:hAnsi="Times New Roman" w:cs="Times New Roman"/>
                <w:noProof/>
                <w:webHidden/>
                <w:sz w:val="24"/>
                <w:szCs w:val="24"/>
              </w:rPr>
              <w:fldChar w:fldCharType="separate"/>
            </w:r>
            <w:r w:rsidR="00727927">
              <w:rPr>
                <w:rFonts w:ascii="Times New Roman" w:hAnsi="Times New Roman" w:cs="Times New Roman"/>
                <w:noProof/>
                <w:webHidden/>
                <w:sz w:val="24"/>
                <w:szCs w:val="24"/>
              </w:rPr>
              <w:t>5</w:t>
            </w:r>
            <w:r w:rsidR="00C81F73" w:rsidRPr="00C81F73">
              <w:rPr>
                <w:rFonts w:ascii="Times New Roman" w:hAnsi="Times New Roman" w:cs="Times New Roman"/>
                <w:noProof/>
                <w:webHidden/>
                <w:sz w:val="24"/>
                <w:szCs w:val="24"/>
              </w:rPr>
              <w:fldChar w:fldCharType="end"/>
            </w:r>
          </w:hyperlink>
        </w:p>
        <w:p w:rsidR="00C81F73" w:rsidRPr="00C81F73" w:rsidRDefault="00375036">
          <w:pPr>
            <w:pStyle w:val="Sumrio1"/>
            <w:tabs>
              <w:tab w:val="left" w:pos="660"/>
              <w:tab w:val="right" w:leader="dot" w:pos="9627"/>
            </w:tabs>
            <w:rPr>
              <w:rFonts w:ascii="Times New Roman" w:hAnsi="Times New Roman" w:cs="Times New Roman"/>
              <w:noProof/>
              <w:sz w:val="24"/>
              <w:szCs w:val="24"/>
            </w:rPr>
          </w:pPr>
          <w:hyperlink w:anchor="_Toc470771597" w:history="1">
            <w:r w:rsidR="00C81F73" w:rsidRPr="00C81F73">
              <w:rPr>
                <w:rStyle w:val="Hyperlink"/>
                <w:rFonts w:ascii="Times New Roman" w:hAnsi="Times New Roman" w:cs="Times New Roman"/>
                <w:noProof/>
                <w:sz w:val="24"/>
                <w:szCs w:val="24"/>
              </w:rPr>
              <w:t>2.2.</w:t>
            </w:r>
            <w:r w:rsidR="00C81F73" w:rsidRPr="00C81F73">
              <w:rPr>
                <w:rFonts w:ascii="Times New Roman" w:hAnsi="Times New Roman" w:cs="Times New Roman"/>
                <w:noProof/>
                <w:sz w:val="24"/>
                <w:szCs w:val="24"/>
              </w:rPr>
              <w:tab/>
            </w:r>
            <w:r w:rsidR="00C81F73" w:rsidRPr="00C81F73">
              <w:rPr>
                <w:rStyle w:val="Hyperlink"/>
                <w:rFonts w:ascii="Times New Roman" w:hAnsi="Times New Roman" w:cs="Times New Roman"/>
                <w:noProof/>
                <w:sz w:val="24"/>
                <w:szCs w:val="24"/>
              </w:rPr>
              <w:t>Principais resultados alcançados</w:t>
            </w:r>
            <w:r w:rsidR="00C81F73" w:rsidRPr="00C81F73">
              <w:rPr>
                <w:rFonts w:ascii="Times New Roman" w:hAnsi="Times New Roman" w:cs="Times New Roman"/>
                <w:noProof/>
                <w:webHidden/>
                <w:sz w:val="24"/>
                <w:szCs w:val="24"/>
              </w:rPr>
              <w:tab/>
            </w:r>
            <w:r w:rsidR="00C81F73" w:rsidRPr="00C81F73">
              <w:rPr>
                <w:rFonts w:ascii="Times New Roman" w:hAnsi="Times New Roman" w:cs="Times New Roman"/>
                <w:noProof/>
                <w:webHidden/>
                <w:sz w:val="24"/>
                <w:szCs w:val="24"/>
              </w:rPr>
              <w:fldChar w:fldCharType="begin"/>
            </w:r>
            <w:r w:rsidR="00C81F73" w:rsidRPr="00C81F73">
              <w:rPr>
                <w:rFonts w:ascii="Times New Roman" w:hAnsi="Times New Roman" w:cs="Times New Roman"/>
                <w:noProof/>
                <w:webHidden/>
                <w:sz w:val="24"/>
                <w:szCs w:val="24"/>
              </w:rPr>
              <w:instrText xml:space="preserve"> PAGEREF _Toc470771597 \h </w:instrText>
            </w:r>
            <w:r w:rsidR="00C81F73" w:rsidRPr="00C81F73">
              <w:rPr>
                <w:rFonts w:ascii="Times New Roman" w:hAnsi="Times New Roman" w:cs="Times New Roman"/>
                <w:noProof/>
                <w:webHidden/>
                <w:sz w:val="24"/>
                <w:szCs w:val="24"/>
              </w:rPr>
            </w:r>
            <w:r w:rsidR="00C81F73" w:rsidRPr="00C81F73">
              <w:rPr>
                <w:rFonts w:ascii="Times New Roman" w:hAnsi="Times New Roman" w:cs="Times New Roman"/>
                <w:noProof/>
                <w:webHidden/>
                <w:sz w:val="24"/>
                <w:szCs w:val="24"/>
              </w:rPr>
              <w:fldChar w:fldCharType="separate"/>
            </w:r>
            <w:r w:rsidR="00727927">
              <w:rPr>
                <w:rFonts w:ascii="Times New Roman" w:hAnsi="Times New Roman" w:cs="Times New Roman"/>
                <w:noProof/>
                <w:webHidden/>
                <w:sz w:val="24"/>
                <w:szCs w:val="24"/>
              </w:rPr>
              <w:t>11</w:t>
            </w:r>
            <w:r w:rsidR="00C81F73" w:rsidRPr="00C81F73">
              <w:rPr>
                <w:rFonts w:ascii="Times New Roman" w:hAnsi="Times New Roman" w:cs="Times New Roman"/>
                <w:noProof/>
                <w:webHidden/>
                <w:sz w:val="24"/>
                <w:szCs w:val="24"/>
              </w:rPr>
              <w:fldChar w:fldCharType="end"/>
            </w:r>
          </w:hyperlink>
        </w:p>
        <w:p w:rsidR="00C81F73" w:rsidRPr="00C81F73" w:rsidRDefault="00375036">
          <w:pPr>
            <w:pStyle w:val="Sumrio1"/>
            <w:tabs>
              <w:tab w:val="left" w:pos="660"/>
              <w:tab w:val="right" w:leader="dot" w:pos="9627"/>
            </w:tabs>
            <w:rPr>
              <w:rFonts w:ascii="Times New Roman" w:hAnsi="Times New Roman" w:cs="Times New Roman"/>
              <w:noProof/>
              <w:sz w:val="24"/>
              <w:szCs w:val="24"/>
            </w:rPr>
          </w:pPr>
          <w:hyperlink w:anchor="_Toc470771598" w:history="1">
            <w:r w:rsidR="00C81F73" w:rsidRPr="00C81F73">
              <w:rPr>
                <w:rStyle w:val="Hyperlink"/>
                <w:rFonts w:ascii="Times New Roman" w:hAnsi="Times New Roman" w:cs="Times New Roman"/>
                <w:noProof/>
                <w:sz w:val="24"/>
                <w:szCs w:val="24"/>
              </w:rPr>
              <w:t>2.3.</w:t>
            </w:r>
            <w:r w:rsidR="00C81F73" w:rsidRPr="00C81F73">
              <w:rPr>
                <w:rFonts w:ascii="Times New Roman" w:hAnsi="Times New Roman" w:cs="Times New Roman"/>
                <w:noProof/>
                <w:sz w:val="24"/>
                <w:szCs w:val="24"/>
              </w:rPr>
              <w:tab/>
            </w:r>
            <w:r w:rsidR="00C81F73" w:rsidRPr="00C81F73">
              <w:rPr>
                <w:rStyle w:val="Hyperlink"/>
                <w:rFonts w:ascii="Times New Roman" w:hAnsi="Times New Roman" w:cs="Times New Roman"/>
                <w:noProof/>
                <w:sz w:val="24"/>
                <w:szCs w:val="24"/>
              </w:rPr>
              <w:t>Justificativas para não execução de ações planejadas</w:t>
            </w:r>
            <w:r w:rsidR="00C81F73" w:rsidRPr="00C81F73">
              <w:rPr>
                <w:rFonts w:ascii="Times New Roman" w:hAnsi="Times New Roman" w:cs="Times New Roman"/>
                <w:noProof/>
                <w:webHidden/>
                <w:sz w:val="24"/>
                <w:szCs w:val="24"/>
              </w:rPr>
              <w:tab/>
            </w:r>
            <w:r w:rsidR="00C81F73" w:rsidRPr="00C81F73">
              <w:rPr>
                <w:rFonts w:ascii="Times New Roman" w:hAnsi="Times New Roman" w:cs="Times New Roman"/>
                <w:noProof/>
                <w:webHidden/>
                <w:sz w:val="24"/>
                <w:szCs w:val="24"/>
              </w:rPr>
              <w:fldChar w:fldCharType="begin"/>
            </w:r>
            <w:r w:rsidR="00C81F73" w:rsidRPr="00C81F73">
              <w:rPr>
                <w:rFonts w:ascii="Times New Roman" w:hAnsi="Times New Roman" w:cs="Times New Roman"/>
                <w:noProof/>
                <w:webHidden/>
                <w:sz w:val="24"/>
                <w:szCs w:val="24"/>
              </w:rPr>
              <w:instrText xml:space="preserve"> PAGEREF _Toc470771598 \h </w:instrText>
            </w:r>
            <w:r w:rsidR="00C81F73" w:rsidRPr="00C81F73">
              <w:rPr>
                <w:rFonts w:ascii="Times New Roman" w:hAnsi="Times New Roman" w:cs="Times New Roman"/>
                <w:noProof/>
                <w:webHidden/>
                <w:sz w:val="24"/>
                <w:szCs w:val="24"/>
              </w:rPr>
            </w:r>
            <w:r w:rsidR="00C81F73" w:rsidRPr="00C81F73">
              <w:rPr>
                <w:rFonts w:ascii="Times New Roman" w:hAnsi="Times New Roman" w:cs="Times New Roman"/>
                <w:noProof/>
                <w:webHidden/>
                <w:sz w:val="24"/>
                <w:szCs w:val="24"/>
              </w:rPr>
              <w:fldChar w:fldCharType="separate"/>
            </w:r>
            <w:r w:rsidR="00727927">
              <w:rPr>
                <w:rFonts w:ascii="Times New Roman" w:hAnsi="Times New Roman" w:cs="Times New Roman"/>
                <w:noProof/>
                <w:webHidden/>
                <w:sz w:val="24"/>
                <w:szCs w:val="24"/>
              </w:rPr>
              <w:t>12</w:t>
            </w:r>
            <w:r w:rsidR="00C81F73" w:rsidRPr="00C81F73">
              <w:rPr>
                <w:rFonts w:ascii="Times New Roman" w:hAnsi="Times New Roman" w:cs="Times New Roman"/>
                <w:noProof/>
                <w:webHidden/>
                <w:sz w:val="24"/>
                <w:szCs w:val="24"/>
              </w:rPr>
              <w:fldChar w:fldCharType="end"/>
            </w:r>
          </w:hyperlink>
        </w:p>
        <w:p w:rsidR="00C81F73" w:rsidRPr="00C81F73" w:rsidRDefault="00375036">
          <w:pPr>
            <w:pStyle w:val="Sumrio1"/>
            <w:tabs>
              <w:tab w:val="left" w:pos="660"/>
              <w:tab w:val="right" w:leader="dot" w:pos="9627"/>
            </w:tabs>
            <w:rPr>
              <w:rFonts w:ascii="Times New Roman" w:hAnsi="Times New Roman" w:cs="Times New Roman"/>
              <w:noProof/>
              <w:sz w:val="24"/>
              <w:szCs w:val="24"/>
            </w:rPr>
          </w:pPr>
          <w:hyperlink w:anchor="_Toc470771599" w:history="1">
            <w:r w:rsidR="00C81F73" w:rsidRPr="00C81F73">
              <w:rPr>
                <w:rStyle w:val="Hyperlink"/>
                <w:rFonts w:ascii="Times New Roman" w:hAnsi="Times New Roman" w:cs="Times New Roman"/>
                <w:noProof/>
                <w:sz w:val="24"/>
                <w:szCs w:val="24"/>
              </w:rPr>
              <w:t>2.4.</w:t>
            </w:r>
            <w:r w:rsidR="00C81F73" w:rsidRPr="00C81F73">
              <w:rPr>
                <w:rFonts w:ascii="Times New Roman" w:hAnsi="Times New Roman" w:cs="Times New Roman"/>
                <w:noProof/>
                <w:sz w:val="24"/>
                <w:szCs w:val="24"/>
              </w:rPr>
              <w:tab/>
            </w:r>
            <w:r w:rsidR="00C81F73" w:rsidRPr="00C81F73">
              <w:rPr>
                <w:rStyle w:val="Hyperlink"/>
                <w:rFonts w:ascii="Times New Roman" w:hAnsi="Times New Roman" w:cs="Times New Roman"/>
                <w:noProof/>
                <w:sz w:val="24"/>
                <w:szCs w:val="24"/>
              </w:rPr>
              <w:t>Alterações no Planejamento</w:t>
            </w:r>
            <w:r w:rsidR="00C81F73" w:rsidRPr="00C81F73">
              <w:rPr>
                <w:rFonts w:ascii="Times New Roman" w:hAnsi="Times New Roman" w:cs="Times New Roman"/>
                <w:noProof/>
                <w:webHidden/>
                <w:sz w:val="24"/>
                <w:szCs w:val="24"/>
              </w:rPr>
              <w:tab/>
            </w:r>
            <w:r w:rsidR="00C81F73" w:rsidRPr="00C81F73">
              <w:rPr>
                <w:rFonts w:ascii="Times New Roman" w:hAnsi="Times New Roman" w:cs="Times New Roman"/>
                <w:noProof/>
                <w:webHidden/>
                <w:sz w:val="24"/>
                <w:szCs w:val="24"/>
              </w:rPr>
              <w:fldChar w:fldCharType="begin"/>
            </w:r>
            <w:r w:rsidR="00C81F73" w:rsidRPr="00C81F73">
              <w:rPr>
                <w:rFonts w:ascii="Times New Roman" w:hAnsi="Times New Roman" w:cs="Times New Roman"/>
                <w:noProof/>
                <w:webHidden/>
                <w:sz w:val="24"/>
                <w:szCs w:val="24"/>
              </w:rPr>
              <w:instrText xml:space="preserve"> PAGEREF _Toc470771599 \h </w:instrText>
            </w:r>
            <w:r w:rsidR="00C81F73" w:rsidRPr="00C81F73">
              <w:rPr>
                <w:rFonts w:ascii="Times New Roman" w:hAnsi="Times New Roman" w:cs="Times New Roman"/>
                <w:noProof/>
                <w:webHidden/>
                <w:sz w:val="24"/>
                <w:szCs w:val="24"/>
              </w:rPr>
            </w:r>
            <w:r w:rsidR="00C81F73" w:rsidRPr="00C81F73">
              <w:rPr>
                <w:rFonts w:ascii="Times New Roman" w:hAnsi="Times New Roman" w:cs="Times New Roman"/>
                <w:noProof/>
                <w:webHidden/>
                <w:sz w:val="24"/>
                <w:szCs w:val="24"/>
              </w:rPr>
              <w:fldChar w:fldCharType="separate"/>
            </w:r>
            <w:r w:rsidR="00727927">
              <w:rPr>
                <w:rFonts w:ascii="Times New Roman" w:hAnsi="Times New Roman" w:cs="Times New Roman"/>
                <w:noProof/>
                <w:webHidden/>
                <w:sz w:val="24"/>
                <w:szCs w:val="24"/>
              </w:rPr>
              <w:t>12</w:t>
            </w:r>
            <w:r w:rsidR="00C81F73" w:rsidRPr="00C81F73">
              <w:rPr>
                <w:rFonts w:ascii="Times New Roman" w:hAnsi="Times New Roman" w:cs="Times New Roman"/>
                <w:noProof/>
                <w:webHidden/>
                <w:sz w:val="24"/>
                <w:szCs w:val="24"/>
              </w:rPr>
              <w:fldChar w:fldCharType="end"/>
            </w:r>
          </w:hyperlink>
        </w:p>
        <w:p w:rsidR="00C81F73" w:rsidRPr="00C81F73" w:rsidRDefault="00375036">
          <w:pPr>
            <w:pStyle w:val="Sumrio1"/>
            <w:tabs>
              <w:tab w:val="left" w:pos="660"/>
              <w:tab w:val="right" w:leader="dot" w:pos="9627"/>
            </w:tabs>
            <w:rPr>
              <w:rFonts w:ascii="Times New Roman" w:hAnsi="Times New Roman" w:cs="Times New Roman"/>
              <w:noProof/>
              <w:sz w:val="24"/>
              <w:szCs w:val="24"/>
            </w:rPr>
          </w:pPr>
          <w:hyperlink w:anchor="_Toc470771600" w:history="1">
            <w:r w:rsidR="00C81F73" w:rsidRPr="00C81F73">
              <w:rPr>
                <w:rStyle w:val="Hyperlink"/>
                <w:rFonts w:ascii="Times New Roman" w:hAnsi="Times New Roman" w:cs="Times New Roman"/>
                <w:noProof/>
                <w:sz w:val="24"/>
                <w:szCs w:val="24"/>
              </w:rPr>
              <w:t>2.5.</w:t>
            </w:r>
            <w:r w:rsidR="00C81F73" w:rsidRPr="00C81F73">
              <w:rPr>
                <w:rFonts w:ascii="Times New Roman" w:hAnsi="Times New Roman" w:cs="Times New Roman"/>
                <w:noProof/>
                <w:sz w:val="24"/>
                <w:szCs w:val="24"/>
              </w:rPr>
              <w:tab/>
            </w:r>
            <w:r w:rsidR="00C81F73" w:rsidRPr="00C81F73">
              <w:rPr>
                <w:rStyle w:val="Hyperlink"/>
                <w:rFonts w:ascii="Times New Roman" w:hAnsi="Times New Roman" w:cs="Times New Roman"/>
                <w:noProof/>
                <w:sz w:val="24"/>
                <w:szCs w:val="24"/>
              </w:rPr>
              <w:t>Aprendizados adquiridos e superações conquistadas</w:t>
            </w:r>
            <w:r w:rsidR="00C81F73" w:rsidRPr="00C81F73">
              <w:rPr>
                <w:rFonts w:ascii="Times New Roman" w:hAnsi="Times New Roman" w:cs="Times New Roman"/>
                <w:noProof/>
                <w:webHidden/>
                <w:sz w:val="24"/>
                <w:szCs w:val="24"/>
              </w:rPr>
              <w:tab/>
            </w:r>
            <w:r w:rsidR="00C81F73" w:rsidRPr="00C81F73">
              <w:rPr>
                <w:rFonts w:ascii="Times New Roman" w:hAnsi="Times New Roman" w:cs="Times New Roman"/>
                <w:noProof/>
                <w:webHidden/>
                <w:sz w:val="24"/>
                <w:szCs w:val="24"/>
              </w:rPr>
              <w:fldChar w:fldCharType="begin"/>
            </w:r>
            <w:r w:rsidR="00C81F73" w:rsidRPr="00C81F73">
              <w:rPr>
                <w:rFonts w:ascii="Times New Roman" w:hAnsi="Times New Roman" w:cs="Times New Roman"/>
                <w:noProof/>
                <w:webHidden/>
                <w:sz w:val="24"/>
                <w:szCs w:val="24"/>
              </w:rPr>
              <w:instrText xml:space="preserve"> PAGEREF _Toc470771600 \h </w:instrText>
            </w:r>
            <w:r w:rsidR="00C81F73" w:rsidRPr="00C81F73">
              <w:rPr>
                <w:rFonts w:ascii="Times New Roman" w:hAnsi="Times New Roman" w:cs="Times New Roman"/>
                <w:noProof/>
                <w:webHidden/>
                <w:sz w:val="24"/>
                <w:szCs w:val="24"/>
              </w:rPr>
            </w:r>
            <w:r w:rsidR="00C81F73" w:rsidRPr="00C81F73">
              <w:rPr>
                <w:rFonts w:ascii="Times New Roman" w:hAnsi="Times New Roman" w:cs="Times New Roman"/>
                <w:noProof/>
                <w:webHidden/>
                <w:sz w:val="24"/>
                <w:szCs w:val="24"/>
              </w:rPr>
              <w:fldChar w:fldCharType="separate"/>
            </w:r>
            <w:r w:rsidR="00727927">
              <w:rPr>
                <w:rFonts w:ascii="Times New Roman" w:hAnsi="Times New Roman" w:cs="Times New Roman"/>
                <w:noProof/>
                <w:webHidden/>
                <w:sz w:val="24"/>
                <w:szCs w:val="24"/>
              </w:rPr>
              <w:t>12</w:t>
            </w:r>
            <w:r w:rsidR="00C81F73" w:rsidRPr="00C81F73">
              <w:rPr>
                <w:rFonts w:ascii="Times New Roman" w:hAnsi="Times New Roman" w:cs="Times New Roman"/>
                <w:noProof/>
                <w:webHidden/>
                <w:sz w:val="24"/>
                <w:szCs w:val="24"/>
              </w:rPr>
              <w:fldChar w:fldCharType="end"/>
            </w:r>
          </w:hyperlink>
        </w:p>
        <w:p w:rsidR="00C81F73" w:rsidRPr="00C81F73" w:rsidRDefault="00375036">
          <w:pPr>
            <w:pStyle w:val="Sumrio1"/>
            <w:tabs>
              <w:tab w:val="left" w:pos="660"/>
              <w:tab w:val="right" w:leader="dot" w:pos="9627"/>
            </w:tabs>
            <w:rPr>
              <w:rFonts w:ascii="Times New Roman" w:hAnsi="Times New Roman" w:cs="Times New Roman"/>
              <w:noProof/>
              <w:sz w:val="24"/>
              <w:szCs w:val="24"/>
            </w:rPr>
          </w:pPr>
          <w:hyperlink w:anchor="_Toc470771601" w:history="1">
            <w:r w:rsidR="00C81F73" w:rsidRPr="00C81F73">
              <w:rPr>
                <w:rStyle w:val="Hyperlink"/>
                <w:rFonts w:ascii="Times New Roman" w:hAnsi="Times New Roman" w:cs="Times New Roman"/>
                <w:noProof/>
                <w:sz w:val="24"/>
                <w:szCs w:val="24"/>
              </w:rPr>
              <w:t>2.6.</w:t>
            </w:r>
            <w:r w:rsidR="00C81F73" w:rsidRPr="00C81F73">
              <w:rPr>
                <w:rFonts w:ascii="Times New Roman" w:hAnsi="Times New Roman" w:cs="Times New Roman"/>
                <w:noProof/>
                <w:sz w:val="24"/>
                <w:szCs w:val="24"/>
              </w:rPr>
              <w:tab/>
            </w:r>
            <w:r w:rsidR="00C81F73" w:rsidRPr="00C81F73">
              <w:rPr>
                <w:rStyle w:val="Hyperlink"/>
                <w:rFonts w:ascii="Times New Roman" w:hAnsi="Times New Roman" w:cs="Times New Roman"/>
                <w:noProof/>
                <w:sz w:val="24"/>
                <w:szCs w:val="24"/>
              </w:rPr>
              <w:t>Quantitativos de execução das ações planejadas</w:t>
            </w:r>
            <w:r w:rsidR="00C81F73" w:rsidRPr="00C81F73">
              <w:rPr>
                <w:rFonts w:ascii="Times New Roman" w:hAnsi="Times New Roman" w:cs="Times New Roman"/>
                <w:noProof/>
                <w:webHidden/>
                <w:sz w:val="24"/>
                <w:szCs w:val="24"/>
              </w:rPr>
              <w:tab/>
            </w:r>
            <w:r w:rsidR="00C81F73" w:rsidRPr="00C81F73">
              <w:rPr>
                <w:rFonts w:ascii="Times New Roman" w:hAnsi="Times New Roman" w:cs="Times New Roman"/>
                <w:noProof/>
                <w:webHidden/>
                <w:sz w:val="24"/>
                <w:szCs w:val="24"/>
              </w:rPr>
              <w:fldChar w:fldCharType="begin"/>
            </w:r>
            <w:r w:rsidR="00C81F73" w:rsidRPr="00C81F73">
              <w:rPr>
                <w:rFonts w:ascii="Times New Roman" w:hAnsi="Times New Roman" w:cs="Times New Roman"/>
                <w:noProof/>
                <w:webHidden/>
                <w:sz w:val="24"/>
                <w:szCs w:val="24"/>
              </w:rPr>
              <w:instrText xml:space="preserve"> PAGEREF _Toc470771601 \h </w:instrText>
            </w:r>
            <w:r w:rsidR="00C81F73" w:rsidRPr="00C81F73">
              <w:rPr>
                <w:rFonts w:ascii="Times New Roman" w:hAnsi="Times New Roman" w:cs="Times New Roman"/>
                <w:noProof/>
                <w:webHidden/>
                <w:sz w:val="24"/>
                <w:szCs w:val="24"/>
              </w:rPr>
            </w:r>
            <w:r w:rsidR="00C81F73" w:rsidRPr="00C81F73">
              <w:rPr>
                <w:rFonts w:ascii="Times New Roman" w:hAnsi="Times New Roman" w:cs="Times New Roman"/>
                <w:noProof/>
                <w:webHidden/>
                <w:sz w:val="24"/>
                <w:szCs w:val="24"/>
              </w:rPr>
              <w:fldChar w:fldCharType="separate"/>
            </w:r>
            <w:r w:rsidR="00727927">
              <w:rPr>
                <w:rFonts w:ascii="Times New Roman" w:hAnsi="Times New Roman" w:cs="Times New Roman"/>
                <w:noProof/>
                <w:webHidden/>
                <w:sz w:val="24"/>
                <w:szCs w:val="24"/>
              </w:rPr>
              <w:t>15</w:t>
            </w:r>
            <w:r w:rsidR="00C81F73" w:rsidRPr="00C81F73">
              <w:rPr>
                <w:rFonts w:ascii="Times New Roman" w:hAnsi="Times New Roman" w:cs="Times New Roman"/>
                <w:noProof/>
                <w:webHidden/>
                <w:sz w:val="24"/>
                <w:szCs w:val="24"/>
              </w:rPr>
              <w:fldChar w:fldCharType="end"/>
            </w:r>
          </w:hyperlink>
        </w:p>
        <w:p w:rsidR="00C81F73" w:rsidRDefault="00375036">
          <w:pPr>
            <w:pStyle w:val="Sumrio1"/>
            <w:tabs>
              <w:tab w:val="left" w:pos="440"/>
              <w:tab w:val="right" w:leader="dot" w:pos="9627"/>
            </w:tabs>
            <w:rPr>
              <w:noProof/>
            </w:rPr>
          </w:pPr>
          <w:hyperlink w:anchor="_Toc470771602" w:history="1">
            <w:r w:rsidR="00C81F73" w:rsidRPr="00C81F73">
              <w:rPr>
                <w:rStyle w:val="Hyperlink"/>
                <w:rFonts w:ascii="Times New Roman" w:hAnsi="Times New Roman" w:cs="Times New Roman"/>
                <w:noProof/>
                <w:sz w:val="24"/>
                <w:szCs w:val="24"/>
              </w:rPr>
              <w:t>3.</w:t>
            </w:r>
            <w:r w:rsidR="00C81F73" w:rsidRPr="00C81F73">
              <w:rPr>
                <w:rFonts w:ascii="Times New Roman" w:hAnsi="Times New Roman" w:cs="Times New Roman"/>
                <w:noProof/>
                <w:sz w:val="24"/>
                <w:szCs w:val="24"/>
              </w:rPr>
              <w:tab/>
            </w:r>
            <w:r w:rsidR="00C81F73" w:rsidRPr="00C81F73">
              <w:rPr>
                <w:rStyle w:val="Hyperlink"/>
                <w:rFonts w:ascii="Times New Roman" w:hAnsi="Times New Roman" w:cs="Times New Roman"/>
                <w:noProof/>
                <w:sz w:val="24"/>
                <w:szCs w:val="24"/>
              </w:rPr>
              <w:t>Conclusão</w:t>
            </w:r>
            <w:r w:rsidR="00C81F73" w:rsidRPr="00C81F73">
              <w:rPr>
                <w:rFonts w:ascii="Times New Roman" w:hAnsi="Times New Roman" w:cs="Times New Roman"/>
                <w:noProof/>
                <w:webHidden/>
                <w:sz w:val="24"/>
                <w:szCs w:val="24"/>
              </w:rPr>
              <w:tab/>
            </w:r>
            <w:r w:rsidR="00C81F73" w:rsidRPr="00C81F73">
              <w:rPr>
                <w:rFonts w:ascii="Times New Roman" w:hAnsi="Times New Roman" w:cs="Times New Roman"/>
                <w:noProof/>
                <w:webHidden/>
                <w:sz w:val="24"/>
                <w:szCs w:val="24"/>
              </w:rPr>
              <w:fldChar w:fldCharType="begin"/>
            </w:r>
            <w:r w:rsidR="00C81F73" w:rsidRPr="00C81F73">
              <w:rPr>
                <w:rFonts w:ascii="Times New Roman" w:hAnsi="Times New Roman" w:cs="Times New Roman"/>
                <w:noProof/>
                <w:webHidden/>
                <w:sz w:val="24"/>
                <w:szCs w:val="24"/>
              </w:rPr>
              <w:instrText xml:space="preserve"> PAGEREF _Toc470771602 \h </w:instrText>
            </w:r>
            <w:r w:rsidR="00C81F73" w:rsidRPr="00C81F73">
              <w:rPr>
                <w:rFonts w:ascii="Times New Roman" w:hAnsi="Times New Roman" w:cs="Times New Roman"/>
                <w:noProof/>
                <w:webHidden/>
                <w:sz w:val="24"/>
                <w:szCs w:val="24"/>
              </w:rPr>
            </w:r>
            <w:r w:rsidR="00C81F73" w:rsidRPr="00C81F73">
              <w:rPr>
                <w:rFonts w:ascii="Times New Roman" w:hAnsi="Times New Roman" w:cs="Times New Roman"/>
                <w:noProof/>
                <w:webHidden/>
                <w:sz w:val="24"/>
                <w:szCs w:val="24"/>
              </w:rPr>
              <w:fldChar w:fldCharType="separate"/>
            </w:r>
            <w:r w:rsidR="00727927">
              <w:rPr>
                <w:rFonts w:ascii="Times New Roman" w:hAnsi="Times New Roman" w:cs="Times New Roman"/>
                <w:noProof/>
                <w:webHidden/>
                <w:sz w:val="24"/>
                <w:szCs w:val="24"/>
              </w:rPr>
              <w:t>16</w:t>
            </w:r>
            <w:r w:rsidR="00C81F73" w:rsidRPr="00C81F73">
              <w:rPr>
                <w:rFonts w:ascii="Times New Roman" w:hAnsi="Times New Roman" w:cs="Times New Roman"/>
                <w:noProof/>
                <w:webHidden/>
                <w:sz w:val="24"/>
                <w:szCs w:val="24"/>
              </w:rPr>
              <w:fldChar w:fldCharType="end"/>
            </w:r>
          </w:hyperlink>
        </w:p>
        <w:p w:rsidR="00C81F73" w:rsidRDefault="00C81F73">
          <w:r>
            <w:rPr>
              <w:b/>
              <w:bCs/>
            </w:rPr>
            <w:fldChar w:fldCharType="end"/>
          </w:r>
        </w:p>
      </w:sdtContent>
    </w:sdt>
    <w:p w:rsidR="00202DDF" w:rsidRDefault="00375036">
      <w:hyperlink w:anchor="_Toc469933978"/>
    </w:p>
    <w:p w:rsidR="00202DDF" w:rsidRDefault="00375036">
      <w:pPr>
        <w:tabs>
          <w:tab w:val="left" w:pos="440"/>
          <w:tab w:val="right" w:pos="9627"/>
        </w:tabs>
        <w:spacing w:after="100"/>
      </w:pPr>
      <w:hyperlink w:anchor="_Toc469933978"/>
    </w:p>
    <w:p w:rsidR="00202DDF" w:rsidRDefault="00375036">
      <w:pPr>
        <w:tabs>
          <w:tab w:val="left" w:pos="440"/>
          <w:tab w:val="right" w:pos="9627"/>
        </w:tabs>
        <w:spacing w:after="100"/>
      </w:pPr>
      <w:hyperlink w:anchor="_Toc469933978"/>
    </w:p>
    <w:p w:rsidR="00202DDF" w:rsidRDefault="00375036">
      <w:hyperlink w:anchor="_Toc469933978"/>
    </w:p>
    <w:p w:rsidR="00202DDF" w:rsidRDefault="00375036">
      <w:hyperlink w:anchor="_Toc469933978"/>
    </w:p>
    <w:p w:rsidR="00202DDF" w:rsidRDefault="001A5369">
      <w:r>
        <w:br w:type="page"/>
      </w:r>
    </w:p>
    <w:p w:rsidR="00202DDF" w:rsidRDefault="001A5369">
      <w:pPr>
        <w:pStyle w:val="Ttulo1"/>
        <w:numPr>
          <w:ilvl w:val="0"/>
          <w:numId w:val="3"/>
        </w:numPr>
        <w:ind w:hanging="360"/>
      </w:pPr>
      <w:bookmarkStart w:id="1" w:name="_30j0zll" w:colFirst="0" w:colLast="0"/>
      <w:bookmarkStart w:id="2" w:name="gjdgxs" w:colFirst="0" w:colLast="0"/>
      <w:bookmarkStart w:id="3" w:name="_Toc470771594"/>
      <w:bookmarkEnd w:id="1"/>
      <w:bookmarkEnd w:id="2"/>
      <w:r>
        <w:lastRenderedPageBreak/>
        <w:t>Introdução</w:t>
      </w:r>
      <w:bookmarkEnd w:id="3"/>
    </w:p>
    <w:p w:rsidR="00202DDF" w:rsidRDefault="00202DDF"/>
    <w:p w:rsidR="00202DDF" w:rsidRDefault="001A5369">
      <w:pPr>
        <w:spacing w:after="0" w:line="240" w:lineRule="auto"/>
        <w:ind w:firstLine="360"/>
        <w:jc w:val="both"/>
      </w:pPr>
      <w:r>
        <w:rPr>
          <w:rFonts w:ascii="Times New Roman" w:eastAsia="Times New Roman" w:hAnsi="Times New Roman" w:cs="Times New Roman"/>
          <w:sz w:val="24"/>
          <w:szCs w:val="24"/>
        </w:rPr>
        <w:t xml:space="preserve">O Relatório de Ação e Resultados deve apresentar as principais realizações da gestão, contemplando as ações propostas no Plano de Ação 2016 e trazendo seu status ao fim do período planejado. Cada </w:t>
      </w:r>
      <w:r w:rsidRPr="00B60A87">
        <w:rPr>
          <w:rFonts w:ascii="Times New Roman" w:eastAsia="Times New Roman" w:hAnsi="Times New Roman" w:cs="Times New Roman"/>
          <w:i/>
          <w:color w:val="auto"/>
          <w:sz w:val="24"/>
          <w:szCs w:val="24"/>
        </w:rPr>
        <w:t>Campus</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do IFRS deve elaborar o referido Relatório seguindo um modelo proposto pela Pró Reitoria de Desenvolvimento Institucional, de modo que todos os relatórios deverão integrar o relatório de gestão a ser apresentado pela Instituição.</w:t>
      </w:r>
    </w:p>
    <w:p w:rsidR="00202DDF" w:rsidRDefault="001A5369">
      <w:pPr>
        <w:spacing w:after="0" w:line="240" w:lineRule="auto"/>
        <w:ind w:firstLine="360"/>
        <w:jc w:val="both"/>
      </w:pPr>
      <w:r>
        <w:rPr>
          <w:rFonts w:ascii="Times New Roman" w:eastAsia="Times New Roman" w:hAnsi="Times New Roman" w:cs="Times New Roman"/>
          <w:sz w:val="24"/>
          <w:szCs w:val="24"/>
        </w:rPr>
        <w:t xml:space="preserve">Para o </w:t>
      </w:r>
      <w:r>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Rio Grande o ano de 2016 representou um ano de muitos desafios. E dentre as principais realizações do período, algumas merecem destaque, quais sejam:</w:t>
      </w:r>
    </w:p>
    <w:p w:rsidR="00202DDF" w:rsidRDefault="001A5369">
      <w:pPr>
        <w:spacing w:after="0" w:line="240" w:lineRule="auto"/>
        <w:ind w:firstLine="360"/>
        <w:jc w:val="both"/>
      </w:pPr>
      <w:r>
        <w:rPr>
          <w:rFonts w:ascii="Times New Roman" w:eastAsia="Times New Roman" w:hAnsi="Times New Roman" w:cs="Times New Roman"/>
          <w:sz w:val="24"/>
          <w:szCs w:val="24"/>
        </w:rPr>
        <w:t xml:space="preserve"> </w:t>
      </w:r>
    </w:p>
    <w:p w:rsidR="00202DDF" w:rsidRDefault="001A5369">
      <w:pPr>
        <w:numPr>
          <w:ilvl w:val="0"/>
          <w:numId w:val="4"/>
        </w:numPr>
        <w:spacing w:after="0" w:line="240" w:lineRule="auto"/>
        <w:ind w:hanging="360"/>
        <w:jc w:val="both"/>
        <w:rPr>
          <w:sz w:val="24"/>
          <w:szCs w:val="24"/>
        </w:rPr>
      </w:pPr>
      <w:r>
        <w:rPr>
          <w:rFonts w:ascii="Times New Roman" w:eastAsia="Times New Roman" w:hAnsi="Times New Roman" w:cs="Times New Roman"/>
          <w:sz w:val="24"/>
          <w:szCs w:val="24"/>
        </w:rPr>
        <w:t xml:space="preserve">As reformas dos pavilhões 07 e 11, que representam uma grande conquista para a </w:t>
      </w:r>
      <w:r w:rsidRPr="00B60A87">
        <w:rPr>
          <w:rFonts w:ascii="Times New Roman" w:eastAsia="Times New Roman" w:hAnsi="Times New Roman" w:cs="Times New Roman"/>
          <w:color w:val="auto"/>
          <w:sz w:val="24"/>
          <w:szCs w:val="24"/>
        </w:rPr>
        <w:t xml:space="preserve">comunidade escolar, tendo em vista a ampliação e melhoria do espaço destinado para aulas, laboratórios, atendimentos e salas de permanência. Cabe destacar que o pavilhão 11 ainda necessita da instalação das redes elétrica e lógica, tendo sido concluído apenas a etapa estrutural; </w:t>
      </w:r>
    </w:p>
    <w:p w:rsidR="00202DDF" w:rsidRDefault="001A5369">
      <w:pPr>
        <w:numPr>
          <w:ilvl w:val="0"/>
          <w:numId w:val="4"/>
        </w:numPr>
        <w:spacing w:after="0" w:line="240" w:lineRule="auto"/>
        <w:ind w:hanging="360"/>
        <w:jc w:val="both"/>
        <w:rPr>
          <w:sz w:val="24"/>
          <w:szCs w:val="24"/>
        </w:rPr>
      </w:pPr>
      <w:r>
        <w:rPr>
          <w:rFonts w:ascii="Times New Roman" w:eastAsia="Times New Roman" w:hAnsi="Times New Roman" w:cs="Times New Roman"/>
          <w:sz w:val="24"/>
          <w:szCs w:val="24"/>
        </w:rPr>
        <w:t xml:space="preserve">A licitação da obra da nova subestação </w:t>
      </w:r>
      <w:r w:rsidRPr="00B60A87">
        <w:rPr>
          <w:rFonts w:ascii="Times New Roman" w:eastAsia="Times New Roman" w:hAnsi="Times New Roman" w:cs="Times New Roman"/>
          <w:color w:val="auto"/>
          <w:sz w:val="24"/>
          <w:szCs w:val="24"/>
        </w:rPr>
        <w:t xml:space="preserve">de energia elétrica </w:t>
      </w:r>
      <w:r>
        <w:rPr>
          <w:rFonts w:ascii="Times New Roman" w:eastAsia="Times New Roman" w:hAnsi="Times New Roman" w:cs="Times New Roman"/>
          <w:sz w:val="24"/>
          <w:szCs w:val="24"/>
        </w:rPr>
        <w:t xml:space="preserve">que permitirá o funcionamento tanto do novo pavilhão 11, quanto do pavilhão 12 quando for finalizado, além de melhorar a estrutura e proporcionar maior segurança para toda a rede elétrica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rsidR="00202DDF" w:rsidRDefault="001A5369">
      <w:pPr>
        <w:numPr>
          <w:ilvl w:val="0"/>
          <w:numId w:val="4"/>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realização da Semana Acadêmica do </w:t>
      </w:r>
      <w:r>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no primeiro semestre, desvinculada das mostras de pesquisa e extensão, bem como da Semana Aberta. O evento objetivou fomentar espaço de troca de experiências e difusão de conhecimentos básicos, técnicos, científicos, artísticos e socioculturais para a comunidade acadêmica de forma integrada com a comunidade externa, com outras instituições públicas e privadas e com o mundo do trabalho, através de palestras, oficinas, minicursos, visitas técnicas e ap</w:t>
      </w:r>
      <w:r w:rsidR="00644377">
        <w:rPr>
          <w:rFonts w:ascii="Times New Roman" w:eastAsia="Times New Roman" w:hAnsi="Times New Roman" w:cs="Times New Roman"/>
          <w:sz w:val="24"/>
          <w:szCs w:val="24"/>
        </w:rPr>
        <w:t>resentações artístico-culturais</w:t>
      </w:r>
      <w:r>
        <w:rPr>
          <w:rFonts w:ascii="Times New Roman" w:eastAsia="Times New Roman" w:hAnsi="Times New Roman" w:cs="Times New Roman"/>
          <w:sz w:val="24"/>
          <w:szCs w:val="24"/>
        </w:rPr>
        <w:t>;</w:t>
      </w:r>
    </w:p>
    <w:p w:rsidR="00202DDF" w:rsidRDefault="001A5369">
      <w:pPr>
        <w:numPr>
          <w:ilvl w:val="0"/>
          <w:numId w:val="4"/>
        </w:numPr>
        <w:spacing w:after="0" w:line="240" w:lineRule="auto"/>
        <w:ind w:hanging="360"/>
        <w:jc w:val="both"/>
        <w:rPr>
          <w:sz w:val="24"/>
          <w:szCs w:val="24"/>
        </w:rPr>
      </w:pPr>
      <w:r>
        <w:rPr>
          <w:rFonts w:ascii="Times New Roman" w:eastAsia="Times New Roman" w:hAnsi="Times New Roman" w:cs="Times New Roman"/>
          <w:sz w:val="24"/>
          <w:szCs w:val="24"/>
        </w:rPr>
        <w:t xml:space="preserve">A realização, de forma integrada e concomitante da 6ª Mostra de Produção Científica e Tecnológica (MPCT), 5º Seminário de Extensão (SEMEX), 1º Seminário de Ensino (SEN) do </w:t>
      </w:r>
      <w:r>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 xml:space="preserve">Rio Grande, e mais uma edição da Semana Aberta. Esses eventos integrados reuniram estudantes, servidores, profissionais de áreas técnicas e comunidade em geral em uma série intensa de atividades, que incluíram palestras, oficinas, minicursos, rodas de conversa, campeonatos, exposições artísticas, apresentações de trabalhos na forma oral e pôster, além das visitas das escolas às instalações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Todos estes eventos, englobados na Semana Aberta, se constituem em espaços de comunicação da produção acadêmica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para a comunidade riograndina e da região, bem como de recepção da produção de outras instituições e, conseq</w:t>
      </w:r>
      <w:r w:rsidR="00644377">
        <w:rPr>
          <w:rFonts w:ascii="Times New Roman" w:eastAsia="Times New Roman" w:hAnsi="Times New Roman" w:cs="Times New Roman"/>
          <w:sz w:val="24"/>
          <w:szCs w:val="24"/>
        </w:rPr>
        <w:t>uentemente, de troca de saberes</w:t>
      </w:r>
      <w:r>
        <w:rPr>
          <w:rFonts w:ascii="Times New Roman" w:eastAsia="Times New Roman" w:hAnsi="Times New Roman" w:cs="Times New Roman"/>
          <w:sz w:val="24"/>
          <w:szCs w:val="24"/>
        </w:rPr>
        <w:t>;</w:t>
      </w:r>
    </w:p>
    <w:p w:rsidR="00202DDF" w:rsidRDefault="001A5369">
      <w:pPr>
        <w:numPr>
          <w:ilvl w:val="0"/>
          <w:numId w:val="4"/>
        </w:numPr>
        <w:spacing w:after="0" w:line="240" w:lineRule="auto"/>
        <w:ind w:hanging="360"/>
        <w:jc w:val="both"/>
        <w:rPr>
          <w:sz w:val="24"/>
          <w:szCs w:val="24"/>
        </w:rPr>
      </w:pPr>
      <w:r>
        <w:rPr>
          <w:rFonts w:ascii="Times New Roman" w:eastAsia="Times New Roman" w:hAnsi="Times New Roman" w:cs="Times New Roman"/>
          <w:sz w:val="24"/>
          <w:szCs w:val="24"/>
        </w:rPr>
        <w:t xml:space="preserve">O </w:t>
      </w:r>
      <w:r w:rsidRPr="00B60A87">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Rio Grande participou, mais uma vez, com uma grande delegação de alunos/atletas dos 3º Jogos do IFRS. A competição foi realizada na Sociedade Ginástica Novo Hamburgo, de 9 a 11 de junho. Sete modalidades esportivas compuseram os jogos regulares: basquete, futsal, handebol, vôlei, vôlei de praia, tênis de mesa e xadrez. O </w:t>
      </w:r>
      <w:r w:rsidRPr="00B60A87">
        <w:rPr>
          <w:rFonts w:ascii="Times New Roman" w:eastAsia="Times New Roman" w:hAnsi="Times New Roman" w:cs="Times New Roman"/>
          <w:i/>
          <w:color w:val="auto"/>
          <w:sz w:val="24"/>
          <w:szCs w:val="24"/>
        </w:rPr>
        <w:t>Campus</w:t>
      </w:r>
      <w:r w:rsidRPr="00B60A87">
        <w:rPr>
          <w:rFonts w:ascii="Times New Roman" w:eastAsia="Times New Roman" w:hAnsi="Times New Roman" w:cs="Times New Roman"/>
          <w:color w:val="auto"/>
          <w:sz w:val="24"/>
          <w:szCs w:val="24"/>
        </w:rPr>
        <w:t xml:space="preserve"> Rio </w:t>
      </w:r>
      <w:r>
        <w:rPr>
          <w:rFonts w:ascii="Times New Roman" w:eastAsia="Times New Roman" w:hAnsi="Times New Roman" w:cs="Times New Roman"/>
          <w:sz w:val="24"/>
          <w:szCs w:val="24"/>
        </w:rPr>
        <w:t>Grande conquistou sete medalhas em seis modalidades, sendo quatro delas de primeiro lugar</w:t>
      </w:r>
      <w:r>
        <w:rPr>
          <w:rFonts w:ascii="Arial" w:eastAsia="Arial" w:hAnsi="Arial" w:cs="Arial"/>
          <w:color w:val="658404"/>
          <w:sz w:val="18"/>
          <w:szCs w:val="18"/>
          <w:highlight w:val="white"/>
        </w:rPr>
        <w:t>;</w:t>
      </w:r>
    </w:p>
    <w:p w:rsidR="00202DDF" w:rsidRPr="006F485B" w:rsidRDefault="001A5369" w:rsidP="006F485B">
      <w:pPr>
        <w:numPr>
          <w:ilvl w:val="0"/>
          <w:numId w:val="4"/>
        </w:numPr>
        <w:spacing w:after="0" w:line="240" w:lineRule="auto"/>
        <w:ind w:hanging="360"/>
        <w:jc w:val="both"/>
        <w:rPr>
          <w:color w:val="auto"/>
          <w:sz w:val="24"/>
          <w:szCs w:val="24"/>
        </w:rPr>
      </w:pPr>
      <w:r w:rsidRPr="006F485B">
        <w:rPr>
          <w:rFonts w:ascii="Times New Roman" w:eastAsia="Times New Roman" w:hAnsi="Times New Roman" w:cs="Times New Roman"/>
          <w:color w:val="auto"/>
          <w:sz w:val="24"/>
          <w:szCs w:val="24"/>
        </w:rPr>
        <w:t>Foi estabelecida uma parceria com a polícia comunitária visando, principalmente, trazer mais segurança para os alunos nos horários de chegada e saída das aulas;</w:t>
      </w:r>
    </w:p>
    <w:p w:rsidR="00202DDF" w:rsidRPr="006F485B" w:rsidRDefault="001A5369">
      <w:pPr>
        <w:numPr>
          <w:ilvl w:val="0"/>
          <w:numId w:val="4"/>
        </w:numPr>
        <w:spacing w:after="0" w:line="240" w:lineRule="auto"/>
        <w:ind w:hanging="360"/>
        <w:jc w:val="both"/>
        <w:rPr>
          <w:color w:val="auto"/>
          <w:sz w:val="24"/>
          <w:szCs w:val="24"/>
        </w:rPr>
      </w:pPr>
      <w:r>
        <w:rPr>
          <w:rFonts w:ascii="Times New Roman" w:eastAsia="Times New Roman" w:hAnsi="Times New Roman" w:cs="Times New Roman"/>
          <w:sz w:val="24"/>
          <w:szCs w:val="24"/>
        </w:rPr>
        <w:t>Em</w:t>
      </w:r>
      <w:r>
        <w:rPr>
          <w:rFonts w:ascii="Times New Roman" w:eastAsia="Times New Roman" w:hAnsi="Times New Roman" w:cs="Times New Roman"/>
          <w:color w:val="FF0000"/>
          <w:sz w:val="24"/>
          <w:szCs w:val="24"/>
        </w:rPr>
        <w:t xml:space="preserve"> </w:t>
      </w:r>
      <w:r w:rsidRPr="006F485B">
        <w:rPr>
          <w:rFonts w:ascii="Times New Roman" w:eastAsia="Times New Roman" w:hAnsi="Times New Roman" w:cs="Times New Roman"/>
          <w:color w:val="auto"/>
          <w:sz w:val="24"/>
          <w:szCs w:val="24"/>
        </w:rPr>
        <w:t xml:space="preserve">fevereiro recebemos a Comissão Avaliadora do INEP para credenciamento da EAD no IFRS, sendo avaliado o nosso Curso de Licenciatura em Matemática, o qual foi contemplado com nota 4,0. Os dois primeiros cursos a serem ofertados no IFRS devem ser do </w:t>
      </w:r>
      <w:r w:rsidRPr="006F485B">
        <w:rPr>
          <w:rFonts w:ascii="Times New Roman" w:eastAsia="Times New Roman" w:hAnsi="Times New Roman" w:cs="Times New Roman"/>
          <w:i/>
          <w:color w:val="auto"/>
          <w:sz w:val="24"/>
          <w:szCs w:val="24"/>
        </w:rPr>
        <w:t>Campus</w:t>
      </w:r>
      <w:r w:rsidRPr="006F485B">
        <w:rPr>
          <w:rFonts w:ascii="Times New Roman" w:eastAsia="Times New Roman" w:hAnsi="Times New Roman" w:cs="Times New Roman"/>
          <w:color w:val="auto"/>
          <w:sz w:val="24"/>
          <w:szCs w:val="24"/>
        </w:rPr>
        <w:t xml:space="preserve"> Rio Grande, e são Licenciatura em Matemática e Pós-graduação (lato sensu) em Mídias na Educação. Em outubro deste ano, o IFRS (Reitoria) recebeu uma nova Comissão Avaliadora </w:t>
      </w:r>
      <w:r w:rsidRPr="006F485B">
        <w:rPr>
          <w:rFonts w:ascii="Times New Roman" w:eastAsia="Times New Roman" w:hAnsi="Times New Roman" w:cs="Times New Roman"/>
          <w:color w:val="auto"/>
          <w:sz w:val="24"/>
          <w:szCs w:val="24"/>
        </w:rPr>
        <w:lastRenderedPageBreak/>
        <w:t xml:space="preserve">do INEP, a fim de credenciar o Instituto para a oferta da EaD. Assim como o Curso de Licenciatura em Matemática, o IFRS </w:t>
      </w:r>
      <w:r>
        <w:rPr>
          <w:rFonts w:ascii="Times New Roman" w:eastAsia="Times New Roman" w:hAnsi="Times New Roman" w:cs="Times New Roman"/>
          <w:color w:val="auto"/>
          <w:sz w:val="24"/>
          <w:szCs w:val="24"/>
        </w:rPr>
        <w:t xml:space="preserve">também </w:t>
      </w:r>
      <w:r w:rsidRPr="006F485B">
        <w:rPr>
          <w:rFonts w:ascii="Times New Roman" w:eastAsia="Times New Roman" w:hAnsi="Times New Roman" w:cs="Times New Roman"/>
          <w:color w:val="auto"/>
          <w:sz w:val="24"/>
          <w:szCs w:val="24"/>
        </w:rPr>
        <w:t>obteve nota 4,0;</w:t>
      </w:r>
    </w:p>
    <w:p w:rsidR="00202DDF" w:rsidRDefault="001A5369">
      <w:pPr>
        <w:numPr>
          <w:ilvl w:val="0"/>
          <w:numId w:val="4"/>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assinatura do convênio entre a Reitoria do IFRS e a AFS Intercultura Brasil, para intercâmbio estudantil, tendo sido um processo proposto pelo </w:t>
      </w:r>
      <w:r>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Rio Grande e que já em 2016 possibilitou a vinda de uma estudante japonesa para estudar, por um ano, no Curso Técnico de Informática para Internet;</w:t>
      </w:r>
    </w:p>
    <w:p w:rsidR="00202DDF" w:rsidRPr="006F485B" w:rsidRDefault="001A5369">
      <w:pPr>
        <w:numPr>
          <w:ilvl w:val="0"/>
          <w:numId w:val="4"/>
        </w:numPr>
        <w:spacing w:after="0" w:line="240" w:lineRule="auto"/>
        <w:ind w:hanging="360"/>
        <w:jc w:val="both"/>
        <w:rPr>
          <w:rFonts w:ascii="Times New Roman" w:eastAsia="Times New Roman" w:hAnsi="Times New Roman" w:cs="Times New Roman"/>
          <w:color w:val="auto"/>
          <w:sz w:val="24"/>
          <w:szCs w:val="24"/>
        </w:rPr>
      </w:pPr>
      <w:r w:rsidRPr="006F485B">
        <w:rPr>
          <w:rFonts w:ascii="Times New Roman" w:eastAsia="Times New Roman" w:hAnsi="Times New Roman" w:cs="Times New Roman"/>
          <w:color w:val="auto"/>
          <w:sz w:val="24"/>
          <w:szCs w:val="24"/>
        </w:rPr>
        <w:t xml:space="preserve">A parceria estabelecida com o Centro Estudantil Unificado (CEU) promoveu uma aproximação efetiva/afetiva com os alunos, permitindo a participação dos estudantes de forma proativa em decisões da Direção, tais como o auxílio na definição do calendário de provas e exames, recuperação de dias letivos não previstos no calendário acadêmico (paralisações do transporte público, tempestades, greve), agilidade na indicação de nomes de alunos para participar de comissões, ações de caridade (doação de alimentos para comunidade carente) e organização dos Jogos Internos do </w:t>
      </w:r>
      <w:r w:rsidRPr="006F485B">
        <w:rPr>
          <w:rFonts w:ascii="Times New Roman" w:eastAsia="Times New Roman" w:hAnsi="Times New Roman" w:cs="Times New Roman"/>
          <w:i/>
          <w:color w:val="auto"/>
          <w:sz w:val="24"/>
          <w:szCs w:val="24"/>
        </w:rPr>
        <w:t>Campus</w:t>
      </w:r>
      <w:r w:rsidRPr="006F485B">
        <w:rPr>
          <w:rFonts w:ascii="Times New Roman" w:eastAsia="Times New Roman" w:hAnsi="Times New Roman" w:cs="Times New Roman"/>
          <w:color w:val="auto"/>
          <w:sz w:val="24"/>
          <w:szCs w:val="24"/>
        </w:rPr>
        <w:t xml:space="preserve"> Rio Grande;</w:t>
      </w:r>
    </w:p>
    <w:p w:rsidR="00202DDF" w:rsidRPr="006F485B" w:rsidRDefault="001A5369">
      <w:pPr>
        <w:numPr>
          <w:ilvl w:val="0"/>
          <w:numId w:val="4"/>
        </w:numPr>
        <w:spacing w:after="0" w:line="240" w:lineRule="auto"/>
        <w:ind w:hanging="360"/>
        <w:jc w:val="both"/>
        <w:rPr>
          <w:rFonts w:ascii="Times New Roman" w:eastAsia="Times New Roman" w:hAnsi="Times New Roman" w:cs="Times New Roman"/>
          <w:color w:val="auto"/>
          <w:sz w:val="24"/>
          <w:szCs w:val="24"/>
        </w:rPr>
      </w:pPr>
      <w:r w:rsidRPr="006F485B">
        <w:rPr>
          <w:rFonts w:ascii="Times New Roman" w:eastAsia="Times New Roman" w:hAnsi="Times New Roman" w:cs="Times New Roman"/>
          <w:color w:val="auto"/>
          <w:sz w:val="24"/>
          <w:szCs w:val="24"/>
        </w:rPr>
        <w:t xml:space="preserve">Implementação de trinta e duas bolsas de Projetos de Ensino, a partir das quais </w:t>
      </w:r>
      <w:r w:rsidR="006F485B" w:rsidRPr="006F485B">
        <w:rPr>
          <w:rFonts w:ascii="Times New Roman" w:eastAsia="Times New Roman" w:hAnsi="Times New Roman" w:cs="Times New Roman"/>
          <w:color w:val="auto"/>
          <w:sz w:val="24"/>
          <w:szCs w:val="24"/>
        </w:rPr>
        <w:t>se geraram</w:t>
      </w:r>
      <w:r>
        <w:rPr>
          <w:rFonts w:ascii="Times New Roman" w:eastAsia="Times New Roman" w:hAnsi="Times New Roman" w:cs="Times New Roman"/>
          <w:color w:val="auto"/>
          <w:sz w:val="24"/>
          <w:szCs w:val="24"/>
        </w:rPr>
        <w:t xml:space="preserve"> diversas publicações em seminários r</w:t>
      </w:r>
      <w:r w:rsidR="006F485B">
        <w:rPr>
          <w:rFonts w:ascii="Times New Roman" w:eastAsia="Times New Roman" w:hAnsi="Times New Roman" w:cs="Times New Roman"/>
          <w:color w:val="auto"/>
          <w:sz w:val="24"/>
          <w:szCs w:val="24"/>
        </w:rPr>
        <w:t xml:space="preserve">egionais e </w:t>
      </w:r>
      <w:r>
        <w:rPr>
          <w:rFonts w:ascii="Times New Roman" w:eastAsia="Times New Roman" w:hAnsi="Times New Roman" w:cs="Times New Roman"/>
          <w:color w:val="auto"/>
          <w:sz w:val="24"/>
          <w:szCs w:val="24"/>
        </w:rPr>
        <w:t>i</w:t>
      </w:r>
      <w:r w:rsidR="00644377">
        <w:rPr>
          <w:rFonts w:ascii="Times New Roman" w:eastAsia="Times New Roman" w:hAnsi="Times New Roman" w:cs="Times New Roman"/>
          <w:color w:val="auto"/>
          <w:sz w:val="24"/>
          <w:szCs w:val="24"/>
        </w:rPr>
        <w:t>nternos.</w:t>
      </w:r>
    </w:p>
    <w:p w:rsidR="00202DDF" w:rsidRDefault="00202DDF">
      <w:pPr>
        <w:spacing w:after="0" w:line="240" w:lineRule="auto"/>
        <w:ind w:left="360"/>
        <w:jc w:val="both"/>
      </w:pPr>
      <w:bookmarkStart w:id="4" w:name="1fob9te" w:colFirst="0" w:colLast="0"/>
      <w:bookmarkEnd w:id="4"/>
    </w:p>
    <w:p w:rsidR="00202DDF" w:rsidRDefault="001A5369">
      <w:pPr>
        <w:spacing w:after="0" w:line="240" w:lineRule="auto"/>
        <w:ind w:firstLine="360"/>
        <w:jc w:val="both"/>
      </w:pPr>
      <w:r>
        <w:rPr>
          <w:rFonts w:ascii="Times New Roman" w:eastAsia="Times New Roman" w:hAnsi="Times New Roman" w:cs="Times New Roman"/>
          <w:sz w:val="24"/>
          <w:szCs w:val="24"/>
        </w:rPr>
        <w:t>Na execução das ações previstas no Plano de Ação 2016, várias dificuldades foram encontradas, dentre elas:</w:t>
      </w:r>
    </w:p>
    <w:p w:rsidR="00202DDF" w:rsidRDefault="00202DDF">
      <w:pPr>
        <w:spacing w:after="0" w:line="240" w:lineRule="auto"/>
        <w:ind w:left="720"/>
        <w:jc w:val="both"/>
      </w:pPr>
    </w:p>
    <w:p w:rsidR="00202DDF" w:rsidRDefault="001A5369">
      <w:pPr>
        <w:numPr>
          <w:ilvl w:val="0"/>
          <w:numId w:val="2"/>
        </w:numPr>
        <w:spacing w:after="0" w:line="240" w:lineRule="auto"/>
        <w:ind w:left="709"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período de greve dos docentes e técnicos administrativos em educação foi um momento de equilibrar tensões, interesses e expectativas e representou uma grande dificuldade para todo 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desde a estruturação das atividades administrativas e acadêmicas até a compreensão dos motivos das paralisações que são de suma importância para a continuidade da oferta dos nossos serviços;</w:t>
      </w:r>
    </w:p>
    <w:p w:rsidR="00202DDF" w:rsidRDefault="001A5369">
      <w:pPr>
        <w:numPr>
          <w:ilvl w:val="0"/>
          <w:numId w:val="2"/>
        </w:numPr>
        <w:spacing w:after="0" w:line="240" w:lineRule="auto"/>
        <w:ind w:left="720"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Restrição orçamentária que reduziu significativamente a capacidade de investimento da instituição, ficando a ação do </w:t>
      </w:r>
      <w:r>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voltada apenas para o custeio das atividades e a continuidade das obras em andamento até o terceiro trimestre do ano. Sem a perspectiva de qual seria o orçamento disponível para 2016 não foi possível planejar processos de compras, nem novas contratações. No final do mês de outubro recebemos a informação de que teríamos todo o orçamento previsto disponível e ainda recursos extra orçamentários, em um curto período de execução, tal ação repercutiu em uma carga extra de trabalho para toda a estrutura administrativa que precisou ser ágil para conseguir executar ações prioritárias que, inicialmente, haviam sido descartadas por falta de recursos;</w:t>
      </w:r>
    </w:p>
    <w:p w:rsidR="00202DDF" w:rsidRDefault="001A5369">
      <w:pPr>
        <w:numPr>
          <w:ilvl w:val="0"/>
          <w:numId w:val="2"/>
        </w:numPr>
        <w:spacing w:after="0" w:line="240" w:lineRule="auto"/>
        <w:ind w:left="720"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gerenciamento de uma instituição com quase 200 servidores, </w:t>
      </w:r>
      <w:r w:rsidRPr="00A35726">
        <w:rPr>
          <w:rFonts w:ascii="Times New Roman" w:eastAsia="Times New Roman" w:hAnsi="Times New Roman" w:cs="Times New Roman"/>
          <w:color w:val="auto"/>
          <w:sz w:val="24"/>
          <w:szCs w:val="24"/>
        </w:rPr>
        <w:t xml:space="preserve">aproximadamente 1600 alunos (além das equipes de serviços terceirizados) com orçamento reduzido, obras em </w:t>
      </w:r>
      <w:r>
        <w:rPr>
          <w:rFonts w:ascii="Times New Roman" w:eastAsia="Times New Roman" w:hAnsi="Times New Roman" w:cs="Times New Roman"/>
          <w:sz w:val="24"/>
          <w:szCs w:val="24"/>
        </w:rPr>
        <w:t xml:space="preserve">andamento, espaços sendo liberados e </w:t>
      </w:r>
      <w:r w:rsidR="00A35726">
        <w:rPr>
          <w:rFonts w:ascii="Times New Roman" w:eastAsia="Times New Roman" w:hAnsi="Times New Roman" w:cs="Times New Roman"/>
          <w:sz w:val="24"/>
          <w:szCs w:val="24"/>
        </w:rPr>
        <w:t>o funcionamento do Curso Técnico em Fabricação Mecânica em prédio locado representou</w:t>
      </w:r>
      <w:r>
        <w:rPr>
          <w:rFonts w:ascii="Times New Roman" w:eastAsia="Times New Roman" w:hAnsi="Times New Roman" w:cs="Times New Roman"/>
          <w:sz w:val="24"/>
          <w:szCs w:val="24"/>
        </w:rPr>
        <w:t xml:space="preserve"> um cenário de equilíbrio de interesses, oportunidades e gestão de recursos;</w:t>
      </w:r>
    </w:p>
    <w:p w:rsidR="00202DDF" w:rsidRDefault="001A5369">
      <w:pPr>
        <w:numPr>
          <w:ilvl w:val="0"/>
          <w:numId w:val="2"/>
        </w:numPr>
        <w:spacing w:after="0" w:line="240" w:lineRule="auto"/>
        <w:ind w:left="720"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Problemas com a prestação de serviços terceirizados, apesar de algumas conquistas como ações mais efetivas de fiscalização destes contratos para gerar maior eficiência na prestação dos serviços, ainda é um ponto crítico na instituição e precisa ser continuamente acompanhado;</w:t>
      </w:r>
    </w:p>
    <w:p w:rsidR="00202DDF" w:rsidRDefault="001A5369">
      <w:pPr>
        <w:numPr>
          <w:ilvl w:val="0"/>
          <w:numId w:val="2"/>
        </w:numPr>
        <w:spacing w:after="0" w:line="240" w:lineRule="auto"/>
        <w:ind w:left="720"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Dificuldade na rápida identificação dos alunos, servidores e visitantes na portaria em virtude de não haver, ainda, um controle por catracas que torne mais formal o ingresso ao </w:t>
      </w:r>
      <w:r w:rsidR="00B60A87">
        <w:rPr>
          <w:rFonts w:ascii="Times New Roman" w:eastAsia="Times New Roman" w:hAnsi="Times New Roman" w:cs="Times New Roman"/>
          <w:sz w:val="24"/>
          <w:szCs w:val="24"/>
        </w:rPr>
        <w:t>C</w:t>
      </w:r>
      <w:r w:rsidRPr="00B60A87">
        <w:rPr>
          <w:rFonts w:ascii="Times New Roman" w:eastAsia="Times New Roman" w:hAnsi="Times New Roman" w:cs="Times New Roman"/>
          <w:i/>
          <w:sz w:val="24"/>
          <w:szCs w:val="24"/>
        </w:rPr>
        <w:t>ampus</w:t>
      </w:r>
      <w:r>
        <w:rPr>
          <w:rFonts w:ascii="Times New Roman" w:eastAsia="Times New Roman" w:hAnsi="Times New Roman" w:cs="Times New Roman"/>
          <w:sz w:val="24"/>
          <w:szCs w:val="24"/>
        </w:rPr>
        <w:t>, reduzindo a possibilidade de acesso a pessoas que não pertençam à comunidade escolar. Neste ano ainda houve o controle apenas por carteirinhas de identificação;</w:t>
      </w:r>
    </w:p>
    <w:p w:rsidR="00644377" w:rsidRDefault="001A5369" w:rsidP="00644377">
      <w:pPr>
        <w:numPr>
          <w:ilvl w:val="0"/>
          <w:numId w:val="2"/>
        </w:numPr>
        <w:spacing w:after="0" w:line="240" w:lineRule="auto"/>
        <w:ind w:left="720" w:hanging="425"/>
        <w:contextualSpacing/>
        <w:jc w:val="both"/>
      </w:pPr>
      <w:r w:rsidRPr="00644377">
        <w:rPr>
          <w:rFonts w:ascii="Times New Roman" w:eastAsia="Times New Roman" w:hAnsi="Times New Roman" w:cs="Times New Roman"/>
          <w:color w:val="auto"/>
          <w:sz w:val="24"/>
          <w:szCs w:val="24"/>
        </w:rPr>
        <w:t xml:space="preserve">A retenção dos alunos, ocasionada pelo falta de base curricular (entre outros fatores) causa o efeito “inchaço” </w:t>
      </w:r>
      <w:r w:rsidRPr="00644377">
        <w:rPr>
          <w:rFonts w:ascii="Times New Roman" w:eastAsia="Times New Roman" w:hAnsi="Times New Roman" w:cs="Times New Roman"/>
          <w:sz w:val="24"/>
          <w:szCs w:val="24"/>
        </w:rPr>
        <w:t>das turmas, onde muitos alunos repetem e precisam ser alocados com os novos ingressantes, sendo necessário dividir as turmas, gerando excesso de turmas e maior necessidade de infraestrutura física e de servidores</w:t>
      </w:r>
      <w:r w:rsidR="00A35726" w:rsidRPr="00644377">
        <w:rPr>
          <w:rFonts w:ascii="Times New Roman" w:eastAsia="Times New Roman" w:hAnsi="Times New Roman" w:cs="Times New Roman"/>
          <w:sz w:val="24"/>
          <w:szCs w:val="24"/>
        </w:rPr>
        <w:t>.</w:t>
      </w:r>
    </w:p>
    <w:p w:rsidR="00202DDF" w:rsidRDefault="001A5369">
      <w:pPr>
        <w:pStyle w:val="Ttulo1"/>
        <w:numPr>
          <w:ilvl w:val="0"/>
          <w:numId w:val="3"/>
        </w:numPr>
        <w:ind w:hanging="360"/>
      </w:pPr>
      <w:bookmarkStart w:id="5" w:name="_2et92p0" w:colFirst="0" w:colLast="0"/>
      <w:bookmarkStart w:id="6" w:name="3znysh7" w:colFirst="0" w:colLast="0"/>
      <w:bookmarkStart w:id="7" w:name="_Toc470771595"/>
      <w:bookmarkEnd w:id="5"/>
      <w:bookmarkEnd w:id="6"/>
      <w:r>
        <w:lastRenderedPageBreak/>
        <w:t>Ações e Resultados – Exercício 2016</w:t>
      </w:r>
      <w:bookmarkEnd w:id="7"/>
    </w:p>
    <w:p w:rsidR="00202DDF" w:rsidRDefault="00202DDF"/>
    <w:p w:rsidR="00202DDF" w:rsidRDefault="001A5369">
      <w:pPr>
        <w:pStyle w:val="Ttulo1"/>
        <w:numPr>
          <w:ilvl w:val="1"/>
          <w:numId w:val="3"/>
        </w:numPr>
        <w:ind w:hanging="432"/>
      </w:pPr>
      <w:bookmarkStart w:id="8" w:name="_3dy6vkm" w:colFirst="0" w:colLast="0"/>
      <w:bookmarkStart w:id="9" w:name="tyjcwt" w:colFirst="0" w:colLast="0"/>
      <w:bookmarkStart w:id="10" w:name="_Toc470771596"/>
      <w:bookmarkEnd w:id="8"/>
      <w:bookmarkEnd w:id="9"/>
      <w:r>
        <w:t>Principais ações realizadas</w:t>
      </w:r>
      <w:bookmarkEnd w:id="10"/>
    </w:p>
    <w:p w:rsidR="00202DDF" w:rsidRDefault="00202DDF">
      <w:pPr>
        <w:spacing w:after="0"/>
        <w:ind w:left="360"/>
      </w:pPr>
    </w:p>
    <w:p w:rsidR="00202DDF" w:rsidRDefault="001A5369">
      <w:pPr>
        <w:spacing w:after="0" w:line="240" w:lineRule="auto"/>
        <w:ind w:left="357"/>
        <w:jc w:val="center"/>
      </w:pPr>
      <w:r>
        <w:rPr>
          <w:rFonts w:ascii="Times New Roman" w:eastAsia="Times New Roman" w:hAnsi="Times New Roman" w:cs="Times New Roman"/>
          <w:b/>
          <w:sz w:val="20"/>
          <w:szCs w:val="20"/>
        </w:rPr>
        <w:t>Quadro I - Objetivos traçados e principais ações realizadas</w:t>
      </w:r>
    </w:p>
    <w:tbl>
      <w:tblPr>
        <w:tblStyle w:val="a"/>
        <w:tblW w:w="9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37"/>
        <w:gridCol w:w="4927"/>
      </w:tblGrid>
      <w:tr w:rsidR="00202DDF">
        <w:tc>
          <w:tcPr>
            <w:tcW w:w="9853" w:type="dxa"/>
            <w:gridSpan w:val="3"/>
          </w:tcPr>
          <w:p w:rsidR="00202DDF" w:rsidRPr="00BE3E9B" w:rsidRDefault="001A5369">
            <w:pPr>
              <w:rPr>
                <w:rFonts w:ascii="Times New Roman" w:hAnsi="Times New Roman" w:cs="Times New Roman"/>
                <w:sz w:val="20"/>
                <w:szCs w:val="20"/>
              </w:rPr>
            </w:pPr>
            <w:r w:rsidRPr="00BE3E9B">
              <w:rPr>
                <w:rFonts w:ascii="Times New Roman" w:eastAsia="Times New Roman" w:hAnsi="Times New Roman" w:cs="Times New Roman"/>
                <w:i/>
                <w:sz w:val="20"/>
                <w:szCs w:val="20"/>
              </w:rPr>
              <w:t>CAMPUS</w:t>
            </w:r>
            <w:r w:rsidRPr="00BE3E9B">
              <w:rPr>
                <w:rFonts w:ascii="Times New Roman" w:eastAsia="Times New Roman" w:hAnsi="Times New Roman" w:cs="Times New Roman"/>
                <w:sz w:val="20"/>
                <w:szCs w:val="20"/>
              </w:rPr>
              <w:t>: Rio Grande</w:t>
            </w:r>
          </w:p>
        </w:tc>
      </w:tr>
      <w:tr w:rsidR="00202DDF">
        <w:tc>
          <w:tcPr>
            <w:tcW w:w="4926" w:type="dxa"/>
            <w:gridSpan w:val="2"/>
          </w:tcPr>
          <w:p w:rsidR="00202DDF" w:rsidRPr="00BE3E9B" w:rsidRDefault="001A5369">
            <w:pPr>
              <w:jc w:val="center"/>
              <w:rPr>
                <w:rFonts w:ascii="Times New Roman" w:hAnsi="Times New Roman" w:cs="Times New Roman"/>
                <w:sz w:val="20"/>
                <w:szCs w:val="20"/>
              </w:rPr>
            </w:pPr>
            <w:r w:rsidRPr="00BE3E9B">
              <w:rPr>
                <w:rFonts w:ascii="Times New Roman" w:eastAsia="Times New Roman" w:hAnsi="Times New Roman" w:cs="Times New Roman"/>
                <w:sz w:val="20"/>
                <w:szCs w:val="20"/>
              </w:rPr>
              <w:t>OBJETIVOS TRAÇADOS</w:t>
            </w:r>
          </w:p>
        </w:tc>
        <w:tc>
          <w:tcPr>
            <w:tcW w:w="4927" w:type="dxa"/>
          </w:tcPr>
          <w:p w:rsidR="00202DDF" w:rsidRPr="00BE3E9B" w:rsidRDefault="001A5369">
            <w:pPr>
              <w:jc w:val="center"/>
              <w:rPr>
                <w:rFonts w:ascii="Times New Roman" w:hAnsi="Times New Roman" w:cs="Times New Roman"/>
                <w:sz w:val="20"/>
                <w:szCs w:val="20"/>
              </w:rPr>
            </w:pPr>
            <w:r w:rsidRPr="00BE3E9B">
              <w:rPr>
                <w:rFonts w:ascii="Times New Roman" w:eastAsia="Times New Roman" w:hAnsi="Times New Roman" w:cs="Times New Roman"/>
                <w:sz w:val="20"/>
                <w:szCs w:val="20"/>
              </w:rPr>
              <w:t>PRINCIPAIS AÇÕES REALIZADAS</w:t>
            </w:r>
          </w:p>
        </w:tc>
      </w:tr>
      <w:tr w:rsidR="00202DDF">
        <w:tc>
          <w:tcPr>
            <w:tcW w:w="9853" w:type="dxa"/>
            <w:gridSpan w:val="3"/>
          </w:tcPr>
          <w:p w:rsidR="00202DDF" w:rsidRPr="00BE3E9B" w:rsidRDefault="001A5369">
            <w:pPr>
              <w:jc w:val="center"/>
              <w:rPr>
                <w:rFonts w:ascii="Times New Roman" w:hAnsi="Times New Roman" w:cs="Times New Roman"/>
                <w:sz w:val="20"/>
                <w:szCs w:val="20"/>
              </w:rPr>
            </w:pPr>
            <w:r w:rsidRPr="00BE3E9B">
              <w:rPr>
                <w:rFonts w:ascii="Times New Roman" w:eastAsia="Times New Roman" w:hAnsi="Times New Roman" w:cs="Times New Roman"/>
                <w:b/>
                <w:sz w:val="20"/>
                <w:szCs w:val="20"/>
              </w:rPr>
              <w:t>ADMINISTRAÇÃO</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Fortalecer a governança, visando a melhor organização e funcionamento administrativo do IFRS.</w:t>
            </w:r>
          </w:p>
        </w:tc>
        <w:tc>
          <w:tcPr>
            <w:tcW w:w="4964" w:type="dxa"/>
            <w:gridSpan w:val="2"/>
          </w:tcPr>
          <w:p w:rsidR="00202DDF" w:rsidRPr="00BE3E9B" w:rsidRDefault="001A5369" w:rsidP="003C55B9">
            <w:pPr>
              <w:jc w:val="both"/>
              <w:rPr>
                <w:rFonts w:ascii="Times New Roman" w:hAnsi="Times New Roman" w:cs="Times New Roman"/>
                <w:color w:val="auto"/>
                <w:sz w:val="20"/>
                <w:szCs w:val="20"/>
              </w:rPr>
            </w:pPr>
            <w:r w:rsidRPr="00BE3E9B">
              <w:rPr>
                <w:rFonts w:ascii="Times New Roman" w:eastAsia="Times New Roman" w:hAnsi="Times New Roman" w:cs="Times New Roman"/>
                <w:color w:val="auto"/>
                <w:sz w:val="20"/>
                <w:szCs w:val="20"/>
              </w:rPr>
              <w:t xml:space="preserve">- A realocação da Secretaria Acadêmica </w:t>
            </w:r>
            <w:r w:rsidR="00A35726" w:rsidRPr="00BE3E9B">
              <w:rPr>
                <w:rFonts w:ascii="Times New Roman" w:eastAsia="Times New Roman" w:hAnsi="Times New Roman" w:cs="Times New Roman"/>
                <w:color w:val="auto"/>
                <w:sz w:val="20"/>
                <w:szCs w:val="20"/>
              </w:rPr>
              <w:t>e Registro Escolar</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Aprimorar a gestão do patrimônio imobiliário do IFRS.</w:t>
            </w:r>
          </w:p>
        </w:tc>
        <w:tc>
          <w:tcPr>
            <w:tcW w:w="4964" w:type="dxa"/>
            <w:gridSpan w:val="2"/>
          </w:tcPr>
          <w:p w:rsidR="00202DDF" w:rsidRPr="00BE3E9B" w:rsidRDefault="001A5369" w:rsidP="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M</w:t>
            </w:r>
            <w:r w:rsidR="00A35726" w:rsidRPr="00BE3E9B">
              <w:rPr>
                <w:rFonts w:ascii="Times New Roman" w:eastAsia="Times New Roman" w:hAnsi="Times New Roman" w:cs="Times New Roman"/>
                <w:sz w:val="20"/>
                <w:szCs w:val="20"/>
              </w:rPr>
              <w:t>elhoria</w:t>
            </w:r>
            <w:r w:rsidRPr="00BE3E9B">
              <w:rPr>
                <w:rFonts w:ascii="Times New Roman" w:eastAsia="Times New Roman" w:hAnsi="Times New Roman" w:cs="Times New Roman"/>
                <w:sz w:val="20"/>
                <w:szCs w:val="20"/>
              </w:rPr>
              <w:t>s na</w:t>
            </w:r>
            <w:r w:rsidR="00A35726" w:rsidRPr="00BE3E9B">
              <w:rPr>
                <w:rFonts w:ascii="Times New Roman" w:eastAsia="Times New Roman" w:hAnsi="Times New Roman" w:cs="Times New Roman"/>
                <w:sz w:val="20"/>
                <w:szCs w:val="20"/>
              </w:rPr>
              <w:t xml:space="preserve"> i</w:t>
            </w:r>
            <w:r w:rsidRPr="00BE3E9B">
              <w:rPr>
                <w:rFonts w:ascii="Times New Roman" w:eastAsia="Times New Roman" w:hAnsi="Times New Roman" w:cs="Times New Roman"/>
                <w:sz w:val="20"/>
                <w:szCs w:val="20"/>
              </w:rPr>
              <w:t xml:space="preserve">nfraestrutura dos prédios ocupados no </w:t>
            </w:r>
            <w:r w:rsidRPr="00BE3E9B">
              <w:rPr>
                <w:rFonts w:ascii="Times New Roman" w:eastAsia="Times New Roman" w:hAnsi="Times New Roman" w:cs="Times New Roman"/>
                <w:i/>
                <w:sz w:val="20"/>
                <w:szCs w:val="20"/>
              </w:rPr>
              <w:t>Campus</w:t>
            </w:r>
            <w:r w:rsidRPr="00BE3E9B">
              <w:rPr>
                <w:rFonts w:ascii="Times New Roman" w:eastAsia="Times New Roman" w:hAnsi="Times New Roman" w:cs="Times New Roman"/>
                <w:sz w:val="20"/>
                <w:szCs w:val="20"/>
              </w:rPr>
              <w:t>;</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Aperfeiçoar o processo de alocação e de gestão dos recursos públicos mediante o fortalecimento e a integração das funções de planejamento, orçamento, execução, monitoramento, avaliação e controle.</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Aquisição de material de consumo de limpeza, expediente e manutenção do </w:t>
            </w:r>
            <w:r w:rsidRPr="00BE3E9B">
              <w:rPr>
                <w:rFonts w:ascii="Times New Roman" w:eastAsia="Times New Roman" w:hAnsi="Times New Roman" w:cs="Times New Roman"/>
                <w:i/>
                <w:sz w:val="20"/>
                <w:szCs w:val="20"/>
              </w:rPr>
              <w:t>Campus</w:t>
            </w:r>
            <w:r w:rsidRPr="00BE3E9B">
              <w:rPr>
                <w:rFonts w:ascii="Times New Roman" w:eastAsia="Times New Roman" w:hAnsi="Times New Roman" w:cs="Times New Roman"/>
                <w:sz w:val="20"/>
                <w:szCs w:val="20"/>
              </w:rPr>
              <w:t>;</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Integração das direções de Administração e de Desenvolvimento Institucional, voltadas para a melhoria da infraestrutura do </w:t>
            </w:r>
            <w:r w:rsidRPr="00BE3E9B">
              <w:rPr>
                <w:rFonts w:ascii="Times New Roman" w:eastAsia="Times New Roman" w:hAnsi="Times New Roman" w:cs="Times New Roman"/>
                <w:i/>
                <w:sz w:val="20"/>
                <w:szCs w:val="20"/>
              </w:rPr>
              <w:t>Campus</w:t>
            </w:r>
            <w:r w:rsidRPr="00BE3E9B">
              <w:rPr>
                <w:rFonts w:ascii="Times New Roman" w:eastAsia="Times New Roman" w:hAnsi="Times New Roman" w:cs="Times New Roman"/>
                <w:sz w:val="20"/>
                <w:szCs w:val="20"/>
              </w:rPr>
              <w:t xml:space="preserve"> e da qualidade do ensino, de forma que o planejamento das ações e a execução do orçamento sejam realizados de forma mais efetiva;</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color w:val="auto"/>
                <w:sz w:val="20"/>
                <w:szCs w:val="20"/>
              </w:rPr>
              <w:t xml:space="preserve">- Funcionamento a contento do </w:t>
            </w:r>
            <w:r w:rsidRPr="00BE3E9B">
              <w:rPr>
                <w:rFonts w:ascii="Times New Roman" w:eastAsia="Times New Roman" w:hAnsi="Times New Roman" w:cs="Times New Roman"/>
                <w:i/>
                <w:color w:val="auto"/>
                <w:sz w:val="20"/>
                <w:szCs w:val="20"/>
              </w:rPr>
              <w:t>Campus</w:t>
            </w:r>
            <w:r w:rsidRPr="00BE3E9B">
              <w:rPr>
                <w:rFonts w:ascii="Times New Roman" w:eastAsia="Times New Roman" w:hAnsi="Times New Roman" w:cs="Times New Roman"/>
                <w:color w:val="auto"/>
                <w:sz w:val="20"/>
                <w:szCs w:val="20"/>
              </w:rPr>
              <w:t xml:space="preserve"> e implantações de melhorias, como pintura de pavilhões e realocações de Cursos;</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Viabilizar a elaboração das políticas de gestão de pessoas para aprovação junto às instâncias superiores.</w:t>
            </w:r>
          </w:p>
        </w:tc>
        <w:tc>
          <w:tcPr>
            <w:tcW w:w="4964" w:type="dxa"/>
            <w:gridSpan w:val="2"/>
          </w:tcPr>
          <w:p w:rsidR="00202DDF" w:rsidRPr="00BE3E9B" w:rsidRDefault="001A5369" w:rsidP="001A5369">
            <w:pPr>
              <w:jc w:val="both"/>
              <w:rPr>
                <w:rFonts w:ascii="Times New Roman" w:hAnsi="Times New Roman" w:cs="Times New Roman"/>
                <w:sz w:val="20"/>
                <w:szCs w:val="20"/>
              </w:rPr>
            </w:pPr>
            <w:r w:rsidRPr="00BE3E9B">
              <w:rPr>
                <w:rFonts w:ascii="Times New Roman" w:eastAsia="Times New Roman" w:hAnsi="Times New Roman" w:cs="Times New Roman"/>
                <w:color w:val="auto"/>
                <w:sz w:val="20"/>
                <w:szCs w:val="20"/>
              </w:rPr>
              <w:t>- Reuniões sistemáticas com o presidente da CIS, a fim de alinhar o discurso, principalmente em questões referentes aos TAES nas decisões/votações do CONSUP;</w:t>
            </w:r>
          </w:p>
        </w:tc>
      </w:tr>
      <w:tr w:rsidR="00202DDF" w:rsidTr="00A35726">
        <w:tc>
          <w:tcPr>
            <w:tcW w:w="4889" w:type="dxa"/>
            <w:vAlign w:val="center"/>
          </w:tcPr>
          <w:p w:rsidR="00202DDF" w:rsidRPr="00BE3E9B" w:rsidRDefault="001A5369" w:rsidP="00A35726">
            <w:pPr>
              <w:rPr>
                <w:rFonts w:ascii="Times New Roman" w:hAnsi="Times New Roman" w:cs="Times New Roman"/>
                <w:color w:val="auto"/>
                <w:sz w:val="20"/>
                <w:szCs w:val="20"/>
              </w:rPr>
            </w:pPr>
            <w:r w:rsidRPr="00BE3E9B">
              <w:rPr>
                <w:rFonts w:ascii="Times New Roman" w:eastAsia="Times New Roman" w:hAnsi="Times New Roman" w:cs="Times New Roman"/>
                <w:color w:val="auto"/>
                <w:sz w:val="20"/>
                <w:szCs w:val="20"/>
              </w:rPr>
              <w:t>Realizar ações de capacitação dos servidores visando à eficiência, eficácia e qualidade dos serviços prestados à sociedade em consonância com as Diretrizes Nacionais da Política de Desenvolvimento de Pessoal e os interesses institucionais.</w:t>
            </w:r>
          </w:p>
        </w:tc>
        <w:tc>
          <w:tcPr>
            <w:tcW w:w="4964" w:type="dxa"/>
            <w:gridSpan w:val="2"/>
          </w:tcPr>
          <w:p w:rsidR="00202DDF" w:rsidRPr="00BE3E9B" w:rsidRDefault="001A5369" w:rsidP="003C55B9">
            <w:pPr>
              <w:jc w:val="both"/>
              <w:rPr>
                <w:rFonts w:ascii="Times New Roman" w:hAnsi="Times New Roman" w:cs="Times New Roman"/>
                <w:color w:val="auto"/>
                <w:sz w:val="20"/>
                <w:szCs w:val="20"/>
              </w:rPr>
            </w:pPr>
            <w:r w:rsidRPr="00BE3E9B">
              <w:rPr>
                <w:rFonts w:ascii="Times New Roman" w:eastAsia="Times New Roman" w:hAnsi="Times New Roman" w:cs="Times New Roman"/>
                <w:color w:val="auto"/>
                <w:sz w:val="20"/>
                <w:szCs w:val="20"/>
              </w:rPr>
              <w:t>- Realização de projetos de promoção à saúde;</w:t>
            </w:r>
          </w:p>
          <w:p w:rsidR="00202DDF" w:rsidRPr="00BE3E9B" w:rsidRDefault="001A5369" w:rsidP="003C55B9">
            <w:pPr>
              <w:jc w:val="both"/>
              <w:rPr>
                <w:rFonts w:ascii="Times New Roman" w:hAnsi="Times New Roman" w:cs="Times New Roman"/>
                <w:color w:val="auto"/>
                <w:sz w:val="20"/>
                <w:szCs w:val="20"/>
              </w:rPr>
            </w:pPr>
            <w:r w:rsidRPr="00BE3E9B">
              <w:rPr>
                <w:rFonts w:ascii="Times New Roman" w:eastAsia="Times New Roman" w:hAnsi="Times New Roman" w:cs="Times New Roman"/>
                <w:color w:val="auto"/>
                <w:sz w:val="20"/>
                <w:szCs w:val="20"/>
              </w:rPr>
              <w:t>- Ações de capacitação em nível local, regional, nacional e internacional;</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Aprimorar o gerenciamento logístico para atendimento das demandas do IFRS previstas no PDI e Planos de Ação.</w:t>
            </w:r>
          </w:p>
        </w:tc>
        <w:tc>
          <w:tcPr>
            <w:tcW w:w="4964" w:type="dxa"/>
            <w:gridSpan w:val="2"/>
          </w:tcPr>
          <w:p w:rsidR="00202DDF" w:rsidRPr="00BE3E9B" w:rsidRDefault="00202DDF" w:rsidP="003C55B9">
            <w:pPr>
              <w:jc w:val="both"/>
              <w:rPr>
                <w:rFonts w:ascii="Times New Roman" w:hAnsi="Times New Roman" w:cs="Times New Roman"/>
                <w:sz w:val="20"/>
                <w:szCs w:val="20"/>
              </w:rPr>
            </w:pPr>
          </w:p>
        </w:tc>
      </w:tr>
      <w:tr w:rsidR="00202DDF" w:rsidTr="00A35726">
        <w:tc>
          <w:tcPr>
            <w:tcW w:w="4889" w:type="dxa"/>
            <w:vAlign w:val="center"/>
          </w:tcPr>
          <w:p w:rsidR="00202DDF" w:rsidRPr="00BE3E9B" w:rsidRDefault="00A35726"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Aperfeiçoar os procedimentos de contratação e gestão de bens e serviços, observando os critérios de sustentabilidade e os princípios da legalidade, impessoalidade, moralidade, publicidade e eficiência.</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Contratação de manutenção dos climatizadores de ar</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Melhorar a segurança no </w:t>
            </w:r>
            <w:r w:rsidRPr="00BE3E9B">
              <w:rPr>
                <w:rFonts w:ascii="Times New Roman" w:eastAsia="Times New Roman" w:hAnsi="Times New Roman" w:cs="Times New Roman"/>
                <w:i/>
                <w:sz w:val="20"/>
                <w:szCs w:val="20"/>
              </w:rPr>
              <w:t>Campus</w:t>
            </w:r>
          </w:p>
        </w:tc>
      </w:tr>
      <w:tr w:rsidR="00202DDF">
        <w:tc>
          <w:tcPr>
            <w:tcW w:w="9853" w:type="dxa"/>
            <w:gridSpan w:val="3"/>
          </w:tcPr>
          <w:p w:rsidR="00202DDF" w:rsidRPr="00BE3E9B" w:rsidRDefault="001A5369" w:rsidP="003C55B9">
            <w:pPr>
              <w:jc w:val="center"/>
              <w:rPr>
                <w:rFonts w:ascii="Times New Roman" w:hAnsi="Times New Roman" w:cs="Times New Roman"/>
                <w:sz w:val="20"/>
                <w:szCs w:val="20"/>
              </w:rPr>
            </w:pPr>
            <w:r w:rsidRPr="00BE3E9B">
              <w:rPr>
                <w:rFonts w:ascii="Times New Roman" w:eastAsia="Times New Roman" w:hAnsi="Times New Roman" w:cs="Times New Roman"/>
                <w:b/>
                <w:sz w:val="20"/>
                <w:szCs w:val="20"/>
              </w:rPr>
              <w:t>DESENVOLVIMENTO INSTITUCIONAL</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Planejar e coordenar a impl</w:t>
            </w:r>
            <w:r w:rsidR="00A35726" w:rsidRPr="00BE3E9B">
              <w:rPr>
                <w:rFonts w:ascii="Times New Roman" w:eastAsia="Times New Roman" w:hAnsi="Times New Roman" w:cs="Times New Roman"/>
                <w:sz w:val="20"/>
                <w:szCs w:val="20"/>
              </w:rPr>
              <w:t>antação dos campi novos do IFRS</w:t>
            </w:r>
          </w:p>
        </w:tc>
        <w:tc>
          <w:tcPr>
            <w:tcW w:w="4964" w:type="dxa"/>
            <w:gridSpan w:val="2"/>
          </w:tcPr>
          <w:p w:rsidR="00202DDF" w:rsidRPr="00BE3E9B" w:rsidRDefault="00202DDF" w:rsidP="003C55B9">
            <w:pPr>
              <w:jc w:val="both"/>
              <w:rPr>
                <w:rFonts w:ascii="Times New Roman" w:hAnsi="Times New Roman" w:cs="Times New Roman"/>
                <w:sz w:val="20"/>
                <w:szCs w:val="20"/>
              </w:rPr>
            </w:pP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lastRenderedPageBreak/>
              <w:t xml:space="preserve">Modernizar a infraestrutura </w:t>
            </w:r>
            <w:r w:rsidRPr="00BE3E9B">
              <w:rPr>
                <w:rFonts w:ascii="Times New Roman" w:eastAsia="Times New Roman" w:hAnsi="Times New Roman" w:cs="Times New Roman"/>
                <w:color w:val="auto"/>
                <w:sz w:val="20"/>
                <w:szCs w:val="20"/>
              </w:rPr>
              <w:t xml:space="preserve">física e </w:t>
            </w:r>
            <w:r w:rsidR="00A35726" w:rsidRPr="00BE3E9B">
              <w:rPr>
                <w:rFonts w:ascii="Times New Roman" w:eastAsia="Times New Roman" w:hAnsi="Times New Roman" w:cs="Times New Roman"/>
                <w:color w:val="auto"/>
                <w:sz w:val="20"/>
                <w:szCs w:val="20"/>
              </w:rPr>
              <w:t>tecnológica</w:t>
            </w:r>
            <w:r w:rsidRPr="00BE3E9B">
              <w:rPr>
                <w:rFonts w:ascii="Times New Roman" w:eastAsia="Times New Roman" w:hAnsi="Times New Roman" w:cs="Times New Roman"/>
                <w:color w:val="auto"/>
                <w:sz w:val="20"/>
                <w:szCs w:val="20"/>
              </w:rPr>
              <w:t xml:space="preserve"> do </w:t>
            </w:r>
            <w:r w:rsidRPr="00BE3E9B">
              <w:rPr>
                <w:rFonts w:ascii="Times New Roman" w:eastAsia="Times New Roman" w:hAnsi="Times New Roman" w:cs="Times New Roman"/>
                <w:sz w:val="20"/>
                <w:szCs w:val="20"/>
              </w:rPr>
              <w:t>IFRS.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Ampliação da subestação, elétrica do pavilhão 11 e conclusão de obras em andamento;</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Consolidação do funcionamento e modernização do DataCenter através de um sistema de climatização reserva para o equipamento e aquisição da primeira etapa do projeto de virtualização;</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Participação do setor de Tecnologia da Informação de forma proativa no planejamento e execução das ações de infraestrutura do </w:t>
            </w:r>
            <w:r w:rsidRPr="00BE3E9B">
              <w:rPr>
                <w:rFonts w:ascii="Times New Roman" w:eastAsia="Times New Roman" w:hAnsi="Times New Roman" w:cs="Times New Roman"/>
                <w:i/>
                <w:sz w:val="20"/>
                <w:szCs w:val="20"/>
              </w:rPr>
              <w:t>Campus</w:t>
            </w:r>
            <w:r w:rsidRPr="00BE3E9B">
              <w:rPr>
                <w:rFonts w:ascii="Times New Roman" w:eastAsia="Times New Roman" w:hAnsi="Times New Roman" w:cs="Times New Roman"/>
                <w:sz w:val="20"/>
                <w:szCs w:val="20"/>
              </w:rPr>
              <w:t>;</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Elaboração do</w:t>
            </w:r>
            <w:r w:rsidR="00A35726" w:rsidRPr="00BE3E9B">
              <w:rPr>
                <w:rFonts w:ascii="Times New Roman" w:eastAsia="Times New Roman" w:hAnsi="Times New Roman" w:cs="Times New Roman"/>
                <w:sz w:val="20"/>
                <w:szCs w:val="20"/>
              </w:rPr>
              <w:t>s</w:t>
            </w:r>
            <w:r w:rsidRPr="00BE3E9B">
              <w:rPr>
                <w:rFonts w:ascii="Times New Roman" w:eastAsia="Times New Roman" w:hAnsi="Times New Roman" w:cs="Times New Roman"/>
                <w:sz w:val="20"/>
                <w:szCs w:val="20"/>
              </w:rPr>
              <w:t xml:space="preserve"> projeto</w:t>
            </w:r>
            <w:r w:rsidR="00A35726" w:rsidRPr="00BE3E9B">
              <w:rPr>
                <w:rFonts w:ascii="Times New Roman" w:eastAsia="Times New Roman" w:hAnsi="Times New Roman" w:cs="Times New Roman"/>
                <w:sz w:val="20"/>
                <w:szCs w:val="20"/>
              </w:rPr>
              <w:t>s da rede</w:t>
            </w:r>
            <w:r w:rsidRPr="00BE3E9B">
              <w:rPr>
                <w:rFonts w:ascii="Times New Roman" w:eastAsia="Times New Roman" w:hAnsi="Times New Roman" w:cs="Times New Roman"/>
                <w:sz w:val="20"/>
                <w:szCs w:val="20"/>
              </w:rPr>
              <w:t xml:space="preserve"> lógica dos pavilhões 11 e 12;</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Implantar um sistema para a elaboração e acompanhamento do Planejamento Estratégico e Planos de Ação.</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Coordenar a elaboração, acompanhamento do Plano de Ação e desenvolver mecanismos de controle e melhoria na transparência das ações executadas;</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color w:val="auto"/>
                <w:sz w:val="20"/>
                <w:szCs w:val="20"/>
              </w:rPr>
              <w:t xml:space="preserve">- </w:t>
            </w:r>
            <w:r w:rsidR="00A35726" w:rsidRPr="00BE3E9B">
              <w:rPr>
                <w:rFonts w:ascii="Times New Roman" w:eastAsia="Times New Roman" w:hAnsi="Times New Roman" w:cs="Times New Roman"/>
                <w:color w:val="auto"/>
                <w:sz w:val="20"/>
                <w:szCs w:val="20"/>
              </w:rPr>
              <w:t>Reuniões com todos os setores e cursos, através de</w:t>
            </w:r>
            <w:r w:rsidRPr="00BE3E9B">
              <w:rPr>
                <w:rFonts w:ascii="Times New Roman" w:eastAsia="Times New Roman" w:hAnsi="Times New Roman" w:cs="Times New Roman"/>
                <w:color w:val="auto"/>
                <w:sz w:val="20"/>
                <w:szCs w:val="20"/>
              </w:rPr>
              <w:t xml:space="preserve"> </w:t>
            </w:r>
            <w:r w:rsidR="00A35726" w:rsidRPr="00BE3E9B">
              <w:rPr>
                <w:rFonts w:ascii="Times New Roman" w:eastAsia="Times New Roman" w:hAnsi="Times New Roman" w:cs="Times New Roman"/>
                <w:color w:val="auto"/>
                <w:sz w:val="20"/>
                <w:szCs w:val="20"/>
              </w:rPr>
              <w:t>um trabalho didático/gerencial,</w:t>
            </w:r>
            <w:r w:rsidRPr="00BE3E9B">
              <w:rPr>
                <w:rFonts w:ascii="Times New Roman" w:eastAsia="Times New Roman" w:hAnsi="Times New Roman" w:cs="Times New Roman"/>
                <w:color w:val="auto"/>
                <w:sz w:val="20"/>
                <w:szCs w:val="20"/>
              </w:rPr>
              <w:t xml:space="preserve"> explicando em detalhes como elaborar o PA e como su</w:t>
            </w:r>
            <w:r w:rsidR="00A35726" w:rsidRPr="00BE3E9B">
              <w:rPr>
                <w:rFonts w:ascii="Times New Roman" w:eastAsia="Times New Roman" w:hAnsi="Times New Roman" w:cs="Times New Roman"/>
                <w:color w:val="auto"/>
                <w:sz w:val="20"/>
                <w:szCs w:val="20"/>
              </w:rPr>
              <w:t>a execução pode ser acompanhada;</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Implantar um Sistema Integrado de Gestão (ERP).</w:t>
            </w:r>
          </w:p>
        </w:tc>
        <w:tc>
          <w:tcPr>
            <w:tcW w:w="4964" w:type="dxa"/>
            <w:gridSpan w:val="2"/>
          </w:tcPr>
          <w:p w:rsidR="00202DDF" w:rsidRPr="00BE3E9B" w:rsidRDefault="00202DDF" w:rsidP="003C55B9">
            <w:pPr>
              <w:jc w:val="both"/>
              <w:rPr>
                <w:rFonts w:ascii="Times New Roman" w:hAnsi="Times New Roman" w:cs="Times New Roman"/>
                <w:sz w:val="20"/>
                <w:szCs w:val="20"/>
              </w:rPr>
            </w:pP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Consolidar a estrutura administrativa do IFRS.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Participação da equipe de DDI em Cursos e Eventos;</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Participação efetiva dos servidores da DDI no planejamento e execução dos processos licitatórios do </w:t>
            </w:r>
            <w:r w:rsidRPr="00BE3E9B">
              <w:rPr>
                <w:rFonts w:ascii="Times New Roman" w:eastAsia="Times New Roman" w:hAnsi="Times New Roman" w:cs="Times New Roman"/>
                <w:i/>
                <w:sz w:val="20"/>
                <w:szCs w:val="20"/>
              </w:rPr>
              <w:t>Campus</w:t>
            </w:r>
            <w:r w:rsidRPr="00BE3E9B">
              <w:rPr>
                <w:rFonts w:ascii="Times New Roman" w:eastAsia="Times New Roman" w:hAnsi="Times New Roman" w:cs="Times New Roman"/>
                <w:sz w:val="20"/>
                <w:szCs w:val="20"/>
              </w:rPr>
              <w:t>;</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Suporte Helpdesck e manutenção de equipamentos de informática e ativos de rede;</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Consolidar o processo de planejamento e acompanhamento dos planos institucionais.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Consolidação e ampliação de acordos de cooperação com outras instituições;</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Acompanhamento de serviços terceirizados visando à prestação contínua e eficaz à comunidade acadêmica;</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Elaborar um repositório de informações estratégicas para o IFRS.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Aprimoramento dos sistemas de dados e indicadores institucionais;</w:t>
            </w:r>
          </w:p>
        </w:tc>
      </w:tr>
      <w:tr w:rsidR="00202DDF" w:rsidTr="00A35726">
        <w:tc>
          <w:tcPr>
            <w:tcW w:w="9853" w:type="dxa"/>
            <w:gridSpan w:val="3"/>
            <w:vAlign w:val="center"/>
          </w:tcPr>
          <w:p w:rsidR="00202DDF" w:rsidRPr="00BE3E9B" w:rsidRDefault="001A5369" w:rsidP="001A5369">
            <w:pPr>
              <w:jc w:val="center"/>
              <w:rPr>
                <w:rFonts w:ascii="Times New Roman" w:hAnsi="Times New Roman" w:cs="Times New Roman"/>
                <w:sz w:val="20"/>
                <w:szCs w:val="20"/>
              </w:rPr>
            </w:pPr>
            <w:r w:rsidRPr="00BE3E9B">
              <w:rPr>
                <w:rFonts w:ascii="Times New Roman" w:eastAsia="Times New Roman" w:hAnsi="Times New Roman" w:cs="Times New Roman"/>
                <w:b/>
                <w:sz w:val="20"/>
                <w:szCs w:val="20"/>
              </w:rPr>
              <w:t>ENSINO</w:t>
            </w:r>
          </w:p>
        </w:tc>
      </w:tr>
      <w:tr w:rsidR="00E16AC3" w:rsidTr="00A35726">
        <w:tc>
          <w:tcPr>
            <w:tcW w:w="4889" w:type="dxa"/>
            <w:vAlign w:val="center"/>
          </w:tcPr>
          <w:p w:rsidR="00E16AC3" w:rsidRPr="00BE3E9B" w:rsidRDefault="00E16AC3" w:rsidP="00E16AC3">
            <w:pPr>
              <w:rPr>
                <w:rFonts w:ascii="Times New Roman" w:eastAsia="Times New Roman" w:hAnsi="Times New Roman" w:cs="Times New Roman"/>
                <w:sz w:val="20"/>
                <w:szCs w:val="20"/>
              </w:rPr>
            </w:pPr>
            <w:r w:rsidRPr="00BE3E9B">
              <w:rPr>
                <w:rFonts w:ascii="Times New Roman" w:eastAsia="Times New Roman" w:hAnsi="Times New Roman" w:cs="Times New Roman"/>
                <w:sz w:val="20"/>
                <w:szCs w:val="20"/>
              </w:rPr>
              <w:t>Fortalecer e consolidar a oferta de cursos em todos os níveis e modalidades da EPT - Ensino Superior</w:t>
            </w:r>
          </w:p>
        </w:tc>
        <w:tc>
          <w:tcPr>
            <w:tcW w:w="4964" w:type="dxa"/>
            <w:gridSpan w:val="2"/>
          </w:tcPr>
          <w:p w:rsidR="00E16AC3" w:rsidRPr="00BE3E9B" w:rsidRDefault="00E16AC3"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Aquisição de material de consumo e investimento para a Biblioteca;</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Fortalecer e consolidar a oferta de cursos em todos os níveis e modalidades da EPT - Ensino Técnico e Educação Profissional</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Estabelecer e fortalecer convênios e parcerias com empresas, instituições de ensino e órgãos públicos da região. </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Consolidar a Política de Assistência Estudantil do IFRS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Oferta de benefícios estudantis aos alunos em situação de vulnerabilidade socioeconômica;</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lastRenderedPageBreak/>
              <w:t>- Avaliação socioeconômica, acompanhamento contínuo ao</w:t>
            </w:r>
            <w:r w:rsidR="00E16AC3" w:rsidRPr="00BE3E9B">
              <w:rPr>
                <w:rFonts w:ascii="Times New Roman" w:eastAsia="Times New Roman" w:hAnsi="Times New Roman" w:cs="Times New Roman"/>
                <w:sz w:val="20"/>
                <w:szCs w:val="20"/>
              </w:rPr>
              <w:t>s</w:t>
            </w:r>
            <w:r w:rsidRPr="00BE3E9B">
              <w:rPr>
                <w:rFonts w:ascii="Times New Roman" w:eastAsia="Times New Roman" w:hAnsi="Times New Roman" w:cs="Times New Roman"/>
                <w:sz w:val="20"/>
                <w:szCs w:val="20"/>
              </w:rPr>
              <w:t xml:space="preserve"> alunos beneficiários, visitas domiciliares e encaminhamento de direitos;</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lastRenderedPageBreak/>
              <w:t>Consolidar o Processo de Ingresso discente do IFRS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Fortalecimento da COPERSE e divulgação antecipada da documentação necessária ao processo de matrícula;</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Criar Observatório da evasão e retenção discente no IFRS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color w:val="auto"/>
                <w:sz w:val="20"/>
                <w:szCs w:val="20"/>
              </w:rPr>
              <w:t xml:space="preserve">- Participação de representantes do </w:t>
            </w:r>
            <w:r w:rsidRPr="00BE3E9B">
              <w:rPr>
                <w:rFonts w:ascii="Times New Roman" w:eastAsia="Times New Roman" w:hAnsi="Times New Roman" w:cs="Times New Roman"/>
                <w:i/>
                <w:color w:val="auto"/>
                <w:sz w:val="20"/>
                <w:szCs w:val="20"/>
              </w:rPr>
              <w:t>Campus</w:t>
            </w:r>
            <w:r w:rsidRPr="00BE3E9B">
              <w:rPr>
                <w:rFonts w:ascii="Times New Roman" w:eastAsia="Times New Roman" w:hAnsi="Times New Roman" w:cs="Times New Roman"/>
                <w:color w:val="auto"/>
                <w:sz w:val="20"/>
                <w:szCs w:val="20"/>
              </w:rPr>
              <w:t xml:space="preserve"> nas comissões criadas na PROEN</w:t>
            </w:r>
            <w:r w:rsidR="00E16AC3" w:rsidRPr="00BE3E9B">
              <w:rPr>
                <w:rFonts w:ascii="Times New Roman" w:eastAsia="Times New Roman" w:hAnsi="Times New Roman" w:cs="Times New Roman"/>
                <w:color w:val="auto"/>
                <w:sz w:val="20"/>
                <w:szCs w:val="20"/>
              </w:rPr>
              <w:t>;</w:t>
            </w:r>
          </w:p>
        </w:tc>
      </w:tr>
      <w:tr w:rsidR="00202DDF" w:rsidTr="00A35726">
        <w:tc>
          <w:tcPr>
            <w:tcW w:w="9853" w:type="dxa"/>
            <w:gridSpan w:val="3"/>
            <w:vAlign w:val="center"/>
          </w:tcPr>
          <w:p w:rsidR="00202DDF" w:rsidRPr="00BE3E9B" w:rsidRDefault="001A5369" w:rsidP="003C55B9">
            <w:pPr>
              <w:jc w:val="center"/>
              <w:rPr>
                <w:rFonts w:ascii="Times New Roman" w:hAnsi="Times New Roman" w:cs="Times New Roman"/>
                <w:sz w:val="20"/>
                <w:szCs w:val="20"/>
              </w:rPr>
            </w:pPr>
            <w:r w:rsidRPr="00BE3E9B">
              <w:rPr>
                <w:rFonts w:ascii="Times New Roman" w:eastAsia="Times New Roman" w:hAnsi="Times New Roman" w:cs="Times New Roman"/>
                <w:b/>
                <w:sz w:val="20"/>
                <w:szCs w:val="20"/>
              </w:rPr>
              <w:t>EXTENSÃO</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Promover e subsidiar ações de inclusão social, digital, etnia, racial, de gênero e de grupos em vulnerabilidade social buscando o respeito à diversidade, a valorização cultural e a equidade social.</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Cont</w:t>
            </w:r>
            <w:r w:rsidR="00E16AC3" w:rsidRPr="00BE3E9B">
              <w:rPr>
                <w:rFonts w:ascii="Times New Roman" w:eastAsia="Times New Roman" w:hAnsi="Times New Roman" w:cs="Times New Roman"/>
                <w:sz w:val="20"/>
                <w:szCs w:val="20"/>
              </w:rPr>
              <w:t>ratação de intérprete de LIBRAS;</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Formação do Núcleo de Estudo e Pesquisa em Gênero e Sexualidade (NEPGS) no </w:t>
            </w:r>
            <w:r w:rsidR="00B60A87" w:rsidRPr="00BE3E9B">
              <w:rPr>
                <w:rFonts w:ascii="Times New Roman" w:eastAsia="Times New Roman" w:hAnsi="Times New Roman" w:cs="Times New Roman"/>
                <w:i/>
                <w:sz w:val="20"/>
                <w:szCs w:val="20"/>
              </w:rPr>
              <w:t>C</w:t>
            </w:r>
            <w:r w:rsidRPr="00BE3E9B">
              <w:rPr>
                <w:rFonts w:ascii="Times New Roman" w:eastAsia="Times New Roman" w:hAnsi="Times New Roman" w:cs="Times New Roman"/>
                <w:i/>
                <w:sz w:val="20"/>
                <w:szCs w:val="20"/>
              </w:rPr>
              <w:t>ampus</w:t>
            </w:r>
            <w:r w:rsidR="00E16AC3" w:rsidRPr="00BE3E9B">
              <w:rPr>
                <w:rFonts w:ascii="Times New Roman" w:eastAsia="Times New Roman" w:hAnsi="Times New Roman" w:cs="Times New Roman"/>
                <w:sz w:val="20"/>
                <w:szCs w:val="20"/>
              </w:rPr>
              <w:t>;</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Recomposição das equipes </w:t>
            </w:r>
            <w:r w:rsidR="00E16AC3" w:rsidRPr="00BE3E9B">
              <w:rPr>
                <w:rFonts w:ascii="Times New Roman" w:eastAsia="Times New Roman" w:hAnsi="Times New Roman" w:cs="Times New Roman"/>
                <w:sz w:val="20"/>
                <w:szCs w:val="20"/>
              </w:rPr>
              <w:t>e coordenações do NEABI e NAPNE;</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Proporcionar acessibilidade e permanência aos alunos com necessidades especiais nos diferentes ambientes escolares, i</w:t>
            </w:r>
            <w:r w:rsidR="00E16AC3" w:rsidRPr="00BE3E9B">
              <w:rPr>
                <w:rFonts w:ascii="Times New Roman" w:eastAsia="Times New Roman" w:hAnsi="Times New Roman" w:cs="Times New Roman"/>
                <w:sz w:val="20"/>
                <w:szCs w:val="20"/>
              </w:rPr>
              <w:t>ncluindo a participação em aula;</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Realização de ações voltadas às temáticas indígenas e de integração com a comunidade</w:t>
            </w:r>
            <w:r w:rsidR="00E16AC3" w:rsidRPr="00BE3E9B">
              <w:rPr>
                <w:rFonts w:ascii="Times New Roman" w:eastAsia="Times New Roman" w:hAnsi="Times New Roman" w:cs="Times New Roman"/>
                <w:sz w:val="20"/>
                <w:szCs w:val="20"/>
              </w:rPr>
              <w:t xml:space="preserve"> senegalesa residente na cidade;</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Realização de diversos eventos voltados às ações afirmativas, propostos pelo NEPGS e NEABI, e cursos</w:t>
            </w:r>
            <w:r w:rsidR="00E16AC3" w:rsidRPr="00BE3E9B">
              <w:rPr>
                <w:rFonts w:ascii="Times New Roman" w:eastAsia="Times New Roman" w:hAnsi="Times New Roman" w:cs="Times New Roman"/>
                <w:sz w:val="20"/>
                <w:szCs w:val="20"/>
              </w:rPr>
              <w:t xml:space="preserve"> de LIBRAS relacionados ao NAPNE;</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Suport</w:t>
            </w:r>
            <w:r w:rsidR="00E16AC3" w:rsidRPr="00BE3E9B">
              <w:rPr>
                <w:rFonts w:ascii="Times New Roman" w:eastAsia="Times New Roman" w:hAnsi="Times New Roman" w:cs="Times New Roman"/>
                <w:sz w:val="20"/>
                <w:szCs w:val="20"/>
              </w:rPr>
              <w:t>e do NAPNE no Processo Seletivo;</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Organização de gincana de solidarização, promovida pelo NEABI, CORE e Comunicação, para auxílio de comunidades indígenas em sit</w:t>
            </w:r>
            <w:r w:rsidR="00E16AC3" w:rsidRPr="00BE3E9B">
              <w:rPr>
                <w:rFonts w:ascii="Times New Roman" w:eastAsia="Times New Roman" w:hAnsi="Times New Roman" w:cs="Times New Roman"/>
                <w:sz w:val="20"/>
                <w:szCs w:val="20"/>
              </w:rPr>
              <w:t>uação de vulnerabilidade social;</w:t>
            </w:r>
          </w:p>
        </w:tc>
      </w:tr>
      <w:tr w:rsidR="00202DDF" w:rsidTr="00A35726">
        <w:tc>
          <w:tcPr>
            <w:tcW w:w="4889" w:type="dxa"/>
            <w:vAlign w:val="center"/>
          </w:tcPr>
          <w:p w:rsidR="00202DDF" w:rsidRPr="00BE3E9B" w:rsidRDefault="001A5369" w:rsidP="00A35726">
            <w:pPr>
              <w:rPr>
                <w:rFonts w:ascii="Times New Roman" w:hAnsi="Times New Roman" w:cs="Times New Roman"/>
                <w:sz w:val="20"/>
                <w:szCs w:val="20"/>
              </w:rPr>
            </w:pPr>
            <w:r w:rsidRPr="00BE3E9B">
              <w:rPr>
                <w:rFonts w:ascii="Times New Roman" w:eastAsia="Times New Roman" w:hAnsi="Times New Roman" w:cs="Times New Roman"/>
                <w:sz w:val="20"/>
                <w:szCs w:val="20"/>
              </w:rPr>
              <w:t>Desenvolver as políticas de comunicação do IFRS.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Divulgação das ações da Extensão, Pesquisa, Ensino e Administração do </w:t>
            </w:r>
            <w:r w:rsidR="00B60A87" w:rsidRPr="00BE3E9B">
              <w:rPr>
                <w:rFonts w:ascii="Times New Roman" w:eastAsia="Times New Roman" w:hAnsi="Times New Roman" w:cs="Times New Roman"/>
                <w:sz w:val="20"/>
                <w:szCs w:val="20"/>
              </w:rPr>
              <w:t>C</w:t>
            </w:r>
            <w:r w:rsidRPr="00BE3E9B">
              <w:rPr>
                <w:rFonts w:ascii="Times New Roman" w:eastAsia="Times New Roman" w:hAnsi="Times New Roman" w:cs="Times New Roman"/>
                <w:i/>
                <w:sz w:val="20"/>
                <w:szCs w:val="20"/>
              </w:rPr>
              <w:t xml:space="preserve">ampus, </w:t>
            </w:r>
            <w:r w:rsidRPr="00BE3E9B">
              <w:rPr>
                <w:rFonts w:ascii="Times New Roman" w:eastAsia="Times New Roman" w:hAnsi="Times New Roman" w:cs="Times New Roman"/>
                <w:sz w:val="20"/>
                <w:szCs w:val="20"/>
              </w:rPr>
              <w:t>internamente (e-mail, site redes sociais) e externamente na mídia local;</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Proposição de iniciativas de entrevistas e geração de produtos em vídeo para divulgação dos cursos regulares do </w:t>
            </w:r>
            <w:r w:rsidR="00E16AC3" w:rsidRPr="00BE3E9B">
              <w:rPr>
                <w:rFonts w:ascii="Times New Roman" w:eastAsia="Times New Roman" w:hAnsi="Times New Roman" w:cs="Times New Roman"/>
                <w:sz w:val="20"/>
                <w:szCs w:val="20"/>
              </w:rPr>
              <w:t>C</w:t>
            </w:r>
            <w:r w:rsidRPr="00BE3E9B">
              <w:rPr>
                <w:rFonts w:ascii="Times New Roman" w:eastAsia="Times New Roman" w:hAnsi="Times New Roman" w:cs="Times New Roman"/>
                <w:i/>
                <w:sz w:val="20"/>
                <w:szCs w:val="20"/>
              </w:rPr>
              <w:t>ampus</w:t>
            </w:r>
            <w:r w:rsidR="00E16AC3" w:rsidRPr="00BE3E9B">
              <w:rPr>
                <w:rFonts w:ascii="Times New Roman" w:eastAsia="Times New Roman" w:hAnsi="Times New Roman" w:cs="Times New Roman"/>
                <w:sz w:val="20"/>
                <w:szCs w:val="20"/>
              </w:rPr>
              <w:t>;</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Divulgação de ações do </w:t>
            </w:r>
            <w:r w:rsidR="00E16AC3" w:rsidRPr="00BE3E9B">
              <w:rPr>
                <w:rFonts w:ascii="Times New Roman" w:eastAsia="Times New Roman" w:hAnsi="Times New Roman" w:cs="Times New Roman"/>
                <w:sz w:val="20"/>
                <w:szCs w:val="20"/>
              </w:rPr>
              <w:t>C</w:t>
            </w:r>
            <w:r w:rsidRPr="00BE3E9B">
              <w:rPr>
                <w:rFonts w:ascii="Times New Roman" w:eastAsia="Times New Roman" w:hAnsi="Times New Roman" w:cs="Times New Roman"/>
                <w:i/>
                <w:sz w:val="20"/>
                <w:szCs w:val="20"/>
              </w:rPr>
              <w:t xml:space="preserve">ampus </w:t>
            </w:r>
            <w:r w:rsidRPr="00BE3E9B">
              <w:rPr>
                <w:rFonts w:ascii="Times New Roman" w:eastAsia="Times New Roman" w:hAnsi="Times New Roman" w:cs="Times New Roman"/>
                <w:sz w:val="20"/>
                <w:szCs w:val="20"/>
              </w:rPr>
              <w:t xml:space="preserve">no </w:t>
            </w:r>
            <w:r w:rsidRPr="00BE3E9B">
              <w:rPr>
                <w:rFonts w:ascii="Times New Roman" w:eastAsia="Times New Roman" w:hAnsi="Times New Roman" w:cs="Times New Roman"/>
                <w:i/>
                <w:sz w:val="20"/>
                <w:szCs w:val="20"/>
              </w:rPr>
              <w:t xml:space="preserve">site </w:t>
            </w:r>
            <w:r w:rsidR="00E16AC3" w:rsidRPr="00BE3E9B">
              <w:rPr>
                <w:rFonts w:ascii="Times New Roman" w:eastAsia="Times New Roman" w:hAnsi="Times New Roman" w:cs="Times New Roman"/>
                <w:sz w:val="20"/>
                <w:szCs w:val="20"/>
              </w:rPr>
              <w:t>Mundo Melhor;</w:t>
            </w:r>
          </w:p>
        </w:tc>
      </w:tr>
      <w:tr w:rsidR="00202DDF">
        <w:tc>
          <w:tcPr>
            <w:tcW w:w="4889" w:type="dxa"/>
            <w:vAlign w:val="bottom"/>
          </w:tcPr>
          <w:p w:rsidR="00202DDF" w:rsidRPr="00BE3E9B" w:rsidRDefault="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Gerenciar o fluxo de informações externas e internas da Reitoria e dos </w:t>
            </w:r>
            <w:r w:rsidRPr="00BE3E9B">
              <w:rPr>
                <w:rFonts w:ascii="Times New Roman" w:eastAsia="Times New Roman" w:hAnsi="Times New Roman" w:cs="Times New Roman"/>
                <w:i/>
                <w:sz w:val="20"/>
                <w:szCs w:val="20"/>
              </w:rPr>
              <w:t>Campi</w:t>
            </w:r>
            <w:r w:rsidRPr="00BE3E9B">
              <w:rPr>
                <w:rFonts w:ascii="Times New Roman" w:eastAsia="Times New Roman" w:hAnsi="Times New Roman" w:cs="Times New Roman"/>
                <w:sz w:val="20"/>
                <w:szCs w:val="20"/>
              </w:rPr>
              <w:t xml:space="preserve"> do instituto.</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Divulgação a partir do Setor de Comunicação, através da rede de </w:t>
            </w:r>
            <w:r w:rsidRPr="00BE3E9B">
              <w:rPr>
                <w:rFonts w:ascii="Times New Roman" w:eastAsia="Times New Roman" w:hAnsi="Times New Roman" w:cs="Times New Roman"/>
                <w:i/>
                <w:sz w:val="20"/>
                <w:szCs w:val="20"/>
              </w:rPr>
              <w:t>e-mails</w:t>
            </w:r>
            <w:r w:rsidRPr="00BE3E9B">
              <w:rPr>
                <w:rFonts w:ascii="Times New Roman" w:eastAsia="Times New Roman" w:hAnsi="Times New Roman" w:cs="Times New Roman"/>
                <w:sz w:val="20"/>
                <w:szCs w:val="20"/>
              </w:rPr>
              <w:t xml:space="preserve">, redes sociais e </w:t>
            </w:r>
            <w:r w:rsidRPr="00BE3E9B">
              <w:rPr>
                <w:rFonts w:ascii="Times New Roman" w:eastAsia="Times New Roman" w:hAnsi="Times New Roman" w:cs="Times New Roman"/>
                <w:i/>
                <w:sz w:val="20"/>
                <w:szCs w:val="20"/>
              </w:rPr>
              <w:t xml:space="preserve">site </w:t>
            </w:r>
            <w:r w:rsidRPr="00BE3E9B">
              <w:rPr>
                <w:rFonts w:ascii="Times New Roman" w:eastAsia="Times New Roman" w:hAnsi="Times New Roman" w:cs="Times New Roman"/>
                <w:sz w:val="20"/>
                <w:szCs w:val="20"/>
              </w:rPr>
              <w:t xml:space="preserve">do </w:t>
            </w:r>
            <w:r w:rsidR="00E16AC3" w:rsidRPr="00BE3E9B">
              <w:rPr>
                <w:rFonts w:ascii="Times New Roman" w:eastAsia="Times New Roman" w:hAnsi="Times New Roman" w:cs="Times New Roman"/>
                <w:sz w:val="20"/>
                <w:szCs w:val="20"/>
              </w:rPr>
              <w:t>C</w:t>
            </w:r>
            <w:r w:rsidRPr="00BE3E9B">
              <w:rPr>
                <w:rFonts w:ascii="Times New Roman" w:eastAsia="Times New Roman" w:hAnsi="Times New Roman" w:cs="Times New Roman"/>
                <w:i/>
                <w:sz w:val="20"/>
                <w:szCs w:val="20"/>
              </w:rPr>
              <w:t>ampus</w:t>
            </w:r>
            <w:r w:rsidR="00E16AC3" w:rsidRPr="00BE3E9B">
              <w:rPr>
                <w:rFonts w:ascii="Times New Roman" w:eastAsia="Times New Roman" w:hAnsi="Times New Roman" w:cs="Times New Roman"/>
                <w:sz w:val="20"/>
                <w:szCs w:val="20"/>
              </w:rPr>
              <w:t>;</w:t>
            </w:r>
          </w:p>
        </w:tc>
      </w:tr>
      <w:tr w:rsidR="00202DDF" w:rsidTr="00E16AC3">
        <w:tc>
          <w:tcPr>
            <w:tcW w:w="4889" w:type="dxa"/>
            <w:vAlign w:val="center"/>
          </w:tcPr>
          <w:p w:rsidR="00202DDF" w:rsidRPr="00BE3E9B" w:rsidRDefault="001A5369" w:rsidP="00E16AC3">
            <w:pPr>
              <w:rPr>
                <w:rFonts w:ascii="Times New Roman" w:hAnsi="Times New Roman" w:cs="Times New Roman"/>
                <w:sz w:val="20"/>
                <w:szCs w:val="20"/>
              </w:rPr>
            </w:pPr>
            <w:r w:rsidRPr="00BE3E9B">
              <w:rPr>
                <w:rFonts w:ascii="Times New Roman" w:eastAsia="Times New Roman" w:hAnsi="Times New Roman" w:cs="Times New Roman"/>
                <w:sz w:val="20"/>
                <w:szCs w:val="20"/>
              </w:rPr>
              <w:t>Intermediar estágios e empregos.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Fomentar e ampliar a oferta de estágios que beneficiem projetos integradores de cooperação entre a Educação Pro</w:t>
            </w:r>
            <w:r w:rsidR="00E16AC3" w:rsidRPr="00BE3E9B">
              <w:rPr>
                <w:rFonts w:ascii="Times New Roman" w:eastAsia="Times New Roman" w:hAnsi="Times New Roman" w:cs="Times New Roman"/>
                <w:sz w:val="20"/>
                <w:szCs w:val="20"/>
              </w:rPr>
              <w:t>fissional e o mundo do trabalho;</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lastRenderedPageBreak/>
              <w:t>- Prospecção de oportunidades de estágios em empresas e instituições públicas do município do Rio Grande, em municípios vizinho</w:t>
            </w:r>
            <w:r w:rsidR="00E16AC3" w:rsidRPr="00BE3E9B">
              <w:rPr>
                <w:rFonts w:ascii="Times New Roman" w:eastAsia="Times New Roman" w:hAnsi="Times New Roman" w:cs="Times New Roman"/>
                <w:sz w:val="20"/>
                <w:szCs w:val="20"/>
              </w:rPr>
              <w:t>s e em outras cidades do estado, além da p</w:t>
            </w:r>
            <w:r w:rsidRPr="00BE3E9B">
              <w:rPr>
                <w:rFonts w:ascii="Times New Roman" w:eastAsia="Times New Roman" w:hAnsi="Times New Roman" w:cs="Times New Roman"/>
                <w:sz w:val="20"/>
                <w:szCs w:val="20"/>
              </w:rPr>
              <w:t>roposição de termos aditivos p</w:t>
            </w:r>
            <w:r w:rsidR="00E16AC3" w:rsidRPr="00BE3E9B">
              <w:rPr>
                <w:rFonts w:ascii="Times New Roman" w:eastAsia="Times New Roman" w:hAnsi="Times New Roman" w:cs="Times New Roman"/>
                <w:sz w:val="20"/>
                <w:szCs w:val="20"/>
              </w:rPr>
              <w:t>ara convênios anteriores a 2016;</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Suporte a um TCC do Curso Técnico em Geoprocessamento, o qual mapeou os estágios realizados entre 2014 e 2016, bem como os convênios, gerando </w:t>
            </w:r>
            <w:r w:rsidRPr="00BE3E9B">
              <w:rPr>
                <w:rFonts w:ascii="Times New Roman" w:eastAsia="Times New Roman" w:hAnsi="Times New Roman" w:cs="Times New Roman"/>
                <w:i/>
                <w:sz w:val="20"/>
                <w:szCs w:val="20"/>
              </w:rPr>
              <w:t xml:space="preserve">webSIG </w:t>
            </w:r>
            <w:r w:rsidRPr="00BE3E9B">
              <w:rPr>
                <w:rFonts w:ascii="Times New Roman" w:eastAsia="Times New Roman" w:hAnsi="Times New Roman" w:cs="Times New Roman"/>
                <w:sz w:val="20"/>
                <w:szCs w:val="20"/>
              </w:rPr>
              <w:t>que facilita a visualização das empresas ofertantes e realizando diagnóstico que pode subsidiar o planejament</w:t>
            </w:r>
            <w:r w:rsidR="00E16AC3" w:rsidRPr="00BE3E9B">
              <w:rPr>
                <w:rFonts w:ascii="Times New Roman" w:eastAsia="Times New Roman" w:hAnsi="Times New Roman" w:cs="Times New Roman"/>
                <w:sz w:val="20"/>
                <w:szCs w:val="20"/>
              </w:rPr>
              <w:t>o estratégico dos próximos anos;</w:t>
            </w:r>
          </w:p>
        </w:tc>
      </w:tr>
      <w:tr w:rsidR="00202DDF" w:rsidTr="00E16AC3">
        <w:tc>
          <w:tcPr>
            <w:tcW w:w="4889" w:type="dxa"/>
            <w:vAlign w:val="center"/>
          </w:tcPr>
          <w:p w:rsidR="00202DDF" w:rsidRPr="00BE3E9B" w:rsidRDefault="001A5369" w:rsidP="00E16AC3">
            <w:pPr>
              <w:rPr>
                <w:rFonts w:ascii="Times New Roman" w:hAnsi="Times New Roman" w:cs="Times New Roman"/>
                <w:sz w:val="20"/>
                <w:szCs w:val="20"/>
              </w:rPr>
            </w:pPr>
            <w:r w:rsidRPr="00BE3E9B">
              <w:rPr>
                <w:rFonts w:ascii="Times New Roman" w:eastAsia="Times New Roman" w:hAnsi="Times New Roman" w:cs="Times New Roman"/>
                <w:sz w:val="20"/>
                <w:szCs w:val="20"/>
              </w:rPr>
              <w:lastRenderedPageBreak/>
              <w:t>Realizar o acompanhamento de egressos.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Reestruturação e atualização do banco de currículos de alunos egressos e acesso a empresas para a sel</w:t>
            </w:r>
            <w:r w:rsidR="00E16AC3" w:rsidRPr="00BE3E9B">
              <w:rPr>
                <w:rFonts w:ascii="Times New Roman" w:eastAsia="Times New Roman" w:hAnsi="Times New Roman" w:cs="Times New Roman"/>
                <w:sz w:val="20"/>
                <w:szCs w:val="20"/>
              </w:rPr>
              <w:t>eção para uma vaga para emprego;</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Curso de Língua Inglesa Instrumental, co</w:t>
            </w:r>
            <w:r w:rsidR="00E16AC3" w:rsidRPr="00BE3E9B">
              <w:rPr>
                <w:rFonts w:ascii="Times New Roman" w:eastAsia="Times New Roman" w:hAnsi="Times New Roman" w:cs="Times New Roman"/>
                <w:sz w:val="20"/>
                <w:szCs w:val="20"/>
              </w:rPr>
              <w:t>m parte das vagas para egressos;</w:t>
            </w:r>
          </w:p>
        </w:tc>
      </w:tr>
      <w:tr w:rsidR="00202DDF" w:rsidTr="00E16AC3">
        <w:tc>
          <w:tcPr>
            <w:tcW w:w="4889" w:type="dxa"/>
            <w:vAlign w:val="center"/>
          </w:tcPr>
          <w:p w:rsidR="00202DDF" w:rsidRPr="00BE3E9B" w:rsidRDefault="001A5369" w:rsidP="00E16AC3">
            <w:pPr>
              <w:rPr>
                <w:rFonts w:ascii="Times New Roman" w:hAnsi="Times New Roman" w:cs="Times New Roman"/>
                <w:sz w:val="20"/>
                <w:szCs w:val="20"/>
              </w:rPr>
            </w:pPr>
            <w:r w:rsidRPr="00BE3E9B">
              <w:rPr>
                <w:rFonts w:ascii="Times New Roman" w:eastAsia="Times New Roman" w:hAnsi="Times New Roman" w:cs="Times New Roman"/>
                <w:sz w:val="20"/>
                <w:szCs w:val="20"/>
              </w:rPr>
              <w:t>Qualificar servidores, discentes e membros da sociedade.</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Realização de Seminário Extensão - V SEMEX do </w:t>
            </w:r>
            <w:r w:rsidRPr="00BE3E9B">
              <w:rPr>
                <w:rFonts w:ascii="Times New Roman" w:eastAsia="Times New Roman" w:hAnsi="Times New Roman" w:cs="Times New Roman"/>
                <w:i/>
                <w:sz w:val="20"/>
                <w:szCs w:val="20"/>
              </w:rPr>
              <w:t>Campus</w:t>
            </w:r>
            <w:r w:rsidR="00E16AC3" w:rsidRPr="00BE3E9B">
              <w:rPr>
                <w:rFonts w:ascii="Times New Roman" w:eastAsia="Times New Roman" w:hAnsi="Times New Roman" w:cs="Times New Roman"/>
                <w:sz w:val="20"/>
                <w:szCs w:val="20"/>
              </w:rPr>
              <w:t xml:space="preserve"> Rio Grande;</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Suporte na organização da S</w:t>
            </w:r>
            <w:r w:rsidR="00E16AC3" w:rsidRPr="00BE3E9B">
              <w:rPr>
                <w:rFonts w:ascii="Times New Roman" w:eastAsia="Times New Roman" w:hAnsi="Times New Roman" w:cs="Times New Roman"/>
                <w:sz w:val="20"/>
                <w:szCs w:val="20"/>
              </w:rPr>
              <w:t>emana Acadêmica e Semana Aberta;</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Participação da CORE na Semana Acadêmica, com oficina sobre entre</w:t>
            </w:r>
            <w:r w:rsidR="00E16AC3" w:rsidRPr="00BE3E9B">
              <w:rPr>
                <w:rFonts w:ascii="Times New Roman" w:eastAsia="Times New Roman" w:hAnsi="Times New Roman" w:cs="Times New Roman"/>
                <w:sz w:val="20"/>
                <w:szCs w:val="20"/>
              </w:rPr>
              <w:t>vistas para estágios e empregos;</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Oferta de cursos de extensão e ações artístico-culturais, a saber: Atendente de Farmácia; Língua Inglesa Instrumental; LIBRAS Básico; LIBRAS Intermediário; Formação Teatral; Objeto Livro; Cinema Independente. Além destes, outros minicursos e oficinas fomentados para acontecer durante a S</w:t>
            </w:r>
            <w:r w:rsidR="00E16AC3" w:rsidRPr="00BE3E9B">
              <w:rPr>
                <w:rFonts w:ascii="Times New Roman" w:eastAsia="Times New Roman" w:hAnsi="Times New Roman" w:cs="Times New Roman"/>
                <w:sz w:val="20"/>
                <w:szCs w:val="20"/>
              </w:rPr>
              <w:t>emana Acadêmica e Semana Aberta;</w:t>
            </w:r>
          </w:p>
        </w:tc>
      </w:tr>
      <w:tr w:rsidR="00202DDF" w:rsidTr="00E16AC3">
        <w:tc>
          <w:tcPr>
            <w:tcW w:w="4889" w:type="dxa"/>
            <w:vAlign w:val="center"/>
          </w:tcPr>
          <w:p w:rsidR="00202DDF" w:rsidRPr="00BE3E9B" w:rsidRDefault="001A5369" w:rsidP="00E16AC3">
            <w:pPr>
              <w:rPr>
                <w:rFonts w:ascii="Times New Roman" w:hAnsi="Times New Roman" w:cs="Times New Roman"/>
                <w:sz w:val="20"/>
                <w:szCs w:val="20"/>
              </w:rPr>
            </w:pPr>
            <w:r w:rsidRPr="00BE3E9B">
              <w:rPr>
                <w:rFonts w:ascii="Times New Roman" w:eastAsia="Times New Roman" w:hAnsi="Times New Roman" w:cs="Times New Roman"/>
                <w:sz w:val="20"/>
                <w:szCs w:val="20"/>
              </w:rPr>
              <w:t>Promover a integração entre a instituição e a sociedade.</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Realização de visitas gerenciais em empresas priv</w:t>
            </w:r>
            <w:r w:rsidR="00E16AC3" w:rsidRPr="00BE3E9B">
              <w:rPr>
                <w:rFonts w:ascii="Times New Roman" w:eastAsia="Times New Roman" w:hAnsi="Times New Roman" w:cs="Times New Roman"/>
                <w:sz w:val="20"/>
                <w:szCs w:val="20"/>
              </w:rPr>
              <w:t>adas e em instituições públicas;</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Prospecção de parcerias com a comunidade local e regional para ampliar ações de extensão nas áreas de formação técnica do </w:t>
            </w:r>
            <w:r w:rsidR="00E16AC3" w:rsidRPr="00BE3E9B">
              <w:rPr>
                <w:rFonts w:ascii="Times New Roman" w:eastAsia="Times New Roman" w:hAnsi="Times New Roman" w:cs="Times New Roman"/>
                <w:sz w:val="20"/>
                <w:szCs w:val="20"/>
              </w:rPr>
              <w:t>C</w:t>
            </w:r>
            <w:r w:rsidRPr="00BE3E9B">
              <w:rPr>
                <w:rFonts w:ascii="Times New Roman" w:eastAsia="Times New Roman" w:hAnsi="Times New Roman" w:cs="Times New Roman"/>
                <w:i/>
                <w:sz w:val="20"/>
                <w:szCs w:val="20"/>
              </w:rPr>
              <w:t>ampus</w:t>
            </w:r>
            <w:r w:rsidRPr="00BE3E9B">
              <w:rPr>
                <w:rFonts w:ascii="Times New Roman" w:eastAsia="Times New Roman" w:hAnsi="Times New Roman" w:cs="Times New Roman"/>
                <w:sz w:val="20"/>
                <w:szCs w:val="20"/>
              </w:rPr>
              <w:t xml:space="preserve">, bem como </w:t>
            </w:r>
            <w:r w:rsidR="00E16AC3" w:rsidRPr="00BE3E9B">
              <w:rPr>
                <w:rFonts w:ascii="Times New Roman" w:eastAsia="Times New Roman" w:hAnsi="Times New Roman" w:cs="Times New Roman"/>
                <w:sz w:val="20"/>
                <w:szCs w:val="20"/>
              </w:rPr>
              <w:t>cultura, saúde, esporte e lazer;</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Realização de ação de extensão integradora com a comunidade senegalesa residente no município, levantando demandas</w:t>
            </w:r>
            <w:r w:rsidR="00E16AC3" w:rsidRPr="00BE3E9B">
              <w:rPr>
                <w:rFonts w:ascii="Times New Roman" w:eastAsia="Times New Roman" w:hAnsi="Times New Roman" w:cs="Times New Roman"/>
                <w:sz w:val="20"/>
                <w:szCs w:val="20"/>
              </w:rPr>
              <w:t xml:space="preserve"> para cursos e projetos futuros;</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Abertura do SEMEX, MPCT e SEN para apresentação de trabalhos de estudantes de outros campi e de escolas externas da região, públicas e privadas, de ensino </w:t>
            </w:r>
            <w:r w:rsidR="00E16AC3" w:rsidRPr="00BE3E9B">
              <w:rPr>
                <w:rFonts w:ascii="Times New Roman" w:eastAsia="Times New Roman" w:hAnsi="Times New Roman" w:cs="Times New Roman"/>
                <w:sz w:val="20"/>
                <w:szCs w:val="20"/>
              </w:rPr>
              <w:t>médio, superior e pós-graduação;</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Organização e fomento de atividades artísticas e culturais, como o Salão de Fotografia Digital e </w:t>
            </w:r>
            <w:r w:rsidR="00E16AC3" w:rsidRPr="00BE3E9B">
              <w:rPr>
                <w:rFonts w:ascii="Times New Roman" w:eastAsia="Times New Roman" w:hAnsi="Times New Roman" w:cs="Times New Roman"/>
                <w:sz w:val="20"/>
                <w:szCs w:val="20"/>
              </w:rPr>
              <w:t xml:space="preserve">a Mostra </w:t>
            </w:r>
            <w:r w:rsidR="00E16AC3" w:rsidRPr="00BE3E9B">
              <w:rPr>
                <w:rFonts w:ascii="Times New Roman" w:eastAsia="Times New Roman" w:hAnsi="Times New Roman" w:cs="Times New Roman"/>
                <w:sz w:val="20"/>
                <w:szCs w:val="20"/>
              </w:rPr>
              <w:lastRenderedPageBreak/>
              <w:t>de Cinema Independente;</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Suporte à Co</w:t>
            </w:r>
            <w:r w:rsidR="00E16AC3" w:rsidRPr="00BE3E9B">
              <w:rPr>
                <w:rFonts w:ascii="Times New Roman" w:eastAsia="Times New Roman" w:hAnsi="Times New Roman" w:cs="Times New Roman"/>
                <w:sz w:val="20"/>
                <w:szCs w:val="20"/>
              </w:rPr>
              <w:t>missão Permanente de Formaturas;</w:t>
            </w:r>
          </w:p>
        </w:tc>
      </w:tr>
      <w:tr w:rsidR="00202DDF" w:rsidTr="00E16AC3">
        <w:tc>
          <w:tcPr>
            <w:tcW w:w="4889" w:type="dxa"/>
            <w:vAlign w:val="center"/>
          </w:tcPr>
          <w:p w:rsidR="00202DDF" w:rsidRPr="00BE3E9B" w:rsidRDefault="001A5369" w:rsidP="00E16AC3">
            <w:pPr>
              <w:rPr>
                <w:rFonts w:ascii="Times New Roman" w:hAnsi="Times New Roman" w:cs="Times New Roman"/>
                <w:sz w:val="20"/>
                <w:szCs w:val="20"/>
              </w:rPr>
            </w:pPr>
            <w:r w:rsidRPr="00BE3E9B">
              <w:rPr>
                <w:rFonts w:ascii="Times New Roman" w:eastAsia="Times New Roman" w:hAnsi="Times New Roman" w:cs="Times New Roman"/>
                <w:sz w:val="20"/>
                <w:szCs w:val="20"/>
              </w:rPr>
              <w:lastRenderedPageBreak/>
              <w:t>Estimular ações que visam o desenvolvimento local e regional.</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Política de Incentivo ao Desenvolvimento da Extensão viabilizada através do Programa Instituciona</w:t>
            </w:r>
            <w:r w:rsidR="00E16AC3" w:rsidRPr="00BE3E9B">
              <w:rPr>
                <w:rFonts w:ascii="Times New Roman" w:eastAsia="Times New Roman" w:hAnsi="Times New Roman" w:cs="Times New Roman"/>
                <w:sz w:val="20"/>
                <w:szCs w:val="20"/>
              </w:rPr>
              <w:t>l de Bolsas de Extensão (PIBEX);</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Política de Incentivo ao Desenvolvimento da Extensão viabilizada através do Programa de Apoio I</w:t>
            </w:r>
            <w:r w:rsidR="00E16AC3" w:rsidRPr="00BE3E9B">
              <w:rPr>
                <w:rFonts w:ascii="Times New Roman" w:eastAsia="Times New Roman" w:hAnsi="Times New Roman" w:cs="Times New Roman"/>
                <w:sz w:val="20"/>
                <w:szCs w:val="20"/>
              </w:rPr>
              <w:t>nstitucional à Extensão (PAIEX);</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Incentivo ao voluntariado</w:t>
            </w:r>
            <w:r w:rsidR="00E16AC3" w:rsidRPr="00BE3E9B">
              <w:rPr>
                <w:rFonts w:ascii="Times New Roman" w:eastAsia="Times New Roman" w:hAnsi="Times New Roman" w:cs="Times New Roman"/>
                <w:sz w:val="20"/>
                <w:szCs w:val="20"/>
              </w:rPr>
              <w:t xml:space="preserve"> de alunos em ações de extensão;</w:t>
            </w:r>
          </w:p>
          <w:p w:rsidR="00E16AC3" w:rsidRPr="00BE3E9B" w:rsidRDefault="001A5369" w:rsidP="003C55B9">
            <w:pPr>
              <w:jc w:val="both"/>
              <w:rPr>
                <w:rFonts w:ascii="Times New Roman" w:eastAsia="Times New Roman" w:hAnsi="Times New Roman" w:cs="Times New Roman"/>
                <w:sz w:val="20"/>
                <w:szCs w:val="20"/>
              </w:rPr>
            </w:pPr>
            <w:r w:rsidRPr="00BE3E9B">
              <w:rPr>
                <w:rFonts w:ascii="Times New Roman" w:eastAsia="Times New Roman" w:hAnsi="Times New Roman" w:cs="Times New Roman"/>
                <w:sz w:val="20"/>
                <w:szCs w:val="20"/>
              </w:rPr>
              <w:t>- Disponibilização de edital do Programa de Auxílio à Apresentação de Trabalhos de Extensão em Eventos, para servidores e para estudantes</w:t>
            </w:r>
            <w:r w:rsidR="00E16AC3" w:rsidRPr="00BE3E9B">
              <w:rPr>
                <w:rFonts w:ascii="Times New Roman" w:eastAsia="Times New Roman" w:hAnsi="Times New Roman" w:cs="Times New Roman"/>
                <w:sz w:val="20"/>
                <w:szCs w:val="20"/>
              </w:rPr>
              <w:t>;</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Realização de projetos de extensão que atendem demandas de secretarias da Pre</w:t>
            </w:r>
            <w:r w:rsidR="00E16AC3" w:rsidRPr="00BE3E9B">
              <w:rPr>
                <w:rFonts w:ascii="Times New Roman" w:eastAsia="Times New Roman" w:hAnsi="Times New Roman" w:cs="Times New Roman"/>
                <w:sz w:val="20"/>
                <w:szCs w:val="20"/>
              </w:rPr>
              <w:t>feitura Municipal do Rio Grande;</w:t>
            </w:r>
          </w:p>
        </w:tc>
      </w:tr>
      <w:tr w:rsidR="00202DDF" w:rsidTr="00E16AC3">
        <w:tc>
          <w:tcPr>
            <w:tcW w:w="4889" w:type="dxa"/>
            <w:vAlign w:val="center"/>
          </w:tcPr>
          <w:p w:rsidR="00202DDF" w:rsidRPr="00BE3E9B" w:rsidRDefault="001A5369" w:rsidP="00E16AC3">
            <w:pPr>
              <w:rPr>
                <w:rFonts w:ascii="Times New Roman" w:hAnsi="Times New Roman" w:cs="Times New Roman"/>
                <w:sz w:val="20"/>
                <w:szCs w:val="20"/>
              </w:rPr>
            </w:pPr>
            <w:r w:rsidRPr="00BE3E9B">
              <w:rPr>
                <w:rFonts w:ascii="Times New Roman" w:eastAsia="Times New Roman" w:hAnsi="Times New Roman" w:cs="Times New Roman"/>
                <w:sz w:val="20"/>
                <w:szCs w:val="20"/>
              </w:rPr>
              <w:t>Ampliar as parcerias entre o IFRS com instituições públicas, privadas e demais órgãos da sociedade civil.</w:t>
            </w:r>
          </w:p>
        </w:tc>
        <w:tc>
          <w:tcPr>
            <w:tcW w:w="4964" w:type="dxa"/>
            <w:gridSpan w:val="2"/>
          </w:tcPr>
          <w:p w:rsidR="00202DDF" w:rsidRPr="00BE3E9B" w:rsidRDefault="001A5369" w:rsidP="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Proposição de convênios de estágios com diversas empresas</w:t>
            </w:r>
            <w:r w:rsidR="00E16AC3" w:rsidRPr="00BE3E9B">
              <w:rPr>
                <w:rFonts w:ascii="Times New Roman" w:eastAsia="Times New Roman" w:hAnsi="Times New Roman" w:cs="Times New Roman"/>
                <w:sz w:val="20"/>
                <w:szCs w:val="20"/>
              </w:rPr>
              <w:t>;</w:t>
            </w:r>
          </w:p>
        </w:tc>
      </w:tr>
      <w:tr w:rsidR="00202DDF" w:rsidTr="00E16AC3">
        <w:tc>
          <w:tcPr>
            <w:tcW w:w="4889" w:type="dxa"/>
            <w:vAlign w:val="center"/>
          </w:tcPr>
          <w:p w:rsidR="00202DDF" w:rsidRPr="00BE3E9B" w:rsidRDefault="001A5369" w:rsidP="00E16AC3">
            <w:pPr>
              <w:rPr>
                <w:rFonts w:ascii="Times New Roman" w:hAnsi="Times New Roman" w:cs="Times New Roman"/>
                <w:sz w:val="20"/>
                <w:szCs w:val="20"/>
              </w:rPr>
            </w:pPr>
            <w:r w:rsidRPr="00BE3E9B">
              <w:rPr>
                <w:rFonts w:ascii="Times New Roman" w:eastAsia="Times New Roman" w:hAnsi="Times New Roman" w:cs="Times New Roman"/>
                <w:sz w:val="20"/>
                <w:szCs w:val="20"/>
              </w:rPr>
              <w:t>Promover a internacionalização do IFRS.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Iniciativa do </w:t>
            </w:r>
            <w:r w:rsidR="00E16AC3" w:rsidRPr="00BE3E9B">
              <w:rPr>
                <w:rFonts w:ascii="Times New Roman" w:eastAsia="Times New Roman" w:hAnsi="Times New Roman" w:cs="Times New Roman"/>
                <w:sz w:val="20"/>
                <w:szCs w:val="20"/>
              </w:rPr>
              <w:t>C</w:t>
            </w:r>
            <w:r w:rsidRPr="00BE3E9B">
              <w:rPr>
                <w:rFonts w:ascii="Times New Roman" w:eastAsia="Times New Roman" w:hAnsi="Times New Roman" w:cs="Times New Roman"/>
                <w:i/>
                <w:sz w:val="20"/>
                <w:szCs w:val="20"/>
              </w:rPr>
              <w:t xml:space="preserve">ampus </w:t>
            </w:r>
            <w:r w:rsidRPr="00BE3E9B">
              <w:rPr>
                <w:rFonts w:ascii="Times New Roman" w:eastAsia="Times New Roman" w:hAnsi="Times New Roman" w:cs="Times New Roman"/>
                <w:sz w:val="20"/>
                <w:szCs w:val="20"/>
              </w:rPr>
              <w:t>Rio Grande na proposição do convênio entre a Reitoria do IFRS e a AFS Intercultura Bras</w:t>
            </w:r>
            <w:r w:rsidR="00E16AC3" w:rsidRPr="00BE3E9B">
              <w:rPr>
                <w:rFonts w:ascii="Times New Roman" w:eastAsia="Times New Roman" w:hAnsi="Times New Roman" w:cs="Times New Roman"/>
                <w:sz w:val="20"/>
                <w:szCs w:val="20"/>
              </w:rPr>
              <w:t>il, para intercâmbio estudantil;</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Divulgação de editais de mobilidade acadêmica promovidos pela Assessoria de Assuntos </w:t>
            </w:r>
            <w:r w:rsidR="00E16AC3" w:rsidRPr="00BE3E9B">
              <w:rPr>
                <w:rFonts w:ascii="Times New Roman" w:eastAsia="Times New Roman" w:hAnsi="Times New Roman" w:cs="Times New Roman"/>
                <w:sz w:val="20"/>
                <w:szCs w:val="20"/>
              </w:rPr>
              <w:t>Internacionais do IFRS;</w:t>
            </w:r>
          </w:p>
        </w:tc>
      </w:tr>
      <w:tr w:rsidR="00202DDF">
        <w:tc>
          <w:tcPr>
            <w:tcW w:w="9853" w:type="dxa"/>
            <w:gridSpan w:val="3"/>
          </w:tcPr>
          <w:p w:rsidR="00202DDF" w:rsidRPr="00BE3E9B" w:rsidRDefault="001A5369" w:rsidP="003C55B9">
            <w:pPr>
              <w:jc w:val="center"/>
              <w:rPr>
                <w:rFonts w:ascii="Times New Roman" w:hAnsi="Times New Roman" w:cs="Times New Roman"/>
                <w:sz w:val="20"/>
                <w:szCs w:val="20"/>
              </w:rPr>
            </w:pPr>
            <w:r w:rsidRPr="00BE3E9B">
              <w:rPr>
                <w:rFonts w:ascii="Times New Roman" w:eastAsia="Times New Roman" w:hAnsi="Times New Roman" w:cs="Times New Roman"/>
                <w:b/>
                <w:sz w:val="20"/>
                <w:szCs w:val="20"/>
              </w:rPr>
              <w:t>PESQUISA</w:t>
            </w:r>
          </w:p>
        </w:tc>
      </w:tr>
      <w:tr w:rsidR="00202DDF">
        <w:tc>
          <w:tcPr>
            <w:tcW w:w="4889" w:type="dxa"/>
            <w:vAlign w:val="bottom"/>
          </w:tcPr>
          <w:p w:rsidR="00202DDF" w:rsidRPr="00BE3E9B" w:rsidRDefault="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Construir e consolidar as políticas de pesquisa, pós-graduação e inovação do IFRS de forma articulada e indissociada, alinhadas com as políticas nacionais de Pós-Graduação e Pesquisa, bem como com as políticas institucionais do IFRS</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w:t>
            </w:r>
            <w:r w:rsidR="00E16AC3" w:rsidRPr="00BE3E9B">
              <w:rPr>
                <w:rFonts w:ascii="Times New Roman" w:eastAsia="Times New Roman" w:hAnsi="Times New Roman" w:cs="Times New Roman"/>
                <w:sz w:val="20"/>
                <w:szCs w:val="20"/>
              </w:rPr>
              <w:t>B</w:t>
            </w:r>
            <w:r w:rsidRPr="00BE3E9B">
              <w:rPr>
                <w:rFonts w:ascii="Times New Roman" w:eastAsia="Times New Roman" w:hAnsi="Times New Roman" w:cs="Times New Roman"/>
                <w:sz w:val="20"/>
                <w:szCs w:val="20"/>
              </w:rPr>
              <w:t>usca</w:t>
            </w:r>
            <w:r w:rsidR="00E16AC3" w:rsidRPr="00BE3E9B">
              <w:rPr>
                <w:rFonts w:ascii="Times New Roman" w:eastAsia="Times New Roman" w:hAnsi="Times New Roman" w:cs="Times New Roman"/>
                <w:sz w:val="20"/>
                <w:szCs w:val="20"/>
              </w:rPr>
              <w:t xml:space="preserve"> e divulgação </w:t>
            </w:r>
            <w:r w:rsidRPr="00BE3E9B">
              <w:rPr>
                <w:rFonts w:ascii="Times New Roman" w:eastAsia="Times New Roman" w:hAnsi="Times New Roman" w:cs="Times New Roman"/>
                <w:sz w:val="20"/>
                <w:szCs w:val="20"/>
              </w:rPr>
              <w:t xml:space="preserve">de congressos </w:t>
            </w:r>
            <w:r w:rsidR="00E16AC3" w:rsidRPr="00BE3E9B">
              <w:rPr>
                <w:rFonts w:ascii="Times New Roman" w:eastAsia="Times New Roman" w:hAnsi="Times New Roman" w:cs="Times New Roman"/>
                <w:sz w:val="20"/>
                <w:szCs w:val="20"/>
              </w:rPr>
              <w:t xml:space="preserve">e eventos </w:t>
            </w:r>
            <w:r w:rsidRPr="00BE3E9B">
              <w:rPr>
                <w:rFonts w:ascii="Times New Roman" w:eastAsia="Times New Roman" w:hAnsi="Times New Roman" w:cs="Times New Roman"/>
                <w:sz w:val="20"/>
                <w:szCs w:val="20"/>
              </w:rPr>
              <w:t xml:space="preserve">de acordo </w:t>
            </w:r>
            <w:r w:rsidR="003C55B9" w:rsidRPr="00BE3E9B">
              <w:rPr>
                <w:rFonts w:ascii="Times New Roman" w:eastAsia="Times New Roman" w:hAnsi="Times New Roman" w:cs="Times New Roman"/>
                <w:sz w:val="20"/>
                <w:szCs w:val="20"/>
              </w:rPr>
              <w:t>com as</w:t>
            </w:r>
            <w:r w:rsidRPr="00BE3E9B">
              <w:rPr>
                <w:rFonts w:ascii="Times New Roman" w:eastAsia="Times New Roman" w:hAnsi="Times New Roman" w:cs="Times New Roman"/>
                <w:sz w:val="20"/>
                <w:szCs w:val="20"/>
              </w:rPr>
              <w:t xml:space="preserve"> áreas, incentivando o pesquisador a submeter </w:t>
            </w:r>
            <w:r w:rsidR="003C55B9" w:rsidRPr="00BE3E9B">
              <w:rPr>
                <w:rFonts w:ascii="Times New Roman" w:eastAsia="Times New Roman" w:hAnsi="Times New Roman" w:cs="Times New Roman"/>
                <w:sz w:val="20"/>
                <w:szCs w:val="20"/>
              </w:rPr>
              <w:t>trabalhos;</w:t>
            </w:r>
          </w:p>
        </w:tc>
      </w:tr>
      <w:tr w:rsidR="00202DDF">
        <w:tc>
          <w:tcPr>
            <w:tcW w:w="4889" w:type="dxa"/>
            <w:vAlign w:val="bottom"/>
          </w:tcPr>
          <w:p w:rsidR="00202DDF" w:rsidRPr="00BE3E9B" w:rsidRDefault="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Incentivar o desenvolvimento de pesquisa aplicada focada nas linhas de atuação dos </w:t>
            </w:r>
            <w:r w:rsidRPr="00BE3E9B">
              <w:rPr>
                <w:rFonts w:ascii="Times New Roman" w:eastAsia="Times New Roman" w:hAnsi="Times New Roman" w:cs="Times New Roman"/>
                <w:i/>
                <w:sz w:val="20"/>
                <w:szCs w:val="20"/>
              </w:rPr>
              <w:t>campi</w:t>
            </w:r>
            <w:r w:rsidRPr="00BE3E9B">
              <w:rPr>
                <w:rFonts w:ascii="Times New Roman" w:eastAsia="Times New Roman" w:hAnsi="Times New Roman" w:cs="Times New Roman"/>
                <w:sz w:val="20"/>
                <w:szCs w:val="20"/>
              </w:rPr>
              <w:t>, associada à demanda e pertinência regional</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w:t>
            </w:r>
            <w:r w:rsidR="003C55B9" w:rsidRPr="00BE3E9B">
              <w:rPr>
                <w:rFonts w:ascii="Times New Roman" w:eastAsia="Times New Roman" w:hAnsi="Times New Roman" w:cs="Times New Roman"/>
                <w:sz w:val="20"/>
                <w:szCs w:val="20"/>
              </w:rPr>
              <w:t>Realização de</w:t>
            </w:r>
            <w:r w:rsidRPr="00BE3E9B">
              <w:rPr>
                <w:rFonts w:ascii="Times New Roman" w:eastAsia="Times New Roman" w:hAnsi="Times New Roman" w:cs="Times New Roman"/>
                <w:sz w:val="20"/>
                <w:szCs w:val="20"/>
              </w:rPr>
              <w:t xml:space="preserve"> reuniões com pesquisadores para atuação do </w:t>
            </w:r>
            <w:r w:rsidRPr="00BE3E9B">
              <w:rPr>
                <w:rFonts w:ascii="Times New Roman" w:eastAsia="Times New Roman" w:hAnsi="Times New Roman" w:cs="Times New Roman"/>
                <w:i/>
                <w:sz w:val="20"/>
                <w:szCs w:val="20"/>
              </w:rPr>
              <w:t xml:space="preserve">Campus </w:t>
            </w:r>
            <w:r w:rsidRPr="00BE3E9B">
              <w:rPr>
                <w:rFonts w:ascii="Times New Roman" w:eastAsia="Times New Roman" w:hAnsi="Times New Roman" w:cs="Times New Roman"/>
                <w:sz w:val="20"/>
                <w:szCs w:val="20"/>
              </w:rPr>
              <w:t>em demandas regionais c</w:t>
            </w:r>
            <w:r w:rsidR="003C55B9" w:rsidRPr="00BE3E9B">
              <w:rPr>
                <w:rFonts w:ascii="Times New Roman" w:eastAsia="Times New Roman" w:hAnsi="Times New Roman" w:cs="Times New Roman"/>
                <w:sz w:val="20"/>
                <w:szCs w:val="20"/>
              </w:rPr>
              <w:t>omo demandas do SENAC e EMBRAPA;</w:t>
            </w:r>
          </w:p>
        </w:tc>
      </w:tr>
      <w:tr w:rsidR="00202DDF">
        <w:tc>
          <w:tcPr>
            <w:tcW w:w="4889" w:type="dxa"/>
            <w:vAlign w:val="bottom"/>
          </w:tcPr>
          <w:p w:rsidR="00202DDF" w:rsidRPr="00BE3E9B" w:rsidRDefault="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Fomentar a consolidação da Inovação Tecnológica, mediante parcerias efetivas e concretas com a iniciativa pública e privada</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w:t>
            </w:r>
            <w:r w:rsidR="003C55B9" w:rsidRPr="00BE3E9B">
              <w:rPr>
                <w:rFonts w:ascii="Times New Roman" w:eastAsia="Times New Roman" w:hAnsi="Times New Roman" w:cs="Times New Roman"/>
                <w:sz w:val="20"/>
                <w:szCs w:val="20"/>
              </w:rPr>
              <w:t>Realização de r</w:t>
            </w:r>
            <w:r w:rsidRPr="00BE3E9B">
              <w:rPr>
                <w:rFonts w:ascii="Times New Roman" w:eastAsia="Times New Roman" w:hAnsi="Times New Roman" w:cs="Times New Roman"/>
                <w:sz w:val="20"/>
                <w:szCs w:val="20"/>
              </w:rPr>
              <w:t>euniões e</w:t>
            </w:r>
            <w:r w:rsidR="003C55B9" w:rsidRPr="00BE3E9B">
              <w:rPr>
                <w:rFonts w:ascii="Times New Roman" w:eastAsia="Times New Roman" w:hAnsi="Times New Roman" w:cs="Times New Roman"/>
                <w:sz w:val="20"/>
                <w:szCs w:val="20"/>
              </w:rPr>
              <w:t xml:space="preserve">ntre a </w:t>
            </w:r>
            <w:r w:rsidRPr="00BE3E9B">
              <w:rPr>
                <w:rFonts w:ascii="Times New Roman" w:eastAsia="Times New Roman" w:hAnsi="Times New Roman" w:cs="Times New Roman"/>
                <w:sz w:val="20"/>
                <w:szCs w:val="20"/>
              </w:rPr>
              <w:t>DPI e empresas</w:t>
            </w:r>
            <w:r w:rsidR="003C55B9" w:rsidRPr="00BE3E9B">
              <w:rPr>
                <w:rFonts w:ascii="Times New Roman" w:eastAsia="Times New Roman" w:hAnsi="Times New Roman" w:cs="Times New Roman"/>
                <w:sz w:val="20"/>
                <w:szCs w:val="20"/>
              </w:rPr>
              <w:t xml:space="preserve"> para a</w:t>
            </w:r>
            <w:r w:rsidRPr="00BE3E9B">
              <w:rPr>
                <w:rFonts w:ascii="Times New Roman" w:eastAsia="Times New Roman" w:hAnsi="Times New Roman" w:cs="Times New Roman"/>
                <w:sz w:val="20"/>
                <w:szCs w:val="20"/>
              </w:rPr>
              <w:t xml:space="preserve"> consolida</w:t>
            </w:r>
            <w:r w:rsidR="003C55B9" w:rsidRPr="00BE3E9B">
              <w:rPr>
                <w:rFonts w:ascii="Times New Roman" w:eastAsia="Times New Roman" w:hAnsi="Times New Roman" w:cs="Times New Roman"/>
                <w:sz w:val="20"/>
                <w:szCs w:val="20"/>
              </w:rPr>
              <w:t>ção de cooperações;</w:t>
            </w:r>
          </w:p>
        </w:tc>
      </w:tr>
      <w:tr w:rsidR="00202DDF">
        <w:tc>
          <w:tcPr>
            <w:tcW w:w="4889" w:type="dxa"/>
            <w:vAlign w:val="bottom"/>
          </w:tcPr>
          <w:p w:rsidR="00202DDF" w:rsidRPr="00BE3E9B" w:rsidRDefault="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Fomentar propostas integradas entre os </w:t>
            </w:r>
            <w:r w:rsidRPr="00BE3E9B">
              <w:rPr>
                <w:rFonts w:ascii="Times New Roman" w:eastAsia="Times New Roman" w:hAnsi="Times New Roman" w:cs="Times New Roman"/>
                <w:i/>
                <w:sz w:val="20"/>
                <w:szCs w:val="20"/>
              </w:rPr>
              <w:t>campi</w:t>
            </w:r>
            <w:r w:rsidRPr="00BE3E9B">
              <w:rPr>
                <w:rFonts w:ascii="Times New Roman" w:eastAsia="Times New Roman" w:hAnsi="Times New Roman" w:cs="Times New Roman"/>
                <w:sz w:val="20"/>
                <w:szCs w:val="20"/>
              </w:rPr>
              <w:t xml:space="preserve"> do IFRS na pesquisa, pós-graduação e inovação</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Elaboração de Editais de programa interno de bolsas de iniciação científica e auxílio financeiro a pesquisadores</w:t>
            </w:r>
            <w:r w:rsidR="003C55B9" w:rsidRPr="00BE3E9B">
              <w:rPr>
                <w:rFonts w:ascii="Times New Roman" w:eastAsia="Times New Roman" w:hAnsi="Times New Roman" w:cs="Times New Roman"/>
                <w:sz w:val="20"/>
                <w:szCs w:val="20"/>
              </w:rPr>
              <w:t>;</w:t>
            </w:r>
          </w:p>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Auxílio financeiro a pesquisadores para apresentação de trabalhos em eventos de pesquisa e inovação</w:t>
            </w:r>
            <w:r w:rsidR="003C55B9" w:rsidRPr="00BE3E9B">
              <w:rPr>
                <w:rFonts w:ascii="Times New Roman" w:eastAsia="Times New Roman" w:hAnsi="Times New Roman" w:cs="Times New Roman"/>
                <w:sz w:val="20"/>
                <w:szCs w:val="20"/>
              </w:rPr>
              <w:t>;</w:t>
            </w:r>
          </w:p>
        </w:tc>
      </w:tr>
      <w:tr w:rsidR="00202DDF">
        <w:tc>
          <w:tcPr>
            <w:tcW w:w="4889" w:type="dxa"/>
            <w:vAlign w:val="bottom"/>
          </w:tcPr>
          <w:p w:rsidR="00202DDF" w:rsidRPr="00BE3E9B" w:rsidRDefault="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lastRenderedPageBreak/>
              <w:t>Coordenar o processo de elaboração, implementação e aprovação de propostas de Programas de Pós-Graduação Stricto Sensu e Cursos de Especialização Lato Sensu em consonância com as políticas nacionais de pós-graduação</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w:t>
            </w:r>
            <w:r w:rsidR="003C55B9" w:rsidRPr="00BE3E9B">
              <w:rPr>
                <w:rFonts w:ascii="Times New Roman" w:eastAsia="Times New Roman" w:hAnsi="Times New Roman" w:cs="Times New Roman"/>
                <w:sz w:val="20"/>
                <w:szCs w:val="20"/>
              </w:rPr>
              <w:t>Realização de acompanhamento com o</w:t>
            </w:r>
            <w:r w:rsidRPr="00BE3E9B">
              <w:rPr>
                <w:rFonts w:ascii="Times New Roman" w:eastAsia="Times New Roman" w:hAnsi="Times New Roman" w:cs="Times New Roman"/>
                <w:sz w:val="20"/>
                <w:szCs w:val="20"/>
              </w:rPr>
              <w:t xml:space="preserve"> curso de Geoprocessamento para </w:t>
            </w:r>
            <w:r w:rsidR="003C55B9" w:rsidRPr="00BE3E9B">
              <w:rPr>
                <w:rFonts w:ascii="Times New Roman" w:eastAsia="Times New Roman" w:hAnsi="Times New Roman" w:cs="Times New Roman"/>
                <w:sz w:val="20"/>
                <w:szCs w:val="20"/>
              </w:rPr>
              <w:t>identificação das</w:t>
            </w:r>
            <w:r w:rsidRPr="00BE3E9B">
              <w:rPr>
                <w:rFonts w:ascii="Times New Roman" w:eastAsia="Times New Roman" w:hAnsi="Times New Roman" w:cs="Times New Roman"/>
                <w:sz w:val="20"/>
                <w:szCs w:val="20"/>
              </w:rPr>
              <w:t xml:space="preserve"> demandas </w:t>
            </w:r>
            <w:r w:rsidR="003C55B9" w:rsidRPr="00BE3E9B">
              <w:rPr>
                <w:rFonts w:ascii="Times New Roman" w:eastAsia="Times New Roman" w:hAnsi="Times New Roman" w:cs="Times New Roman"/>
                <w:sz w:val="20"/>
                <w:szCs w:val="20"/>
              </w:rPr>
              <w:t>futuras do</w:t>
            </w:r>
            <w:r w:rsidRPr="00BE3E9B">
              <w:rPr>
                <w:rFonts w:ascii="Times New Roman" w:eastAsia="Times New Roman" w:hAnsi="Times New Roman" w:cs="Times New Roman"/>
                <w:sz w:val="20"/>
                <w:szCs w:val="20"/>
              </w:rPr>
              <w:t xml:space="preserve"> curso d</w:t>
            </w:r>
            <w:r w:rsidR="003C55B9" w:rsidRPr="00BE3E9B">
              <w:rPr>
                <w:rFonts w:ascii="Times New Roman" w:eastAsia="Times New Roman" w:hAnsi="Times New Roman" w:cs="Times New Roman"/>
                <w:sz w:val="20"/>
                <w:szCs w:val="20"/>
              </w:rPr>
              <w:t>e especialização desta área;</w:t>
            </w:r>
          </w:p>
        </w:tc>
      </w:tr>
      <w:tr w:rsidR="00202DDF">
        <w:tc>
          <w:tcPr>
            <w:tcW w:w="4889" w:type="dxa"/>
            <w:vAlign w:val="bottom"/>
          </w:tcPr>
          <w:p w:rsidR="00202DDF" w:rsidRPr="00BE3E9B" w:rsidRDefault="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Ampliar a captação de fomento externo para a pesquisa, pós-graduação e inovação</w:t>
            </w:r>
          </w:p>
        </w:tc>
        <w:tc>
          <w:tcPr>
            <w:tcW w:w="4964" w:type="dxa"/>
            <w:gridSpan w:val="2"/>
          </w:tcPr>
          <w:p w:rsidR="00202DDF" w:rsidRPr="00BE3E9B" w:rsidRDefault="003C55B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Realização de </w:t>
            </w:r>
            <w:r w:rsidR="001A5369" w:rsidRPr="00BE3E9B">
              <w:rPr>
                <w:rFonts w:ascii="Times New Roman" w:eastAsia="Times New Roman" w:hAnsi="Times New Roman" w:cs="Times New Roman"/>
                <w:sz w:val="20"/>
                <w:szCs w:val="20"/>
              </w:rPr>
              <w:t xml:space="preserve">reuniões entre o SENAC e EMBRAPA </w:t>
            </w:r>
            <w:r w:rsidRPr="00BE3E9B">
              <w:rPr>
                <w:rFonts w:ascii="Times New Roman" w:eastAsia="Times New Roman" w:hAnsi="Times New Roman" w:cs="Times New Roman"/>
                <w:sz w:val="20"/>
                <w:szCs w:val="20"/>
              </w:rPr>
              <w:t xml:space="preserve">que </w:t>
            </w:r>
            <w:r w:rsidR="001A5369" w:rsidRPr="00BE3E9B">
              <w:rPr>
                <w:rFonts w:ascii="Times New Roman" w:eastAsia="Times New Roman" w:hAnsi="Times New Roman" w:cs="Times New Roman"/>
                <w:sz w:val="20"/>
                <w:szCs w:val="20"/>
              </w:rPr>
              <w:t>possibilita</w:t>
            </w:r>
            <w:r w:rsidRPr="00BE3E9B">
              <w:rPr>
                <w:rFonts w:ascii="Times New Roman" w:eastAsia="Times New Roman" w:hAnsi="Times New Roman" w:cs="Times New Roman"/>
                <w:sz w:val="20"/>
                <w:szCs w:val="20"/>
              </w:rPr>
              <w:t>m o fomento externo via FAURGS;</w:t>
            </w:r>
          </w:p>
        </w:tc>
      </w:tr>
      <w:tr w:rsidR="00202DDF">
        <w:tc>
          <w:tcPr>
            <w:tcW w:w="4889" w:type="dxa"/>
            <w:vAlign w:val="bottom"/>
          </w:tcPr>
          <w:p w:rsidR="00202DDF" w:rsidRPr="00BE3E9B" w:rsidRDefault="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Desenvolver parcerias com instituições nacionais e internacionais nas áreas da pesquisa, pós-graduação e inovação, com vistas à produção científica e tecnológica e mobilidade de docentes em nível de pós-graduação</w:t>
            </w:r>
          </w:p>
        </w:tc>
        <w:tc>
          <w:tcPr>
            <w:tcW w:w="4964" w:type="dxa"/>
            <w:gridSpan w:val="2"/>
          </w:tcPr>
          <w:p w:rsidR="00202DDF" w:rsidRPr="00BE3E9B" w:rsidRDefault="001A5369" w:rsidP="003C55B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A EMBRAPA possibilita a realização de pesquisa </w:t>
            </w:r>
            <w:r w:rsidRPr="00BE3E9B">
              <w:rPr>
                <w:rFonts w:ascii="Times New Roman" w:eastAsia="Times New Roman" w:hAnsi="Times New Roman" w:cs="Times New Roman"/>
                <w:i/>
                <w:sz w:val="20"/>
                <w:szCs w:val="20"/>
              </w:rPr>
              <w:t>in loco</w:t>
            </w:r>
            <w:r w:rsidRPr="00BE3E9B">
              <w:rPr>
                <w:rFonts w:ascii="Times New Roman" w:eastAsia="Times New Roman" w:hAnsi="Times New Roman" w:cs="Times New Roman"/>
                <w:sz w:val="20"/>
                <w:szCs w:val="20"/>
              </w:rPr>
              <w:t xml:space="preserve"> em diversas áreas da grande área do conhecimento “Ciências exatas e da terra”.</w:t>
            </w:r>
          </w:p>
        </w:tc>
      </w:tr>
      <w:tr w:rsidR="00202DDF">
        <w:tc>
          <w:tcPr>
            <w:tcW w:w="4889" w:type="dxa"/>
            <w:vAlign w:val="bottom"/>
          </w:tcPr>
          <w:p w:rsidR="00202DDF" w:rsidRPr="00BE3E9B" w:rsidRDefault="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Incentivar a ampliação da produção científica e tecnológica dos grupos de pesquisa, tendo como parâmetro os indexadores definidos pela CAPES</w:t>
            </w:r>
          </w:p>
        </w:tc>
        <w:tc>
          <w:tcPr>
            <w:tcW w:w="4964" w:type="dxa"/>
            <w:gridSpan w:val="2"/>
          </w:tcPr>
          <w:p w:rsidR="00202DDF" w:rsidRPr="00BE3E9B" w:rsidRDefault="001A5369" w:rsidP="001A5369">
            <w:pPr>
              <w:jc w:val="both"/>
              <w:rPr>
                <w:rFonts w:ascii="Times New Roman" w:hAnsi="Times New Roman" w:cs="Times New Roman"/>
                <w:sz w:val="20"/>
                <w:szCs w:val="20"/>
              </w:rPr>
            </w:pPr>
            <w:r w:rsidRPr="00BE3E9B">
              <w:rPr>
                <w:rFonts w:ascii="Times New Roman" w:eastAsia="Times New Roman" w:hAnsi="Times New Roman" w:cs="Times New Roman"/>
                <w:sz w:val="20"/>
                <w:szCs w:val="20"/>
              </w:rPr>
              <w:t xml:space="preserve">- Foi introduzido no evento Mostra Científica do </w:t>
            </w:r>
            <w:r w:rsidRPr="00BE3E9B">
              <w:rPr>
                <w:rFonts w:ascii="Times New Roman" w:eastAsia="Times New Roman" w:hAnsi="Times New Roman" w:cs="Times New Roman"/>
                <w:i/>
                <w:sz w:val="20"/>
                <w:szCs w:val="20"/>
              </w:rPr>
              <w:t xml:space="preserve">Campus </w:t>
            </w:r>
            <w:r w:rsidRPr="00BE3E9B">
              <w:rPr>
                <w:rFonts w:ascii="Times New Roman" w:eastAsia="Times New Roman" w:hAnsi="Times New Roman" w:cs="Times New Roman"/>
                <w:sz w:val="20"/>
                <w:szCs w:val="20"/>
              </w:rPr>
              <w:t xml:space="preserve">uma parceria entre a revista ScientiaTec do </w:t>
            </w:r>
            <w:r w:rsidRPr="00BE3E9B">
              <w:rPr>
                <w:rFonts w:ascii="Times New Roman" w:eastAsia="Times New Roman" w:hAnsi="Times New Roman" w:cs="Times New Roman"/>
                <w:i/>
                <w:sz w:val="20"/>
                <w:szCs w:val="20"/>
              </w:rPr>
              <w:t xml:space="preserve">Campus </w:t>
            </w:r>
            <w:r w:rsidRPr="00BE3E9B">
              <w:rPr>
                <w:rFonts w:ascii="Times New Roman" w:eastAsia="Times New Roman" w:hAnsi="Times New Roman" w:cs="Times New Roman"/>
                <w:sz w:val="20"/>
                <w:szCs w:val="20"/>
              </w:rPr>
              <w:t>Porto Alegre no qual os alunos e servidores puderam submeter trabalhos a esta</w:t>
            </w:r>
            <w:r w:rsidR="003C55B9" w:rsidRPr="00BE3E9B">
              <w:rPr>
                <w:rFonts w:ascii="Times New Roman" w:eastAsia="Times New Roman" w:hAnsi="Times New Roman" w:cs="Times New Roman"/>
                <w:sz w:val="20"/>
                <w:szCs w:val="20"/>
              </w:rPr>
              <w:t xml:space="preserve"> revista de relevância regional;</w:t>
            </w:r>
          </w:p>
        </w:tc>
      </w:tr>
    </w:tbl>
    <w:p w:rsidR="00202DDF" w:rsidRDefault="00202DDF">
      <w:pPr>
        <w:pStyle w:val="Ttulo1"/>
        <w:ind w:left="792"/>
      </w:pPr>
    </w:p>
    <w:p w:rsidR="00202DDF" w:rsidRDefault="001A5369">
      <w:r>
        <w:br w:type="page"/>
      </w:r>
    </w:p>
    <w:p w:rsidR="00202DDF" w:rsidRDefault="001A5369">
      <w:pPr>
        <w:pStyle w:val="Ttulo1"/>
        <w:numPr>
          <w:ilvl w:val="1"/>
          <w:numId w:val="3"/>
        </w:numPr>
        <w:ind w:hanging="432"/>
      </w:pPr>
      <w:bookmarkStart w:id="11" w:name="_4d34og8" w:colFirst="0" w:colLast="0"/>
      <w:bookmarkStart w:id="12" w:name="1t3h5sf" w:colFirst="0" w:colLast="0"/>
      <w:bookmarkStart w:id="13" w:name="_Toc470771597"/>
      <w:bookmarkEnd w:id="11"/>
      <w:bookmarkEnd w:id="12"/>
      <w:r>
        <w:lastRenderedPageBreak/>
        <w:t>Principais resultados alcançados</w:t>
      </w:r>
      <w:bookmarkEnd w:id="13"/>
    </w:p>
    <w:p w:rsidR="00202DDF" w:rsidRDefault="00202DDF"/>
    <w:p w:rsidR="00202DDF" w:rsidRDefault="001A5369">
      <w:pPr>
        <w:spacing w:after="0" w:line="240" w:lineRule="auto"/>
        <w:jc w:val="center"/>
      </w:pPr>
      <w:r>
        <w:rPr>
          <w:rFonts w:ascii="Times New Roman" w:eastAsia="Times New Roman" w:hAnsi="Times New Roman" w:cs="Times New Roman"/>
          <w:b/>
          <w:sz w:val="20"/>
          <w:szCs w:val="20"/>
        </w:rPr>
        <w:t>Quadro II – Principais resultados alcançados no período</w:t>
      </w:r>
    </w:p>
    <w:tbl>
      <w:tblPr>
        <w:tblStyle w:val="a0"/>
        <w:tblW w:w="985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6"/>
        <w:gridCol w:w="4927"/>
      </w:tblGrid>
      <w:tr w:rsidR="00202DDF">
        <w:tc>
          <w:tcPr>
            <w:tcW w:w="9853" w:type="dxa"/>
            <w:gridSpan w:val="2"/>
          </w:tcPr>
          <w:p w:rsidR="00202DDF" w:rsidRDefault="001A5369">
            <w:pPr>
              <w:contextualSpacing w:val="0"/>
            </w:pPr>
            <w:r>
              <w:rPr>
                <w:rFonts w:ascii="Times New Roman" w:eastAsia="Times New Roman" w:hAnsi="Times New Roman" w:cs="Times New Roman"/>
                <w:sz w:val="20"/>
                <w:szCs w:val="20"/>
              </w:rPr>
              <w:t>CAMPUS RIO GRANDE</w:t>
            </w:r>
          </w:p>
        </w:tc>
      </w:tr>
      <w:tr w:rsidR="00202DDF">
        <w:tc>
          <w:tcPr>
            <w:tcW w:w="4926" w:type="dxa"/>
          </w:tcPr>
          <w:p w:rsidR="00202DDF" w:rsidRDefault="001A5369">
            <w:pPr>
              <w:contextualSpacing w:val="0"/>
              <w:jc w:val="center"/>
            </w:pPr>
            <w:r>
              <w:rPr>
                <w:rFonts w:ascii="Times New Roman" w:eastAsia="Times New Roman" w:hAnsi="Times New Roman" w:cs="Times New Roman"/>
                <w:sz w:val="20"/>
                <w:szCs w:val="20"/>
              </w:rPr>
              <w:t>RESULTADOS QUALITATIVOS</w:t>
            </w:r>
          </w:p>
        </w:tc>
        <w:tc>
          <w:tcPr>
            <w:tcW w:w="4927" w:type="dxa"/>
          </w:tcPr>
          <w:p w:rsidR="00202DDF" w:rsidRDefault="001A5369">
            <w:pPr>
              <w:contextualSpacing w:val="0"/>
              <w:jc w:val="center"/>
            </w:pPr>
            <w:r>
              <w:rPr>
                <w:rFonts w:ascii="Times New Roman" w:eastAsia="Times New Roman" w:hAnsi="Times New Roman" w:cs="Times New Roman"/>
                <w:sz w:val="20"/>
                <w:szCs w:val="20"/>
              </w:rPr>
              <w:t>RESULTADOS QUANTITATIVOS</w:t>
            </w:r>
          </w:p>
        </w:tc>
      </w:tr>
      <w:tr w:rsidR="00202DDF">
        <w:tc>
          <w:tcPr>
            <w:tcW w:w="4926" w:type="dxa"/>
          </w:tcPr>
          <w:p w:rsidR="00202DDF" w:rsidRDefault="001A5369">
            <w:pPr>
              <w:spacing w:after="0" w:line="240" w:lineRule="auto"/>
              <w:contextualSpacing w:val="0"/>
              <w:jc w:val="both"/>
            </w:pPr>
            <w:r>
              <w:rPr>
                <w:rFonts w:ascii="Times New Roman" w:eastAsia="Times New Roman" w:hAnsi="Times New Roman" w:cs="Times New Roman"/>
                <w:sz w:val="20"/>
                <w:szCs w:val="20"/>
              </w:rPr>
              <w:t xml:space="preserve">- Conquista de sete novas vagas de docentes e uma vaga de técnico administrativo, além da perspectiva de mais duas vagas docentes para o próximo ano. Através de muito trabalho da área de ensino e direção conseguimos expor as necessidades do </w:t>
            </w:r>
            <w:r w:rsidRPr="00B60A87">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e ter essa importante conquista junto a Reitoria, garantindo a qualidade de ensino e o atendimento da demanda dos nossos alunos;</w:t>
            </w:r>
          </w:p>
          <w:p w:rsidR="00202DDF" w:rsidRDefault="00202DDF">
            <w:pPr>
              <w:spacing w:after="0" w:line="240" w:lineRule="auto"/>
              <w:contextualSpacing w:val="0"/>
              <w:jc w:val="both"/>
            </w:pPr>
          </w:p>
          <w:p w:rsidR="00202DDF" w:rsidRDefault="001A5369">
            <w:pPr>
              <w:spacing w:after="0" w:line="240" w:lineRule="auto"/>
              <w:contextualSpacing w:val="0"/>
              <w:jc w:val="both"/>
            </w:pPr>
            <w:r>
              <w:rPr>
                <w:rFonts w:ascii="Times New Roman" w:eastAsia="Times New Roman" w:hAnsi="Times New Roman" w:cs="Times New Roman"/>
                <w:sz w:val="20"/>
                <w:szCs w:val="20"/>
              </w:rPr>
              <w:t xml:space="preserve">- Realocação física dos cursos dentro da estrutura do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identificando os pavilhões, dentro do possível, como áreas destinadas a determinado curso. Por exemplo, todo o curso de Enfermagem no Pav. 03, o curso de Geoprocessamento no Pav. 06, entre outros exemplos. Essa identificação facilita a comunicação dentro do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a circulação dos docentes e alunos por suas áreas de concentração e cria um sentimento de pertencimento do estudante com aquele determinado espaço;</w:t>
            </w:r>
          </w:p>
          <w:p w:rsidR="00202DDF" w:rsidRDefault="00202DDF">
            <w:pPr>
              <w:spacing w:after="0" w:line="240" w:lineRule="auto"/>
              <w:contextualSpacing w:val="0"/>
              <w:jc w:val="both"/>
            </w:pPr>
          </w:p>
          <w:p w:rsidR="00202DDF" w:rsidRDefault="001A5369">
            <w:pPr>
              <w:spacing w:after="0" w:line="240" w:lineRule="auto"/>
              <w:contextualSpacing w:val="0"/>
              <w:jc w:val="both"/>
            </w:pPr>
            <w:r>
              <w:rPr>
                <w:rFonts w:ascii="Times New Roman" w:eastAsia="Times New Roman" w:hAnsi="Times New Roman" w:cs="Times New Roman"/>
                <w:sz w:val="20"/>
                <w:szCs w:val="20"/>
              </w:rPr>
              <w:t xml:space="preserve">- Aproximação de diversos setores/áreas com a Direção Geral, como a estreita relação mantida com o Centro Estudantil Unificado (CEU), importante representação dos alunos no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que transmitem as demandas e interesses dos alunos junto aos tomadores de decisão. Ainda, a aproximação da Administração com o Desenvolvimento Institucional que permitiu uma parceria, principalmente na questão de infraestrutura que tem sua gestão compartilhada pelas duas áreas, o que otimizou muito o andamento dos trabalhos de reformas e manutenção predial;</w:t>
            </w:r>
          </w:p>
          <w:p w:rsidR="00202DDF" w:rsidRDefault="00202DDF">
            <w:pPr>
              <w:spacing w:after="0" w:line="240" w:lineRule="auto"/>
              <w:contextualSpacing w:val="0"/>
              <w:jc w:val="both"/>
            </w:pPr>
          </w:p>
          <w:p w:rsidR="00202DDF" w:rsidRDefault="001A5369">
            <w:pPr>
              <w:spacing w:after="0" w:line="240" w:lineRule="auto"/>
              <w:contextualSpacing w:val="0"/>
              <w:jc w:val="both"/>
            </w:pPr>
            <w:r>
              <w:rPr>
                <w:rFonts w:ascii="Times New Roman" w:eastAsia="Times New Roman" w:hAnsi="Times New Roman" w:cs="Times New Roman"/>
                <w:sz w:val="20"/>
                <w:szCs w:val="20"/>
              </w:rPr>
              <w:t>- Instalação de mais de 50 câmeras de monitoramento, com investi</w:t>
            </w:r>
            <w:r w:rsidR="003C55B9">
              <w:rPr>
                <w:rFonts w:ascii="Times New Roman" w:eastAsia="Times New Roman" w:hAnsi="Times New Roman" w:cs="Times New Roman"/>
                <w:sz w:val="20"/>
                <w:szCs w:val="20"/>
              </w:rPr>
              <w:t xml:space="preserve">mento no valor de R$ 7.590,00, </w:t>
            </w:r>
            <w:r>
              <w:rPr>
                <w:rFonts w:ascii="Times New Roman" w:eastAsia="Times New Roman" w:hAnsi="Times New Roman" w:cs="Times New Roman"/>
                <w:sz w:val="20"/>
                <w:szCs w:val="20"/>
              </w:rPr>
              <w:t xml:space="preserve">distribuídas em todos os pavilhões do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proporcionando um ambiente mais seguro a toda comunidade;</w:t>
            </w:r>
          </w:p>
          <w:p w:rsidR="00202DDF" w:rsidRDefault="00202DDF">
            <w:pPr>
              <w:spacing w:after="0" w:line="240" w:lineRule="auto"/>
              <w:contextualSpacing w:val="0"/>
              <w:jc w:val="both"/>
            </w:pPr>
          </w:p>
          <w:p w:rsidR="00202DDF" w:rsidRDefault="001A5369">
            <w:pPr>
              <w:spacing w:after="0" w:line="240" w:lineRule="auto"/>
              <w:contextualSpacing w:val="0"/>
              <w:jc w:val="both"/>
            </w:pPr>
            <w:r>
              <w:rPr>
                <w:rFonts w:ascii="Times New Roman" w:eastAsia="Times New Roman" w:hAnsi="Times New Roman" w:cs="Times New Roman"/>
                <w:sz w:val="20"/>
                <w:szCs w:val="20"/>
              </w:rPr>
              <w:t xml:space="preserve">- Continuidade do controle de acesso ao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com distribuição de carteirinhas individuais aos discentes, com construção de </w:t>
            </w:r>
            <w:r>
              <w:rPr>
                <w:rFonts w:ascii="Times New Roman" w:eastAsia="Times New Roman" w:hAnsi="Times New Roman" w:cs="Times New Roman"/>
                <w:i/>
                <w:sz w:val="20"/>
                <w:szCs w:val="20"/>
              </w:rPr>
              <w:t xml:space="preserve">script </w:t>
            </w:r>
            <w:r>
              <w:rPr>
                <w:rFonts w:ascii="Times New Roman" w:eastAsia="Times New Roman" w:hAnsi="Times New Roman" w:cs="Times New Roman"/>
                <w:sz w:val="20"/>
                <w:szCs w:val="20"/>
              </w:rPr>
              <w:t>para geração das mesmas, num esforço coletivo do Setor de TI e da Direção de Extensão, e com investimento de R$ 3.845,75, ampliando a segurança e organização da instituição;</w:t>
            </w:r>
          </w:p>
          <w:p w:rsidR="00202DDF" w:rsidRDefault="00202DDF">
            <w:pPr>
              <w:spacing w:after="0" w:line="240" w:lineRule="auto"/>
              <w:contextualSpacing w:val="0"/>
              <w:jc w:val="both"/>
            </w:pPr>
          </w:p>
          <w:p w:rsidR="00202DDF" w:rsidRDefault="00202DDF">
            <w:pPr>
              <w:contextualSpacing w:val="0"/>
            </w:pPr>
          </w:p>
        </w:tc>
        <w:tc>
          <w:tcPr>
            <w:tcW w:w="4927" w:type="dxa"/>
          </w:tcPr>
          <w:p w:rsidR="00202DDF" w:rsidRDefault="001A5369">
            <w:pPr>
              <w:spacing w:after="0" w:line="240" w:lineRule="auto"/>
              <w:contextualSpacing w:val="0"/>
              <w:jc w:val="both"/>
            </w:pPr>
            <w:r>
              <w:rPr>
                <w:rFonts w:ascii="Times New Roman" w:eastAsia="Times New Roman" w:hAnsi="Times New Roman" w:cs="Times New Roman"/>
                <w:sz w:val="20"/>
                <w:szCs w:val="20"/>
              </w:rPr>
              <w:t xml:space="preserve">- Contratação da obra da ampliação da subestação </w:t>
            </w:r>
            <w:r w:rsidR="003C55B9">
              <w:rPr>
                <w:rFonts w:ascii="Times New Roman" w:eastAsia="Times New Roman" w:hAnsi="Times New Roman" w:cs="Times New Roman"/>
                <w:sz w:val="20"/>
                <w:szCs w:val="20"/>
              </w:rPr>
              <w:t xml:space="preserve">de energia elétrica </w:t>
            </w:r>
            <w:r>
              <w:rPr>
                <w:rFonts w:ascii="Times New Roman" w:eastAsia="Times New Roman" w:hAnsi="Times New Roman" w:cs="Times New Roman"/>
                <w:sz w:val="20"/>
                <w:szCs w:val="20"/>
              </w:rPr>
              <w:t xml:space="preserve">do </w:t>
            </w:r>
            <w:r w:rsidRPr="00B60A87">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no valor de R$ 156.319,28. Esta obra é de relevância para a comunidade, pois permitirá o funcionamento dos novos pavilhões 11 e 12, além de oportunizar maior segurança e eficiência da rede elétrica;</w:t>
            </w:r>
          </w:p>
          <w:p w:rsidR="00202DDF" w:rsidRDefault="00202DDF">
            <w:pPr>
              <w:spacing w:after="0" w:line="240" w:lineRule="auto"/>
              <w:contextualSpacing w:val="0"/>
              <w:jc w:val="both"/>
            </w:pPr>
          </w:p>
          <w:p w:rsidR="00202DDF" w:rsidRDefault="001A5369">
            <w:pPr>
              <w:spacing w:after="0" w:line="240" w:lineRule="auto"/>
              <w:contextualSpacing w:val="0"/>
              <w:jc w:val="both"/>
            </w:pPr>
            <w:r>
              <w:rPr>
                <w:rFonts w:ascii="Times New Roman" w:eastAsia="Times New Roman" w:hAnsi="Times New Roman" w:cs="Times New Roman"/>
                <w:sz w:val="20"/>
                <w:szCs w:val="20"/>
              </w:rPr>
              <w:t>- Finalização da obra do pavilhão 12, utilizando um investimento de</w:t>
            </w:r>
            <w:r>
              <w:rPr>
                <w:rFonts w:ascii="Times New Roman" w:eastAsia="Times New Roman" w:hAnsi="Times New Roman" w:cs="Times New Roman"/>
                <w:sz w:val="20"/>
                <w:szCs w:val="20"/>
                <w:highlight w:val="white"/>
              </w:rPr>
              <w:t xml:space="preserve"> R$ 252.400,08. Com este aditivo o pavilhão poderá ser entregue a comunidade escolar</w:t>
            </w:r>
            <w:r>
              <w:rPr>
                <w:rFonts w:ascii="Times New Roman" w:eastAsia="Times New Roman" w:hAnsi="Times New Roman" w:cs="Times New Roman"/>
                <w:sz w:val="20"/>
                <w:szCs w:val="20"/>
              </w:rPr>
              <w:t xml:space="preserve"> no próximo ano letivo, oportunizando novas salas de aula, laboratórios e espaços de permanência para servidores e alunos;</w:t>
            </w:r>
          </w:p>
          <w:p w:rsidR="00202DDF" w:rsidRDefault="00202DDF">
            <w:pPr>
              <w:spacing w:after="0" w:line="240" w:lineRule="auto"/>
              <w:contextualSpacing w:val="0"/>
              <w:jc w:val="both"/>
            </w:pPr>
          </w:p>
          <w:p w:rsidR="00202DDF" w:rsidRDefault="001A5369">
            <w:pPr>
              <w:spacing w:after="0" w:line="240" w:lineRule="auto"/>
              <w:contextualSpacing w:val="0"/>
              <w:jc w:val="both"/>
            </w:pPr>
            <w:r>
              <w:rPr>
                <w:rFonts w:ascii="Times New Roman" w:eastAsia="Times New Roman" w:hAnsi="Times New Roman" w:cs="Times New Roman"/>
                <w:sz w:val="20"/>
                <w:szCs w:val="20"/>
              </w:rPr>
              <w:t xml:space="preserve">- Contratação de serviço de manutenção predial para todo o </w:t>
            </w:r>
            <w:r w:rsidRPr="00B60A87">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com a oferta de diversos serviços que possibilitam manter em funcionamento nossa estrutura física.  Junt</w:t>
            </w:r>
            <w:r w:rsidR="003C55B9">
              <w:rPr>
                <w:rFonts w:ascii="Times New Roman" w:eastAsia="Times New Roman" w:hAnsi="Times New Roman" w:cs="Times New Roman"/>
                <w:sz w:val="20"/>
                <w:szCs w:val="20"/>
              </w:rPr>
              <w:t>os,</w:t>
            </w:r>
            <w:r>
              <w:rPr>
                <w:rFonts w:ascii="Times New Roman" w:eastAsia="Times New Roman" w:hAnsi="Times New Roman" w:cs="Times New Roman"/>
                <w:sz w:val="20"/>
                <w:szCs w:val="20"/>
              </w:rPr>
              <w:t xml:space="preserve"> os dois contratos em andamento</w:t>
            </w:r>
            <w:r w:rsidR="003C55B9">
              <w:rPr>
                <w:rFonts w:ascii="Times New Roman" w:eastAsia="Times New Roman" w:hAnsi="Times New Roman" w:cs="Times New Roman"/>
                <w:sz w:val="20"/>
                <w:szCs w:val="20"/>
              </w:rPr>
              <w:t>, têm</w:t>
            </w:r>
            <w:r>
              <w:rPr>
                <w:rFonts w:ascii="Times New Roman" w:eastAsia="Times New Roman" w:hAnsi="Times New Roman" w:cs="Times New Roman"/>
                <w:sz w:val="20"/>
                <w:szCs w:val="20"/>
              </w:rPr>
              <w:t xml:space="preserve"> uma importânc</w:t>
            </w:r>
            <w:r w:rsidR="003C55B9">
              <w:rPr>
                <w:rFonts w:ascii="Times New Roman" w:eastAsia="Times New Roman" w:hAnsi="Times New Roman" w:cs="Times New Roman"/>
                <w:sz w:val="20"/>
                <w:szCs w:val="20"/>
              </w:rPr>
              <w:t>ia de R$ 670.000,00 destinados à</w:t>
            </w:r>
            <w:r>
              <w:rPr>
                <w:rFonts w:ascii="Times New Roman" w:eastAsia="Times New Roman" w:hAnsi="Times New Roman" w:cs="Times New Roman"/>
                <w:sz w:val="20"/>
                <w:szCs w:val="20"/>
              </w:rPr>
              <w:t xml:space="preserve"> área de manutenção;</w:t>
            </w:r>
          </w:p>
          <w:p w:rsidR="00202DDF" w:rsidRDefault="00202DDF">
            <w:pPr>
              <w:spacing w:after="0" w:line="240" w:lineRule="auto"/>
              <w:contextualSpacing w:val="0"/>
              <w:jc w:val="both"/>
            </w:pPr>
          </w:p>
          <w:p w:rsidR="00202DDF" w:rsidRDefault="001A5369">
            <w:pPr>
              <w:spacing w:after="0" w:line="240" w:lineRule="auto"/>
              <w:contextualSpacing w:val="0"/>
              <w:jc w:val="both"/>
            </w:pPr>
            <w:r>
              <w:rPr>
                <w:rFonts w:ascii="Times New Roman" w:eastAsia="Times New Roman" w:hAnsi="Times New Roman" w:cs="Times New Roman"/>
                <w:sz w:val="20"/>
                <w:szCs w:val="20"/>
              </w:rPr>
              <w:t>- Aquisição de acervo bibliográfico no valor de R$ 38.265,49 para nossa Biblioteca, com especial atenção à aquisição dos itens prioritários ao curso de Engenharia Mecânica que passará por processo de avaliação no próximo ano;</w:t>
            </w:r>
          </w:p>
          <w:p w:rsidR="00202DDF" w:rsidRDefault="00202DDF">
            <w:pPr>
              <w:spacing w:after="0" w:line="240" w:lineRule="auto"/>
              <w:contextualSpacing w:val="0"/>
              <w:jc w:val="both"/>
            </w:pPr>
          </w:p>
          <w:p w:rsidR="00202DDF" w:rsidRDefault="001A5369">
            <w:pPr>
              <w:spacing w:after="0" w:line="240" w:lineRule="auto"/>
              <w:contextualSpacing w:val="0"/>
              <w:jc w:val="both"/>
            </w:pPr>
            <w:r>
              <w:rPr>
                <w:rFonts w:ascii="Times New Roman" w:eastAsia="Times New Roman" w:hAnsi="Times New Roman" w:cs="Times New Roman"/>
                <w:sz w:val="20"/>
                <w:szCs w:val="20"/>
              </w:rPr>
              <w:t xml:space="preserve">- Conquista de valor extra orçamentário via TED, no valor de R$ 681.644,87. Este valor foi conquistado através de muito trabalho junto a </w:t>
            </w:r>
            <w:r w:rsidRPr="003C55B9">
              <w:rPr>
                <w:rFonts w:ascii="Times New Roman" w:eastAsia="Times New Roman" w:hAnsi="Times New Roman" w:cs="Times New Roman"/>
                <w:color w:val="auto"/>
                <w:sz w:val="20"/>
                <w:szCs w:val="20"/>
              </w:rPr>
              <w:t xml:space="preserve">representantes políticos da região, e oportunizou o investimento em infraestrutura de </w:t>
            </w:r>
            <w:r>
              <w:rPr>
                <w:rFonts w:ascii="Times New Roman" w:eastAsia="Times New Roman" w:hAnsi="Times New Roman" w:cs="Times New Roman"/>
                <w:sz w:val="20"/>
                <w:szCs w:val="20"/>
              </w:rPr>
              <w:t>TI (com aquisição de storage) e aquisição de computadores e notebooks para nossos laboratórios;</w:t>
            </w:r>
          </w:p>
          <w:p w:rsidR="00202DDF" w:rsidRDefault="00202DDF">
            <w:pPr>
              <w:spacing w:after="0" w:line="240" w:lineRule="auto"/>
              <w:contextualSpacing w:val="0"/>
              <w:jc w:val="both"/>
            </w:pPr>
          </w:p>
        </w:tc>
      </w:tr>
    </w:tbl>
    <w:p w:rsidR="003C55B9" w:rsidRDefault="003C55B9"/>
    <w:p w:rsidR="003C55B9" w:rsidRDefault="003C55B9">
      <w:r>
        <w:br w:type="page"/>
      </w:r>
    </w:p>
    <w:p w:rsidR="00202DDF" w:rsidRDefault="001A5369">
      <w:pPr>
        <w:pStyle w:val="Ttulo1"/>
        <w:numPr>
          <w:ilvl w:val="1"/>
          <w:numId w:val="3"/>
        </w:numPr>
        <w:ind w:hanging="432"/>
      </w:pPr>
      <w:bookmarkStart w:id="14" w:name="_17dp8vu" w:colFirst="0" w:colLast="0"/>
      <w:bookmarkStart w:id="15" w:name="2s8eyo1" w:colFirst="0" w:colLast="0"/>
      <w:bookmarkStart w:id="16" w:name="_Toc470771598"/>
      <w:bookmarkEnd w:id="14"/>
      <w:bookmarkEnd w:id="15"/>
      <w:r>
        <w:lastRenderedPageBreak/>
        <w:t>Justificativas para não execução de ações planejadas</w:t>
      </w:r>
      <w:bookmarkEnd w:id="16"/>
    </w:p>
    <w:p w:rsidR="00202DDF" w:rsidRDefault="00202DDF">
      <w:pPr>
        <w:spacing w:after="0" w:line="240" w:lineRule="auto"/>
        <w:ind w:firstLine="360"/>
        <w:jc w:val="both"/>
      </w:pPr>
    </w:p>
    <w:p w:rsidR="00202DDF" w:rsidRDefault="001A5369">
      <w:pPr>
        <w:spacing w:after="0" w:line="240" w:lineRule="auto"/>
        <w:ind w:firstLine="360"/>
        <w:jc w:val="both"/>
      </w:pPr>
      <w:r>
        <w:rPr>
          <w:rFonts w:ascii="Times New Roman" w:eastAsia="Times New Roman" w:hAnsi="Times New Roman" w:cs="Times New Roman"/>
          <w:sz w:val="24"/>
          <w:szCs w:val="24"/>
        </w:rPr>
        <w:t xml:space="preserve">Os principais motivos das ações que não foram executadas durante o ano se referem à restrição orçamentária que acabou limitando as ações de custeio do </w:t>
      </w:r>
      <w:r>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 xml:space="preserve">(tais como: água, luz, vigilância, limpeza e conservação, manutenção predial, aluguel, entre outros) e de investimento para a continuidade das obras que já estavam em andamento. Aquelas ações que não foram executadas, na sua maioria, referem-se à aquisição de itens de investimento (equipamentos, mobiliários e etc.) que não foram possíveis devido ao restrito capital de investimento, que só foi liberado no último trimestre. Tal liberação tardia inviabilizou a organização de processos de compra, e assim, foi possível adquirir apenas alguns itens através de caronas e pregões já existentes. </w:t>
      </w:r>
    </w:p>
    <w:p w:rsidR="00202DDF" w:rsidRDefault="001A5369">
      <w:pPr>
        <w:spacing w:after="0" w:line="240" w:lineRule="auto"/>
        <w:ind w:firstLine="360"/>
        <w:jc w:val="both"/>
      </w:pPr>
      <w:r>
        <w:rPr>
          <w:rFonts w:ascii="Times New Roman" w:eastAsia="Times New Roman" w:hAnsi="Times New Roman" w:cs="Times New Roman"/>
          <w:sz w:val="24"/>
          <w:szCs w:val="24"/>
        </w:rPr>
        <w:t xml:space="preserve">Com as obras e reformas em andamento, há um problema de estrutura física, alguns espaços estão insuficientes e inadequados em tamanho, sendo requisitados por várias atividades simultâneas, inviabilizando, por exemplo, a aquisição de novos equipamentos para os cursos, já que existe a necessidade de adequar os novos prédios para a correta e eficiente instalação destes itens. </w:t>
      </w:r>
    </w:p>
    <w:p w:rsidR="00202DDF" w:rsidRDefault="001A5369">
      <w:pPr>
        <w:spacing w:after="0" w:line="240" w:lineRule="auto"/>
        <w:ind w:firstLine="360"/>
        <w:jc w:val="both"/>
      </w:pPr>
      <w:r>
        <w:rPr>
          <w:rFonts w:ascii="Times New Roman" w:eastAsia="Times New Roman" w:hAnsi="Times New Roman" w:cs="Times New Roman"/>
          <w:sz w:val="24"/>
          <w:szCs w:val="24"/>
        </w:rPr>
        <w:t>Outras ações ainda foram adaptadas em função do decorrer do ano letivo, substituídas por outros projetos ou, ainda, canceladas, quando verificada a inexistência de necessidade ou interesse das partes envolvidas.</w:t>
      </w:r>
    </w:p>
    <w:p w:rsidR="00202DDF" w:rsidRDefault="00202DDF">
      <w:pPr>
        <w:spacing w:after="0" w:line="240" w:lineRule="auto"/>
        <w:ind w:firstLine="360"/>
        <w:jc w:val="both"/>
      </w:pPr>
    </w:p>
    <w:p w:rsidR="00202DDF" w:rsidRDefault="00202DDF">
      <w:pPr>
        <w:spacing w:after="0" w:line="240" w:lineRule="auto"/>
        <w:ind w:firstLine="360"/>
        <w:jc w:val="both"/>
      </w:pPr>
    </w:p>
    <w:p w:rsidR="00202DDF" w:rsidRDefault="001A5369">
      <w:pPr>
        <w:pStyle w:val="Ttulo1"/>
        <w:numPr>
          <w:ilvl w:val="1"/>
          <w:numId w:val="3"/>
        </w:numPr>
        <w:ind w:hanging="432"/>
      </w:pPr>
      <w:bookmarkStart w:id="17" w:name="_26in1rg" w:colFirst="0" w:colLast="0"/>
      <w:bookmarkStart w:id="18" w:name="3rdcrjn" w:colFirst="0" w:colLast="0"/>
      <w:bookmarkStart w:id="19" w:name="_Toc470771599"/>
      <w:bookmarkEnd w:id="17"/>
      <w:bookmarkEnd w:id="18"/>
      <w:r>
        <w:t>Alterações no Planejamento</w:t>
      </w:r>
      <w:bookmarkEnd w:id="19"/>
    </w:p>
    <w:p w:rsidR="00202DDF" w:rsidRDefault="00202DDF">
      <w:pPr>
        <w:spacing w:after="0" w:line="240" w:lineRule="auto"/>
        <w:ind w:firstLine="360"/>
        <w:jc w:val="both"/>
      </w:pPr>
    </w:p>
    <w:p w:rsidR="00202DDF" w:rsidRDefault="001A5369">
      <w:pPr>
        <w:spacing w:after="0" w:line="240" w:lineRule="auto"/>
        <w:ind w:firstLine="360"/>
        <w:jc w:val="both"/>
      </w:pPr>
      <w:r>
        <w:rPr>
          <w:rFonts w:ascii="Times New Roman" w:eastAsia="Times New Roman" w:hAnsi="Times New Roman" w:cs="Times New Roman"/>
          <w:sz w:val="24"/>
          <w:szCs w:val="24"/>
        </w:rPr>
        <w:t xml:space="preserve">Não foram realizadas alterações no planejamento de 2016, ocorreram, sim, mudanças orçamentárias em função da restrição orçamentária e da não efetivação de algumas aquisições por diversos fatores, ou da necessidade de alteração em razão de ajustes em contratos. As ações canceladas ou executadas parcialmente tiveram seus recursos remanejados para outras ações. </w:t>
      </w:r>
    </w:p>
    <w:p w:rsidR="00202DDF" w:rsidRDefault="00202DDF">
      <w:pPr>
        <w:spacing w:after="0" w:line="240" w:lineRule="auto"/>
        <w:jc w:val="both"/>
      </w:pPr>
    </w:p>
    <w:p w:rsidR="00202DDF" w:rsidRDefault="001A5369">
      <w:pPr>
        <w:pStyle w:val="Ttulo1"/>
        <w:numPr>
          <w:ilvl w:val="1"/>
          <w:numId w:val="3"/>
        </w:numPr>
        <w:ind w:hanging="432"/>
      </w:pPr>
      <w:bookmarkStart w:id="20" w:name="_35nkun2" w:colFirst="0" w:colLast="0"/>
      <w:bookmarkStart w:id="21" w:name="lnxbz9" w:colFirst="0" w:colLast="0"/>
      <w:bookmarkStart w:id="22" w:name="_Toc470771600"/>
      <w:bookmarkEnd w:id="20"/>
      <w:bookmarkEnd w:id="21"/>
      <w:r>
        <w:t>Aprendizados adquiridos e superações conquistadas</w:t>
      </w:r>
      <w:bookmarkEnd w:id="22"/>
    </w:p>
    <w:p w:rsidR="00202DDF" w:rsidRDefault="00202DDF">
      <w:pPr>
        <w:spacing w:after="0" w:line="240" w:lineRule="auto"/>
        <w:ind w:left="360"/>
        <w:jc w:val="both"/>
      </w:pPr>
    </w:p>
    <w:p w:rsidR="00202DDF" w:rsidRDefault="001A5369">
      <w:pPr>
        <w:spacing w:after="0" w:line="240" w:lineRule="auto"/>
        <w:ind w:firstLine="360"/>
        <w:jc w:val="both"/>
      </w:pPr>
      <w:r>
        <w:rPr>
          <w:rFonts w:ascii="Times New Roman" w:eastAsia="Times New Roman" w:hAnsi="Times New Roman" w:cs="Times New Roman"/>
          <w:sz w:val="24"/>
          <w:szCs w:val="24"/>
          <w:highlight w:val="white"/>
        </w:rPr>
        <w:t xml:space="preserve">Ao longo de 2016 </w:t>
      </w:r>
      <w:r w:rsidR="003C55B9">
        <w:rPr>
          <w:rFonts w:ascii="Times New Roman" w:eastAsia="Times New Roman" w:hAnsi="Times New Roman" w:cs="Times New Roman"/>
          <w:sz w:val="24"/>
          <w:szCs w:val="24"/>
          <w:highlight w:val="white"/>
        </w:rPr>
        <w:t>houve</w:t>
      </w:r>
      <w:r>
        <w:rPr>
          <w:rFonts w:ascii="Times New Roman" w:eastAsia="Times New Roman" w:hAnsi="Times New Roman" w:cs="Times New Roman"/>
          <w:sz w:val="24"/>
          <w:szCs w:val="24"/>
          <w:highlight w:val="white"/>
        </w:rPr>
        <w:t xml:space="preserve"> muitos aprendizado e superações, principalmente frente aos desafios de um ano com orçamento restrito, obras em andamento, nova gestão e ainda períodos de greve dos servidores. A restrição orçamentária tornou o processo de tomada de decisão mais lento, com os repasses orçamentários parcelados, a gestão financeira ficou prejudicada, já que não se sabia qual seria o montante disponível e quanto seria repassado ao </w:t>
      </w:r>
      <w:r>
        <w:rPr>
          <w:rFonts w:ascii="Times New Roman" w:eastAsia="Times New Roman" w:hAnsi="Times New Roman" w:cs="Times New Roman"/>
          <w:i/>
          <w:sz w:val="24"/>
          <w:szCs w:val="24"/>
          <w:highlight w:val="white"/>
        </w:rPr>
        <w:t>Campus</w:t>
      </w:r>
      <w:r>
        <w:rPr>
          <w:rFonts w:ascii="Times New Roman" w:eastAsia="Times New Roman" w:hAnsi="Times New Roman" w:cs="Times New Roman"/>
          <w:sz w:val="24"/>
          <w:szCs w:val="24"/>
          <w:highlight w:val="white"/>
        </w:rPr>
        <w:t>.</w:t>
      </w:r>
    </w:p>
    <w:p w:rsidR="00202DDF" w:rsidRDefault="001A5369">
      <w:pPr>
        <w:spacing w:after="0" w:line="240" w:lineRule="auto"/>
        <w:ind w:firstLine="360"/>
        <w:jc w:val="both"/>
      </w:pPr>
      <w:r>
        <w:rPr>
          <w:rFonts w:ascii="Times New Roman" w:eastAsia="Times New Roman" w:hAnsi="Times New Roman" w:cs="Times New Roman"/>
          <w:sz w:val="24"/>
          <w:szCs w:val="24"/>
          <w:highlight w:val="white"/>
        </w:rPr>
        <w:t xml:space="preserve">No entanto, entende-se que um dos principais aprendizados do período esteja no esforço de melhorar a infraestrutura física do </w:t>
      </w:r>
      <w:r>
        <w:rPr>
          <w:rFonts w:ascii="Times New Roman" w:eastAsia="Times New Roman" w:hAnsi="Times New Roman" w:cs="Times New Roman"/>
          <w:i/>
          <w:sz w:val="24"/>
          <w:szCs w:val="24"/>
          <w:highlight w:val="white"/>
        </w:rPr>
        <w:t>Campus</w:t>
      </w:r>
      <w:r>
        <w:rPr>
          <w:rFonts w:ascii="Times New Roman" w:eastAsia="Times New Roman" w:hAnsi="Times New Roman" w:cs="Times New Roman"/>
          <w:sz w:val="24"/>
          <w:szCs w:val="24"/>
          <w:highlight w:val="white"/>
        </w:rPr>
        <w:t>, principalmente com a utilização do serviço de manutenção predial, o que exige fiscalização e empenho de nossos servidores no planejamento e acompanhamento da execução desses projetos. A melhora na infraestrutura física é entendida como principal objetivo desta gestão, tendo em vista que são necessárias instalações adequadas para se manter a qualidade de ensino, além disso, com os novos espaços sendo entregues será possível proporcionar a todos os servidores e alunos melhor qualidade de vida</w:t>
      </w:r>
      <w:r>
        <w:rPr>
          <w:rFonts w:ascii="Times New Roman" w:eastAsia="Times New Roman" w:hAnsi="Times New Roman" w:cs="Times New Roman"/>
          <w:sz w:val="24"/>
          <w:szCs w:val="24"/>
        </w:rPr>
        <w:t xml:space="preserve">. </w:t>
      </w:r>
    </w:p>
    <w:p w:rsidR="00202DDF" w:rsidRDefault="001A5369">
      <w:pPr>
        <w:spacing w:after="0" w:line="240" w:lineRule="auto"/>
        <w:ind w:firstLine="360"/>
        <w:jc w:val="both"/>
      </w:pPr>
      <w:r>
        <w:rPr>
          <w:rFonts w:ascii="Times New Roman" w:eastAsia="Times New Roman" w:hAnsi="Times New Roman" w:cs="Times New Roman"/>
          <w:sz w:val="24"/>
          <w:szCs w:val="24"/>
        </w:rPr>
        <w:t>Tal aprendizado tem a consequência de, ao concentrar recursos para manutenções e reformas, diminuir nossa capacidade de investimento em outras demandas, como equipamentos, mobiliários e materiais específicos para cada curso o que pode gerar certa frustração na comunidade acadêmica, todavia entendemos que se trata de um processo de construção, onde cada passo deve ser planejado. A prioridade para as reestruturações objetiva construir espaços adequados às demandas de cada curso existente, e a identificação dos mesmos em áreas distintas, facilitando a comunicação interna e, obviamente, proporcionando maior qualidade de ensino.</w:t>
      </w:r>
    </w:p>
    <w:p w:rsidR="00202DDF" w:rsidRDefault="001A5369">
      <w:pPr>
        <w:spacing w:after="0" w:line="240" w:lineRule="auto"/>
        <w:ind w:firstLine="360"/>
        <w:jc w:val="both"/>
      </w:pPr>
      <w:r>
        <w:rPr>
          <w:rFonts w:ascii="Times New Roman" w:eastAsia="Times New Roman" w:hAnsi="Times New Roman" w:cs="Times New Roman"/>
          <w:sz w:val="24"/>
          <w:szCs w:val="24"/>
        </w:rPr>
        <w:t>É possível compreender também que o aprendizado com a não realização das ações contribuiu para uma melhor adequação do planejamento, pois passamos a entender que é necessário crescer com estrutura adequada, mantendo a qualidade dos serviços prestados.</w:t>
      </w:r>
    </w:p>
    <w:p w:rsidR="00202DDF" w:rsidRDefault="001A5369">
      <w:pPr>
        <w:spacing w:after="0" w:line="240" w:lineRule="auto"/>
        <w:ind w:firstLine="360"/>
        <w:jc w:val="both"/>
      </w:pPr>
      <w:r>
        <w:rPr>
          <w:rFonts w:ascii="Times New Roman" w:eastAsia="Times New Roman" w:hAnsi="Times New Roman" w:cs="Times New Roman"/>
          <w:sz w:val="24"/>
          <w:szCs w:val="24"/>
        </w:rPr>
        <w:lastRenderedPageBreak/>
        <w:t xml:space="preserve">Além dessas, serviram de aprendizado outras ações executadas e que tiveram repercussão no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e na Instituição e que merecem destaque, tais como: </w:t>
      </w:r>
    </w:p>
    <w:p w:rsidR="003C55B9" w:rsidRDefault="003C55B9" w:rsidP="003C55B9">
      <w:pPr>
        <w:numPr>
          <w:ilvl w:val="0"/>
          <w:numId w:val="1"/>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Cuidados constantes de paisagismo e jardinagem no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com podas, transplantes de espécies e plantio de novas árvores frutíferas, sendo esta última uma atividade que envolveu conjuntamente discentes, docentes efetivos, substitutos e temporários, TAEs e terceirizados, além da comunidade externa, que fez a doação de mudas;</w:t>
      </w:r>
    </w:p>
    <w:p w:rsidR="00644377" w:rsidRDefault="001A5369" w:rsidP="00644377">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Contratação do serviço de manutenção dos equipamentos de ar condicionado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no valor de R$ 12.012,73 (substituição de suportes e manutenção dos aparelhos); </w:t>
      </w:r>
    </w:p>
    <w:p w:rsidR="00644377" w:rsidRPr="00644377" w:rsidRDefault="00644377"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sz w:val="24"/>
          <w:szCs w:val="24"/>
        </w:rPr>
        <w:t xml:space="preserve">Houve, neste ano de 2016, uma licitação para a renovação da empresa responsável pelo bar/restaurante do </w:t>
      </w:r>
      <w:r w:rsidRPr="00644377">
        <w:rPr>
          <w:rFonts w:ascii="Times New Roman" w:eastAsia="Times New Roman" w:hAnsi="Times New Roman" w:cs="Times New Roman"/>
          <w:i/>
          <w:color w:val="auto"/>
          <w:sz w:val="24"/>
          <w:szCs w:val="24"/>
        </w:rPr>
        <w:t>Campus</w:t>
      </w:r>
      <w:r w:rsidRPr="00644377">
        <w:rPr>
          <w:rFonts w:ascii="Times New Roman" w:eastAsia="Times New Roman" w:hAnsi="Times New Roman" w:cs="Times New Roman"/>
          <w:color w:val="auto"/>
          <w:sz w:val="24"/>
          <w:szCs w:val="24"/>
        </w:rPr>
        <w:t xml:space="preserve">. Foi um processo longo e cheio de desafios e aprendizados, e ao fim do processo representou um ganho em qualidade e elevação no nível de prestação de serviços, destacando-se o preço acessível da alimentação ofertado a toda comunidade do </w:t>
      </w:r>
      <w:r w:rsidRPr="00644377">
        <w:rPr>
          <w:rFonts w:ascii="Times New Roman" w:eastAsia="Times New Roman" w:hAnsi="Times New Roman" w:cs="Times New Roman"/>
          <w:i/>
          <w:color w:val="auto"/>
          <w:sz w:val="24"/>
          <w:szCs w:val="24"/>
        </w:rPr>
        <w:t xml:space="preserve">Campus </w:t>
      </w:r>
      <w:r w:rsidRPr="00644377">
        <w:rPr>
          <w:rFonts w:ascii="Times New Roman" w:eastAsia="Times New Roman" w:hAnsi="Times New Roman" w:cs="Times New Roman"/>
          <w:color w:val="auto"/>
          <w:sz w:val="24"/>
          <w:szCs w:val="24"/>
        </w:rPr>
        <w:t xml:space="preserve">Rio Grande; </w:t>
      </w:r>
    </w:p>
    <w:p w:rsidR="00202DDF" w:rsidRDefault="001A536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Revitalização da iluminação e pintura do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rsidR="00202DDF" w:rsidRDefault="001A5369">
      <w:pPr>
        <w:numPr>
          <w:ilvl w:val="0"/>
          <w:numId w:val="1"/>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Envolvimento de vários setores do </w:t>
      </w:r>
      <w:r>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 xml:space="preserve">e discentes em ações internas e externas de conscientização em prol do combate à proliferação do mosquito </w:t>
      </w:r>
      <w:r>
        <w:rPr>
          <w:rFonts w:ascii="Times New Roman" w:eastAsia="Times New Roman" w:hAnsi="Times New Roman" w:cs="Times New Roman"/>
          <w:i/>
          <w:sz w:val="24"/>
          <w:szCs w:val="24"/>
        </w:rPr>
        <w:t xml:space="preserve">Aedes aegypti </w:t>
      </w:r>
      <w:r>
        <w:rPr>
          <w:rFonts w:ascii="Times New Roman" w:eastAsia="Times New Roman" w:hAnsi="Times New Roman" w:cs="Times New Roman"/>
          <w:sz w:val="24"/>
          <w:szCs w:val="24"/>
        </w:rPr>
        <w:t>e às doenças resultantes, tais como a Dengue, febre Chikungunya e vírus Zika;</w:t>
      </w:r>
    </w:p>
    <w:p w:rsidR="00202DDF" w:rsidRDefault="001A536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Início da reestruturação dos laboratórios de informática, principalmente os existentes nas salas 212 e 213 A e B que estão recebendo nova rede elétrica, lógica e novos equipamentos, além de manutenção daqueles já existentes; </w:t>
      </w:r>
    </w:p>
    <w:p w:rsidR="00644377" w:rsidRDefault="001A5369" w:rsidP="00644377">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Aquisição de equipamentos e serviços da área de tecnologia da informação como a rede GPON, no valor de R$ 227.091,49 que trazem uma mudança de tecnologia passando para cabeamento por fibra ótica o que garante maior desempenho e segurança para a rede;</w:t>
      </w:r>
    </w:p>
    <w:p w:rsidR="00644377" w:rsidRPr="00644377" w:rsidRDefault="00644377"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color w:val="auto"/>
          <w:sz w:val="24"/>
          <w:szCs w:val="24"/>
          <w:highlight w:val="white"/>
        </w:rPr>
        <w:t>A aluna Mariana Kurowiski (estudante do Curso Técnico em Fabricação Mecânica) ganhou medalha de ouro (primeiro lugar) na modalidade de atletismo dos 1500m e 3000m nos Jogos dos Institutos Federais (JIF) que aconteceu em nível nacional na cidade de Brasília, no período de 06 a 08 de outubro de 2016;</w:t>
      </w:r>
    </w:p>
    <w:p w:rsidR="00644377" w:rsidRDefault="001A5369" w:rsidP="00644377">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Os jogos internos do </w:t>
      </w:r>
      <w:r w:rsidRPr="00B60A87">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organizados pelo CEU, que aconteceram aos sábados na instituição com a disputa em diversas modalidades; </w:t>
      </w:r>
    </w:p>
    <w:p w:rsidR="00644377" w:rsidRDefault="00644377"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sz w:val="24"/>
          <w:szCs w:val="24"/>
        </w:rPr>
        <w:t xml:space="preserve">Participação de alunos do </w:t>
      </w:r>
      <w:r w:rsidRPr="00644377">
        <w:rPr>
          <w:rFonts w:ascii="Times New Roman" w:eastAsia="Times New Roman" w:hAnsi="Times New Roman" w:cs="Times New Roman"/>
          <w:color w:val="auto"/>
          <w:sz w:val="24"/>
          <w:szCs w:val="24"/>
        </w:rPr>
        <w:t xml:space="preserve">IFRS </w:t>
      </w:r>
      <w:r w:rsidRPr="00644377">
        <w:rPr>
          <w:rFonts w:ascii="Times New Roman" w:eastAsia="Times New Roman" w:hAnsi="Times New Roman" w:cs="Times New Roman"/>
          <w:i/>
          <w:color w:val="auto"/>
          <w:sz w:val="24"/>
          <w:szCs w:val="24"/>
        </w:rPr>
        <w:t>Campus</w:t>
      </w:r>
      <w:r w:rsidRPr="00644377">
        <w:rPr>
          <w:rFonts w:ascii="Times New Roman" w:eastAsia="Times New Roman" w:hAnsi="Times New Roman" w:cs="Times New Roman"/>
          <w:color w:val="auto"/>
          <w:sz w:val="24"/>
          <w:szCs w:val="24"/>
        </w:rPr>
        <w:t xml:space="preserve"> Rio </w:t>
      </w:r>
      <w:r w:rsidRPr="00644377">
        <w:rPr>
          <w:rFonts w:ascii="Times New Roman" w:eastAsia="Times New Roman" w:hAnsi="Times New Roman" w:cs="Times New Roman"/>
          <w:sz w:val="24"/>
          <w:szCs w:val="24"/>
        </w:rPr>
        <w:t>Grande na XV Olimpíada de Química do RS, com a conquista de medalhas por três alunos, e ainda uma premiação de reconhecimento como escola medalhista;</w:t>
      </w:r>
    </w:p>
    <w:p w:rsidR="00644377" w:rsidRDefault="00644377"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sz w:val="24"/>
          <w:szCs w:val="24"/>
        </w:rPr>
        <w:t xml:space="preserve">Duas alunas, vinculadas ao NEPGS do </w:t>
      </w:r>
      <w:r w:rsidRPr="00644377">
        <w:rPr>
          <w:rFonts w:ascii="Times New Roman" w:eastAsia="Times New Roman" w:hAnsi="Times New Roman" w:cs="Times New Roman"/>
          <w:i/>
          <w:color w:val="auto"/>
          <w:sz w:val="24"/>
          <w:szCs w:val="24"/>
        </w:rPr>
        <w:t>Campus</w:t>
      </w:r>
      <w:r w:rsidRPr="00644377">
        <w:rPr>
          <w:rFonts w:ascii="Times New Roman" w:eastAsia="Times New Roman" w:hAnsi="Times New Roman" w:cs="Times New Roman"/>
          <w:color w:val="auto"/>
          <w:sz w:val="24"/>
          <w:szCs w:val="24"/>
        </w:rPr>
        <w:t xml:space="preserve">, </w:t>
      </w:r>
      <w:r w:rsidRPr="00644377">
        <w:rPr>
          <w:rFonts w:ascii="Times New Roman" w:eastAsia="Times New Roman" w:hAnsi="Times New Roman" w:cs="Times New Roman"/>
          <w:sz w:val="24"/>
          <w:szCs w:val="24"/>
        </w:rPr>
        <w:t>foram premiadas na IV Mostra Cultural sobre Diversidade Sexual e de Gênero, organizada pela FURG, obtendo o 2º lugar na categoria Ensino Médio e Menção Honrosa;</w:t>
      </w:r>
    </w:p>
    <w:p w:rsidR="00644377" w:rsidRDefault="00644377"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sz w:val="24"/>
          <w:szCs w:val="24"/>
        </w:rPr>
        <w:t xml:space="preserve">Participação de alunos do Curso Técnico em Fabricação </w:t>
      </w:r>
      <w:r w:rsidRPr="00644377">
        <w:rPr>
          <w:rFonts w:ascii="Times New Roman" w:eastAsia="Times New Roman" w:hAnsi="Times New Roman" w:cs="Times New Roman"/>
          <w:color w:val="auto"/>
          <w:sz w:val="24"/>
          <w:szCs w:val="24"/>
        </w:rPr>
        <w:t>Mecânica do</w:t>
      </w:r>
      <w:r w:rsidRPr="00644377">
        <w:rPr>
          <w:rFonts w:ascii="Times New Roman" w:eastAsia="Times New Roman" w:hAnsi="Times New Roman" w:cs="Times New Roman"/>
          <w:i/>
          <w:color w:val="auto"/>
          <w:sz w:val="24"/>
          <w:szCs w:val="24"/>
        </w:rPr>
        <w:t xml:space="preserve"> Campus</w:t>
      </w:r>
      <w:r w:rsidRPr="00644377">
        <w:rPr>
          <w:rFonts w:ascii="Times New Roman" w:eastAsia="Times New Roman" w:hAnsi="Times New Roman" w:cs="Times New Roman"/>
          <w:color w:val="auto"/>
          <w:sz w:val="24"/>
          <w:szCs w:val="24"/>
        </w:rPr>
        <w:t xml:space="preserve"> Rio </w:t>
      </w:r>
      <w:r w:rsidRPr="00644377">
        <w:rPr>
          <w:rFonts w:ascii="Times New Roman" w:eastAsia="Times New Roman" w:hAnsi="Times New Roman" w:cs="Times New Roman"/>
          <w:sz w:val="24"/>
          <w:szCs w:val="24"/>
        </w:rPr>
        <w:t>Grande na Shell Eco-Marathon Brasil, evento que reúne estudantes de vários países em um grande desafio de eficiência energética em diversas categorias. A Equipe IFECO construiu um carro com desempenho baseado em eficiência energética e sustentabilidade e participou da competição no Kartódromo da Granja Viana, em São Paulo;</w:t>
      </w:r>
    </w:p>
    <w:p w:rsidR="00644377" w:rsidRDefault="00644377"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color w:val="auto"/>
          <w:sz w:val="24"/>
          <w:szCs w:val="24"/>
        </w:rPr>
        <w:t xml:space="preserve">Início da parceria/convênio com o SENAC referente à construção de um simulador para ambientes confinados para solda, voltados principalmente para a área de construção naval e </w:t>
      </w:r>
      <w:r w:rsidRPr="00644377">
        <w:rPr>
          <w:rFonts w:ascii="Times New Roman" w:eastAsia="Times New Roman" w:hAnsi="Times New Roman" w:cs="Times New Roman"/>
          <w:i/>
          <w:color w:val="auto"/>
          <w:sz w:val="24"/>
          <w:szCs w:val="24"/>
        </w:rPr>
        <w:t>offshore</w:t>
      </w:r>
      <w:r w:rsidRPr="00644377">
        <w:rPr>
          <w:rFonts w:ascii="Times New Roman" w:eastAsia="Times New Roman" w:hAnsi="Times New Roman" w:cs="Times New Roman"/>
          <w:color w:val="auto"/>
          <w:sz w:val="24"/>
          <w:szCs w:val="24"/>
        </w:rPr>
        <w:t>;</w:t>
      </w:r>
    </w:p>
    <w:p w:rsidR="00644377" w:rsidRDefault="00644377"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color w:val="auto"/>
          <w:sz w:val="24"/>
          <w:szCs w:val="24"/>
        </w:rPr>
        <w:t>Encaminhamento de convênio com a empresa GAUSS Geotecnologia e Engenharia LTDA, a fim de oportunizar estágios para alunos e empregos para egressos do Curso Técnico em Geoprocessamento;</w:t>
      </w:r>
    </w:p>
    <w:p w:rsidR="00644377" w:rsidRPr="00644377" w:rsidRDefault="00644377"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color w:val="auto"/>
          <w:sz w:val="24"/>
          <w:szCs w:val="24"/>
        </w:rPr>
        <w:t xml:space="preserve">A renovação de convênios com a Prefeitura Municipal do Rio Grande e com a Universidade Federal do Rio Grande, potencializando a manutenção da parceria e a </w:t>
      </w:r>
      <w:r w:rsidRPr="00644377">
        <w:rPr>
          <w:rFonts w:ascii="Times New Roman" w:eastAsia="Times New Roman" w:hAnsi="Times New Roman" w:cs="Times New Roman"/>
          <w:color w:val="auto"/>
          <w:sz w:val="24"/>
          <w:szCs w:val="24"/>
        </w:rPr>
        <w:lastRenderedPageBreak/>
        <w:t>ampliação de projetos de pesquisa, ações de extensão, atividades de ensino e campo de estágios;</w:t>
      </w:r>
    </w:p>
    <w:p w:rsidR="00202DDF" w:rsidRPr="00644377" w:rsidRDefault="001A5369"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sz w:val="24"/>
          <w:szCs w:val="24"/>
        </w:rPr>
        <w:t xml:space="preserve">A aquisição de mobiliários para o </w:t>
      </w:r>
      <w:r w:rsidRPr="00644377">
        <w:rPr>
          <w:rFonts w:ascii="Times New Roman" w:eastAsia="Times New Roman" w:hAnsi="Times New Roman" w:cs="Times New Roman"/>
          <w:i/>
          <w:sz w:val="24"/>
          <w:szCs w:val="24"/>
        </w:rPr>
        <w:t>Campus</w:t>
      </w:r>
      <w:r w:rsidRPr="00644377">
        <w:rPr>
          <w:rFonts w:ascii="Times New Roman" w:eastAsia="Times New Roman" w:hAnsi="Times New Roman" w:cs="Times New Roman"/>
          <w:sz w:val="24"/>
          <w:szCs w:val="24"/>
        </w:rPr>
        <w:t xml:space="preserve">, como mesas, cadeiras e quadro brancos; </w:t>
      </w:r>
    </w:p>
    <w:p w:rsidR="00202DDF" w:rsidRDefault="001A536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A aquisição de novos projetores e equipamentos de </w:t>
      </w:r>
      <w:r>
        <w:rPr>
          <w:rFonts w:ascii="Times New Roman" w:eastAsia="Times New Roman" w:hAnsi="Times New Roman" w:cs="Times New Roman"/>
          <w:i/>
          <w:sz w:val="24"/>
          <w:szCs w:val="24"/>
        </w:rPr>
        <w:t xml:space="preserve">acess point </w:t>
      </w:r>
      <w:r>
        <w:rPr>
          <w:rFonts w:ascii="Times New Roman" w:eastAsia="Times New Roman" w:hAnsi="Times New Roman" w:cs="Times New Roman"/>
          <w:sz w:val="24"/>
          <w:szCs w:val="24"/>
        </w:rPr>
        <w:t xml:space="preserve">que permitirão a estruturação de uma rede corporativa de </w:t>
      </w:r>
      <w:r w:rsidRPr="002E29E8">
        <w:rPr>
          <w:rFonts w:ascii="Times New Roman" w:eastAsia="Times New Roman" w:hAnsi="Times New Roman" w:cs="Times New Roman"/>
          <w:i/>
          <w:sz w:val="24"/>
          <w:szCs w:val="24"/>
        </w:rPr>
        <w:t>wifi</w:t>
      </w:r>
      <w:r>
        <w:rPr>
          <w:rFonts w:ascii="Times New Roman" w:eastAsia="Times New Roman" w:hAnsi="Times New Roman" w:cs="Times New Roman"/>
          <w:sz w:val="24"/>
          <w:szCs w:val="24"/>
        </w:rPr>
        <w:t xml:space="preserve"> para todo 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w:t>
      </w:r>
    </w:p>
    <w:p w:rsidR="003C55B9" w:rsidRDefault="003C55B9" w:rsidP="003C55B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Participação dos alunos nos jogos dos Institutos Federais (etapa interna, regiona</w:t>
      </w:r>
      <w:r w:rsidR="002E29E8">
        <w:rPr>
          <w:rFonts w:ascii="Times New Roman" w:eastAsia="Times New Roman" w:hAnsi="Times New Roman" w:cs="Times New Roman"/>
          <w:sz w:val="24"/>
          <w:szCs w:val="24"/>
        </w:rPr>
        <w:t xml:space="preserve">l e nacional), com despesas de </w:t>
      </w:r>
      <w:r>
        <w:rPr>
          <w:rFonts w:ascii="Times New Roman" w:eastAsia="Times New Roman" w:hAnsi="Times New Roman" w:cs="Times New Roman"/>
          <w:sz w:val="24"/>
          <w:szCs w:val="24"/>
        </w:rPr>
        <w:t>diárias, passagens aéreas e auxílio aos alunos para suporte durante os jogos, no valor de R$ 17.708,10;</w:t>
      </w:r>
    </w:p>
    <w:p w:rsidR="00A35726" w:rsidRDefault="001A5369" w:rsidP="00A35726">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O início da aquisição de material elétrico para o Pavilhão 11 que poderá ter sua rede elétrica finalizada no próximo ano, trazendo de volta para o </w:t>
      </w: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a área da Mecânica </w:t>
      </w:r>
      <w:r w:rsidR="00A35726">
        <w:rPr>
          <w:rFonts w:ascii="Times New Roman" w:eastAsia="Times New Roman" w:hAnsi="Times New Roman" w:cs="Times New Roman"/>
          <w:sz w:val="24"/>
          <w:szCs w:val="24"/>
        </w:rPr>
        <w:t>que hoje ocupa um prédio locado;</w:t>
      </w:r>
    </w:p>
    <w:p w:rsidR="00644377" w:rsidRDefault="00644377"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color w:val="auto"/>
          <w:sz w:val="24"/>
          <w:szCs w:val="24"/>
        </w:rPr>
        <w:t>Reestruturação e revitalização da Comissão Permanente do Processo Seletivo (COPERSE), na qual se trabalhou fundamentalmente em ações preventivas ao que tange a divulgação do Processo Seletivo em si, bem como das suas principais datas. Estas ações foram feitas tanto em meios de circulação de informação oficial, como através de periódicos citadinos e redes sociais. Realizou-se nesta área também um amplo noticiamento das necessidades de que o candidato providencie a documentação especificada no edital previamente, tanto para a prova como para as matrículas, evitando os diversos casos de ocorrências de alunos sem documentação, tumultuando o trabalho do registro acadêmico;</w:t>
      </w:r>
    </w:p>
    <w:p w:rsidR="00644377" w:rsidRPr="00644377" w:rsidRDefault="00644377"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color w:val="auto"/>
          <w:sz w:val="24"/>
          <w:szCs w:val="24"/>
        </w:rPr>
        <w:t>Reestruturação do setor de assistentes de alunos, com a alocação de servidora no ginásio poliesportivo, possibilitando atividades da comunidade acadêmi</w:t>
      </w:r>
      <w:r>
        <w:rPr>
          <w:rFonts w:ascii="Times New Roman" w:eastAsia="Times New Roman" w:hAnsi="Times New Roman" w:cs="Times New Roman"/>
          <w:color w:val="auto"/>
          <w:sz w:val="24"/>
          <w:szCs w:val="24"/>
        </w:rPr>
        <w:t>ca com o devido acompanhamento;</w:t>
      </w:r>
    </w:p>
    <w:p w:rsidR="00644377" w:rsidRPr="00644377" w:rsidRDefault="00644377" w:rsidP="00644377">
      <w:pPr>
        <w:numPr>
          <w:ilvl w:val="0"/>
          <w:numId w:val="1"/>
        </w:numPr>
        <w:spacing w:after="0" w:line="240" w:lineRule="auto"/>
        <w:ind w:hanging="360"/>
        <w:contextualSpacing/>
        <w:jc w:val="both"/>
        <w:rPr>
          <w:sz w:val="24"/>
          <w:szCs w:val="24"/>
        </w:rPr>
      </w:pPr>
      <w:r w:rsidRPr="00644377">
        <w:rPr>
          <w:rFonts w:ascii="Times New Roman" w:eastAsia="Times New Roman" w:hAnsi="Times New Roman" w:cs="Times New Roman"/>
          <w:color w:val="auto"/>
          <w:sz w:val="24"/>
          <w:szCs w:val="24"/>
        </w:rPr>
        <w:t xml:space="preserve">Criação da Comissão de Avaliação e Gestão do Ensino (CAGE) do </w:t>
      </w:r>
      <w:r w:rsidRPr="00644377">
        <w:rPr>
          <w:rFonts w:ascii="Times New Roman" w:eastAsia="Times New Roman" w:hAnsi="Times New Roman" w:cs="Times New Roman"/>
          <w:i/>
          <w:color w:val="auto"/>
          <w:sz w:val="24"/>
          <w:szCs w:val="24"/>
        </w:rPr>
        <w:t>Campus</w:t>
      </w:r>
      <w:r w:rsidRPr="00644377">
        <w:rPr>
          <w:rFonts w:ascii="Times New Roman" w:eastAsia="Times New Roman" w:hAnsi="Times New Roman" w:cs="Times New Roman"/>
          <w:color w:val="auto"/>
          <w:sz w:val="24"/>
          <w:szCs w:val="24"/>
        </w:rPr>
        <w:t xml:space="preserve"> que visa auxiliar a Direção de Ensino nas ações in</w:t>
      </w:r>
      <w:r>
        <w:rPr>
          <w:rFonts w:ascii="Times New Roman" w:eastAsia="Times New Roman" w:hAnsi="Times New Roman" w:cs="Times New Roman"/>
          <w:color w:val="auto"/>
          <w:sz w:val="24"/>
          <w:szCs w:val="24"/>
        </w:rPr>
        <w:t>erentes aos processos de ensino.</w:t>
      </w:r>
    </w:p>
    <w:p w:rsidR="00A35726" w:rsidRDefault="00A35726">
      <w:r>
        <w:br w:type="page"/>
      </w:r>
    </w:p>
    <w:p w:rsidR="00202DDF" w:rsidRDefault="001A5369">
      <w:pPr>
        <w:pStyle w:val="Ttulo1"/>
        <w:numPr>
          <w:ilvl w:val="1"/>
          <w:numId w:val="3"/>
        </w:numPr>
        <w:ind w:hanging="432"/>
      </w:pPr>
      <w:bookmarkStart w:id="23" w:name="_44sinio" w:colFirst="0" w:colLast="0"/>
      <w:bookmarkStart w:id="24" w:name="1ksv4uv" w:colFirst="0" w:colLast="0"/>
      <w:bookmarkStart w:id="25" w:name="_Toc470771601"/>
      <w:bookmarkEnd w:id="23"/>
      <w:bookmarkEnd w:id="24"/>
      <w:r>
        <w:lastRenderedPageBreak/>
        <w:t>Quantitativos de execução das ações planejadas</w:t>
      </w:r>
      <w:bookmarkEnd w:id="25"/>
    </w:p>
    <w:p w:rsidR="00202DDF" w:rsidRDefault="00202DDF"/>
    <w:p w:rsidR="00202DDF" w:rsidRDefault="001A5369">
      <w:pPr>
        <w:spacing w:after="0" w:line="240" w:lineRule="auto"/>
        <w:jc w:val="center"/>
      </w:pPr>
      <w:r>
        <w:rPr>
          <w:rFonts w:ascii="Times New Roman" w:eastAsia="Times New Roman" w:hAnsi="Times New Roman" w:cs="Times New Roman"/>
          <w:b/>
          <w:sz w:val="20"/>
          <w:szCs w:val="20"/>
        </w:rPr>
        <w:t>Quadro III – Quantitativos da execução das ações planejadas</w:t>
      </w:r>
    </w:p>
    <w:tbl>
      <w:tblPr>
        <w:tblStyle w:val="a1"/>
        <w:tblW w:w="985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1531"/>
        <w:gridCol w:w="1605"/>
        <w:gridCol w:w="1529"/>
        <w:gridCol w:w="1628"/>
        <w:gridCol w:w="1661"/>
      </w:tblGrid>
      <w:tr w:rsidR="00202DDF">
        <w:tc>
          <w:tcPr>
            <w:tcW w:w="9853" w:type="dxa"/>
            <w:gridSpan w:val="6"/>
          </w:tcPr>
          <w:p w:rsidR="00202DDF" w:rsidRDefault="001A5369" w:rsidP="00BE3E9B">
            <w:pPr>
              <w:contextualSpacing w:val="0"/>
              <w:jc w:val="center"/>
            </w:pPr>
            <w:r>
              <w:rPr>
                <w:rFonts w:ascii="Times New Roman" w:eastAsia="Times New Roman" w:hAnsi="Times New Roman" w:cs="Times New Roman"/>
                <w:sz w:val="20"/>
                <w:szCs w:val="20"/>
              </w:rPr>
              <w:t>CAMPUS RIO GRANDE</w:t>
            </w:r>
          </w:p>
        </w:tc>
      </w:tr>
      <w:tr w:rsidR="00202DDF">
        <w:tc>
          <w:tcPr>
            <w:tcW w:w="1899" w:type="dxa"/>
            <w:vAlign w:val="center"/>
          </w:tcPr>
          <w:p w:rsidR="00202DDF" w:rsidRPr="00BE3E9B" w:rsidRDefault="001A5369">
            <w:pPr>
              <w:contextualSpacing w:val="0"/>
              <w:jc w:val="center"/>
              <w:rPr>
                <w:rFonts w:ascii="Times New Roman" w:hAnsi="Times New Roman" w:cs="Times New Roman"/>
                <w:sz w:val="20"/>
                <w:szCs w:val="20"/>
              </w:rPr>
            </w:pPr>
            <w:r w:rsidRPr="00BE3E9B">
              <w:rPr>
                <w:rFonts w:ascii="Times New Roman" w:eastAsia="Times New Roman" w:hAnsi="Times New Roman" w:cs="Times New Roman"/>
                <w:sz w:val="20"/>
                <w:szCs w:val="20"/>
              </w:rPr>
              <w:t>ÁREAS</w:t>
            </w:r>
          </w:p>
        </w:tc>
        <w:tc>
          <w:tcPr>
            <w:tcW w:w="1531" w:type="dxa"/>
            <w:vAlign w:val="center"/>
          </w:tcPr>
          <w:p w:rsidR="00202DDF" w:rsidRPr="00BE3E9B" w:rsidRDefault="001A5369">
            <w:pPr>
              <w:contextualSpacing w:val="0"/>
              <w:jc w:val="center"/>
              <w:rPr>
                <w:rFonts w:ascii="Times New Roman" w:hAnsi="Times New Roman" w:cs="Times New Roman"/>
                <w:sz w:val="20"/>
                <w:szCs w:val="20"/>
              </w:rPr>
            </w:pPr>
            <w:r w:rsidRPr="00BE3E9B">
              <w:rPr>
                <w:rFonts w:ascii="Times New Roman" w:eastAsia="Times New Roman" w:hAnsi="Times New Roman" w:cs="Times New Roman"/>
                <w:sz w:val="20"/>
                <w:szCs w:val="20"/>
              </w:rPr>
              <w:t>Nº TOTAL (Ações Planejadas)</w:t>
            </w:r>
          </w:p>
        </w:tc>
        <w:tc>
          <w:tcPr>
            <w:tcW w:w="1605" w:type="dxa"/>
            <w:vAlign w:val="center"/>
          </w:tcPr>
          <w:p w:rsidR="00202DDF" w:rsidRPr="00BE3E9B" w:rsidRDefault="001A5369">
            <w:pPr>
              <w:contextualSpacing w:val="0"/>
              <w:jc w:val="center"/>
              <w:rPr>
                <w:rFonts w:ascii="Times New Roman" w:hAnsi="Times New Roman" w:cs="Times New Roman"/>
                <w:sz w:val="20"/>
                <w:szCs w:val="20"/>
              </w:rPr>
            </w:pPr>
            <w:r w:rsidRPr="00BE3E9B">
              <w:rPr>
                <w:rFonts w:ascii="Times New Roman" w:eastAsia="Times New Roman" w:hAnsi="Times New Roman" w:cs="Times New Roman"/>
                <w:sz w:val="20"/>
                <w:szCs w:val="20"/>
              </w:rPr>
              <w:t>CONCLUÍDA(s)</w:t>
            </w:r>
          </w:p>
        </w:tc>
        <w:tc>
          <w:tcPr>
            <w:tcW w:w="1529" w:type="dxa"/>
            <w:vAlign w:val="center"/>
          </w:tcPr>
          <w:p w:rsidR="00202DDF" w:rsidRPr="00BE3E9B" w:rsidRDefault="001A5369">
            <w:pPr>
              <w:contextualSpacing w:val="0"/>
              <w:jc w:val="center"/>
              <w:rPr>
                <w:rFonts w:ascii="Times New Roman" w:hAnsi="Times New Roman" w:cs="Times New Roman"/>
                <w:sz w:val="20"/>
                <w:szCs w:val="20"/>
              </w:rPr>
            </w:pPr>
            <w:r w:rsidRPr="00BE3E9B">
              <w:rPr>
                <w:rFonts w:ascii="Times New Roman" w:eastAsia="Times New Roman" w:hAnsi="Times New Roman" w:cs="Times New Roman"/>
                <w:sz w:val="20"/>
                <w:szCs w:val="20"/>
              </w:rPr>
              <w:t>INICIADA(s)</w:t>
            </w:r>
          </w:p>
        </w:tc>
        <w:tc>
          <w:tcPr>
            <w:tcW w:w="1628" w:type="dxa"/>
            <w:vAlign w:val="center"/>
          </w:tcPr>
          <w:p w:rsidR="00202DDF" w:rsidRPr="00BE3E9B" w:rsidRDefault="001A5369">
            <w:pPr>
              <w:contextualSpacing w:val="0"/>
              <w:jc w:val="center"/>
              <w:rPr>
                <w:rFonts w:ascii="Times New Roman" w:hAnsi="Times New Roman" w:cs="Times New Roman"/>
                <w:sz w:val="20"/>
                <w:szCs w:val="20"/>
              </w:rPr>
            </w:pPr>
            <w:r w:rsidRPr="00BE3E9B">
              <w:rPr>
                <w:rFonts w:ascii="Times New Roman" w:eastAsia="Times New Roman" w:hAnsi="Times New Roman" w:cs="Times New Roman"/>
                <w:sz w:val="20"/>
                <w:szCs w:val="20"/>
              </w:rPr>
              <w:t>ATRASADA(s) (Prevista p/ 2017)</w:t>
            </w:r>
          </w:p>
        </w:tc>
        <w:tc>
          <w:tcPr>
            <w:tcW w:w="1661" w:type="dxa"/>
            <w:vAlign w:val="center"/>
          </w:tcPr>
          <w:p w:rsidR="00202DDF" w:rsidRPr="00BE3E9B" w:rsidRDefault="001A5369">
            <w:pPr>
              <w:contextualSpacing w:val="0"/>
              <w:jc w:val="center"/>
              <w:rPr>
                <w:rFonts w:ascii="Times New Roman" w:hAnsi="Times New Roman" w:cs="Times New Roman"/>
                <w:sz w:val="20"/>
                <w:szCs w:val="20"/>
              </w:rPr>
            </w:pPr>
            <w:r w:rsidRPr="00BE3E9B">
              <w:rPr>
                <w:rFonts w:ascii="Times New Roman" w:eastAsia="Times New Roman" w:hAnsi="Times New Roman" w:cs="Times New Roman"/>
                <w:sz w:val="20"/>
                <w:szCs w:val="20"/>
              </w:rPr>
              <w:t>CANCELADA(s)</w:t>
            </w:r>
          </w:p>
        </w:tc>
      </w:tr>
      <w:tr w:rsidR="00202DDF">
        <w:tc>
          <w:tcPr>
            <w:tcW w:w="1899" w:type="dxa"/>
          </w:tcPr>
          <w:p w:rsidR="00202DDF" w:rsidRPr="00BE3E9B" w:rsidRDefault="001A5369">
            <w:pPr>
              <w:contextualSpacing w:val="0"/>
              <w:rPr>
                <w:rFonts w:ascii="Times New Roman" w:hAnsi="Times New Roman" w:cs="Times New Roman"/>
                <w:sz w:val="20"/>
                <w:szCs w:val="20"/>
              </w:rPr>
            </w:pPr>
            <w:r w:rsidRPr="00BE3E9B">
              <w:rPr>
                <w:rFonts w:ascii="Times New Roman" w:eastAsia="Times New Roman" w:hAnsi="Times New Roman" w:cs="Times New Roman"/>
                <w:b/>
                <w:sz w:val="20"/>
                <w:szCs w:val="20"/>
              </w:rPr>
              <w:t>Administração</w:t>
            </w:r>
          </w:p>
        </w:tc>
        <w:tc>
          <w:tcPr>
            <w:tcW w:w="153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17</w:t>
            </w:r>
          </w:p>
        </w:tc>
        <w:tc>
          <w:tcPr>
            <w:tcW w:w="1605"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11</w:t>
            </w:r>
          </w:p>
        </w:tc>
        <w:tc>
          <w:tcPr>
            <w:tcW w:w="1529"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03</w:t>
            </w:r>
          </w:p>
        </w:tc>
        <w:tc>
          <w:tcPr>
            <w:tcW w:w="1628"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03</w:t>
            </w:r>
          </w:p>
        </w:tc>
        <w:tc>
          <w:tcPr>
            <w:tcW w:w="166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w:t>
            </w:r>
          </w:p>
        </w:tc>
      </w:tr>
      <w:tr w:rsidR="00202DDF">
        <w:tc>
          <w:tcPr>
            <w:tcW w:w="1899" w:type="dxa"/>
          </w:tcPr>
          <w:p w:rsidR="00202DDF" w:rsidRPr="00BE3E9B" w:rsidRDefault="001A5369">
            <w:pPr>
              <w:contextualSpacing w:val="0"/>
              <w:rPr>
                <w:rFonts w:ascii="Times New Roman" w:hAnsi="Times New Roman" w:cs="Times New Roman"/>
                <w:sz w:val="20"/>
                <w:szCs w:val="20"/>
              </w:rPr>
            </w:pPr>
            <w:r w:rsidRPr="00BE3E9B">
              <w:rPr>
                <w:rFonts w:ascii="Times New Roman" w:eastAsia="Times New Roman" w:hAnsi="Times New Roman" w:cs="Times New Roman"/>
                <w:b/>
                <w:sz w:val="20"/>
                <w:szCs w:val="20"/>
              </w:rPr>
              <w:t>Desenvolvimento Institucional</w:t>
            </w:r>
          </w:p>
        </w:tc>
        <w:tc>
          <w:tcPr>
            <w:tcW w:w="153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23</w:t>
            </w:r>
          </w:p>
        </w:tc>
        <w:tc>
          <w:tcPr>
            <w:tcW w:w="1605"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13</w:t>
            </w:r>
          </w:p>
        </w:tc>
        <w:tc>
          <w:tcPr>
            <w:tcW w:w="1529"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06</w:t>
            </w:r>
          </w:p>
        </w:tc>
        <w:tc>
          <w:tcPr>
            <w:tcW w:w="1628"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w:t>
            </w:r>
          </w:p>
        </w:tc>
        <w:tc>
          <w:tcPr>
            <w:tcW w:w="166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04</w:t>
            </w:r>
          </w:p>
        </w:tc>
      </w:tr>
      <w:tr w:rsidR="00202DDF">
        <w:tc>
          <w:tcPr>
            <w:tcW w:w="1899" w:type="dxa"/>
          </w:tcPr>
          <w:p w:rsidR="00202DDF" w:rsidRPr="00BE3E9B" w:rsidRDefault="001A5369">
            <w:pPr>
              <w:contextualSpacing w:val="0"/>
              <w:rPr>
                <w:rFonts w:ascii="Times New Roman" w:hAnsi="Times New Roman" w:cs="Times New Roman"/>
                <w:sz w:val="20"/>
                <w:szCs w:val="20"/>
              </w:rPr>
            </w:pPr>
            <w:r w:rsidRPr="00BE3E9B">
              <w:rPr>
                <w:rFonts w:ascii="Times New Roman" w:eastAsia="Times New Roman" w:hAnsi="Times New Roman" w:cs="Times New Roman"/>
                <w:b/>
                <w:sz w:val="20"/>
                <w:szCs w:val="20"/>
              </w:rPr>
              <w:t>Ensino</w:t>
            </w:r>
          </w:p>
        </w:tc>
        <w:tc>
          <w:tcPr>
            <w:tcW w:w="153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96</w:t>
            </w:r>
          </w:p>
        </w:tc>
        <w:tc>
          <w:tcPr>
            <w:tcW w:w="1605"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22</w:t>
            </w:r>
          </w:p>
        </w:tc>
        <w:tc>
          <w:tcPr>
            <w:tcW w:w="1529"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15</w:t>
            </w:r>
          </w:p>
        </w:tc>
        <w:tc>
          <w:tcPr>
            <w:tcW w:w="1628"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52</w:t>
            </w:r>
          </w:p>
        </w:tc>
        <w:tc>
          <w:tcPr>
            <w:tcW w:w="166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07</w:t>
            </w:r>
          </w:p>
        </w:tc>
      </w:tr>
      <w:tr w:rsidR="00202DDF">
        <w:tc>
          <w:tcPr>
            <w:tcW w:w="1899" w:type="dxa"/>
          </w:tcPr>
          <w:p w:rsidR="00202DDF" w:rsidRPr="00BE3E9B" w:rsidRDefault="001A5369">
            <w:pPr>
              <w:contextualSpacing w:val="0"/>
              <w:rPr>
                <w:rFonts w:ascii="Times New Roman" w:hAnsi="Times New Roman" w:cs="Times New Roman"/>
                <w:sz w:val="20"/>
                <w:szCs w:val="20"/>
              </w:rPr>
            </w:pPr>
            <w:r w:rsidRPr="00BE3E9B">
              <w:rPr>
                <w:rFonts w:ascii="Times New Roman" w:eastAsia="Times New Roman" w:hAnsi="Times New Roman" w:cs="Times New Roman"/>
                <w:b/>
                <w:sz w:val="20"/>
                <w:szCs w:val="20"/>
              </w:rPr>
              <w:t>Extensão</w:t>
            </w:r>
          </w:p>
        </w:tc>
        <w:tc>
          <w:tcPr>
            <w:tcW w:w="153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20</w:t>
            </w:r>
          </w:p>
        </w:tc>
        <w:tc>
          <w:tcPr>
            <w:tcW w:w="1605"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10</w:t>
            </w:r>
          </w:p>
        </w:tc>
        <w:tc>
          <w:tcPr>
            <w:tcW w:w="1529"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w:t>
            </w:r>
          </w:p>
        </w:tc>
        <w:tc>
          <w:tcPr>
            <w:tcW w:w="1628"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01</w:t>
            </w:r>
          </w:p>
        </w:tc>
        <w:tc>
          <w:tcPr>
            <w:tcW w:w="166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09</w:t>
            </w:r>
          </w:p>
        </w:tc>
      </w:tr>
      <w:tr w:rsidR="00202DDF">
        <w:tc>
          <w:tcPr>
            <w:tcW w:w="1899" w:type="dxa"/>
          </w:tcPr>
          <w:p w:rsidR="00202DDF" w:rsidRPr="00BE3E9B" w:rsidRDefault="001A5369">
            <w:pPr>
              <w:contextualSpacing w:val="0"/>
              <w:rPr>
                <w:rFonts w:ascii="Times New Roman" w:hAnsi="Times New Roman" w:cs="Times New Roman"/>
                <w:sz w:val="20"/>
                <w:szCs w:val="20"/>
              </w:rPr>
            </w:pPr>
            <w:r w:rsidRPr="00BE3E9B">
              <w:rPr>
                <w:rFonts w:ascii="Times New Roman" w:eastAsia="Times New Roman" w:hAnsi="Times New Roman" w:cs="Times New Roman"/>
                <w:b/>
                <w:sz w:val="20"/>
                <w:szCs w:val="20"/>
              </w:rPr>
              <w:t>Pesquisa</w:t>
            </w:r>
          </w:p>
        </w:tc>
        <w:tc>
          <w:tcPr>
            <w:tcW w:w="153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09</w:t>
            </w:r>
          </w:p>
        </w:tc>
        <w:tc>
          <w:tcPr>
            <w:tcW w:w="1605"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03</w:t>
            </w:r>
          </w:p>
        </w:tc>
        <w:tc>
          <w:tcPr>
            <w:tcW w:w="1529"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w:t>
            </w:r>
          </w:p>
        </w:tc>
        <w:tc>
          <w:tcPr>
            <w:tcW w:w="1628"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w:t>
            </w:r>
          </w:p>
        </w:tc>
        <w:tc>
          <w:tcPr>
            <w:tcW w:w="166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06</w:t>
            </w:r>
          </w:p>
        </w:tc>
      </w:tr>
      <w:tr w:rsidR="00202DDF">
        <w:tc>
          <w:tcPr>
            <w:tcW w:w="1899"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eastAsia="Times New Roman" w:hAnsi="Times New Roman" w:cs="Times New Roman"/>
                <w:sz w:val="20"/>
                <w:szCs w:val="20"/>
              </w:rPr>
              <w:t>TOTAL</w:t>
            </w:r>
          </w:p>
        </w:tc>
        <w:tc>
          <w:tcPr>
            <w:tcW w:w="153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165</w:t>
            </w:r>
          </w:p>
        </w:tc>
        <w:tc>
          <w:tcPr>
            <w:tcW w:w="1605"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63</w:t>
            </w:r>
          </w:p>
        </w:tc>
        <w:tc>
          <w:tcPr>
            <w:tcW w:w="1529"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24</w:t>
            </w:r>
          </w:p>
        </w:tc>
        <w:tc>
          <w:tcPr>
            <w:tcW w:w="1628"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56</w:t>
            </w:r>
          </w:p>
        </w:tc>
        <w:tc>
          <w:tcPr>
            <w:tcW w:w="1661" w:type="dxa"/>
          </w:tcPr>
          <w:p w:rsidR="00202DDF" w:rsidRPr="00BE3E9B" w:rsidRDefault="001A5369">
            <w:pPr>
              <w:contextualSpacing w:val="0"/>
              <w:jc w:val="center"/>
              <w:rPr>
                <w:rFonts w:ascii="Times New Roman" w:hAnsi="Times New Roman" w:cs="Times New Roman"/>
                <w:sz w:val="20"/>
                <w:szCs w:val="20"/>
              </w:rPr>
            </w:pPr>
            <w:r w:rsidRPr="00BE3E9B">
              <w:rPr>
                <w:rFonts w:ascii="Times New Roman" w:hAnsi="Times New Roman" w:cs="Times New Roman"/>
                <w:sz w:val="20"/>
                <w:szCs w:val="20"/>
              </w:rPr>
              <w:t>22</w:t>
            </w:r>
          </w:p>
        </w:tc>
      </w:tr>
    </w:tbl>
    <w:p w:rsidR="00202DDF" w:rsidRDefault="00202DDF">
      <w:pPr>
        <w:jc w:val="both"/>
      </w:pPr>
    </w:p>
    <w:p w:rsidR="00202DDF" w:rsidRDefault="001A5369">
      <w:r>
        <w:br w:type="page"/>
      </w:r>
    </w:p>
    <w:p w:rsidR="00202DDF" w:rsidRDefault="001A5369">
      <w:pPr>
        <w:pStyle w:val="Ttulo1"/>
        <w:numPr>
          <w:ilvl w:val="0"/>
          <w:numId w:val="3"/>
        </w:numPr>
        <w:ind w:hanging="360"/>
      </w:pPr>
      <w:bookmarkStart w:id="26" w:name="_z337ya" w:colFirst="0" w:colLast="0"/>
      <w:bookmarkStart w:id="27" w:name="2jxsxqh" w:colFirst="0" w:colLast="0"/>
      <w:bookmarkStart w:id="28" w:name="_Toc470771602"/>
      <w:bookmarkEnd w:id="26"/>
      <w:bookmarkEnd w:id="27"/>
      <w:r>
        <w:lastRenderedPageBreak/>
        <w:t>Conclusão</w:t>
      </w:r>
      <w:bookmarkEnd w:id="28"/>
    </w:p>
    <w:p w:rsidR="00202DDF" w:rsidRDefault="00202DDF"/>
    <w:p w:rsidR="00202DDF" w:rsidRDefault="001A5369">
      <w:pPr>
        <w:spacing w:after="0" w:line="240" w:lineRule="auto"/>
        <w:ind w:firstLine="360"/>
        <w:jc w:val="both"/>
      </w:pPr>
      <w:r>
        <w:rPr>
          <w:rFonts w:ascii="Times New Roman" w:eastAsia="Times New Roman" w:hAnsi="Times New Roman" w:cs="Times New Roman"/>
          <w:sz w:val="24"/>
          <w:szCs w:val="24"/>
          <w:highlight w:val="white"/>
        </w:rPr>
        <w:t xml:space="preserve">A gestão de 2016 passou por um período de grandes desafios e aprendizados com a execução de um amplo conjunto de ações, integradas por suas direções, que viabilizaram uma estrutura mais adequada e garantiram benefícios para toda comunidade acadêmica. Foi um ano marcado por aprendizados em diversas áreas. </w:t>
      </w:r>
    </w:p>
    <w:p w:rsidR="00202DDF" w:rsidRDefault="001A5369">
      <w:pPr>
        <w:spacing w:after="0" w:line="240" w:lineRule="auto"/>
        <w:ind w:firstLine="360"/>
        <w:jc w:val="both"/>
      </w:pPr>
      <w:r w:rsidRPr="002E29E8">
        <w:rPr>
          <w:rFonts w:ascii="Times New Roman" w:eastAsia="Times New Roman" w:hAnsi="Times New Roman" w:cs="Times New Roman"/>
          <w:sz w:val="24"/>
          <w:szCs w:val="24"/>
          <w:highlight w:val="white"/>
        </w:rPr>
        <w:t>Todos os resultados e conquistas d</w:t>
      </w:r>
      <w:r w:rsidR="002E29E8">
        <w:rPr>
          <w:rFonts w:ascii="Times New Roman" w:eastAsia="Times New Roman" w:hAnsi="Times New Roman" w:cs="Times New Roman"/>
          <w:sz w:val="24"/>
          <w:szCs w:val="24"/>
          <w:highlight w:val="white"/>
        </w:rPr>
        <w:t>estacados neste relatório são consequência</w:t>
      </w:r>
      <w:r w:rsidRPr="002E29E8">
        <w:rPr>
          <w:rFonts w:ascii="Times New Roman" w:eastAsia="Times New Roman" w:hAnsi="Times New Roman" w:cs="Times New Roman"/>
          <w:sz w:val="24"/>
          <w:szCs w:val="24"/>
          <w:highlight w:val="white"/>
        </w:rPr>
        <w:t xml:space="preserve"> de muitas articulações entre direção, coordenações, servidores e alunos, procurando sempre manter</w:t>
      </w:r>
      <w:r>
        <w:rPr>
          <w:rFonts w:ascii="Times New Roman" w:eastAsia="Times New Roman" w:hAnsi="Times New Roman" w:cs="Times New Roman"/>
          <w:sz w:val="24"/>
          <w:szCs w:val="24"/>
          <w:highlight w:val="white"/>
        </w:rPr>
        <w:t xml:space="preserve"> um espaço de construção participativa. Considerando o histórico da Instituição nos últimos anos, é importante também salientar que 2016 se tratou de um ano com foco em estruturação física, nas manutenções, reformas e finalização de obras, pois entendeu-se que apenas desta forma seria possível ampliar a qualidade do ensino na instituição. Oferecendo espaços adequados ao aprendizado, torna-se viável instalar novos laboratórios, salas de aula e espaços comuns com equipamentos adequados, em locais apropriados visando atender um número maior de alunos.</w:t>
      </w:r>
    </w:p>
    <w:p w:rsidR="00202DDF" w:rsidRDefault="001A5369">
      <w:pPr>
        <w:spacing w:after="0" w:line="240" w:lineRule="auto"/>
        <w:ind w:firstLine="360"/>
        <w:jc w:val="both"/>
      </w:pPr>
      <w:r>
        <w:rPr>
          <w:rFonts w:ascii="Times New Roman" w:eastAsia="Times New Roman" w:hAnsi="Times New Roman" w:cs="Times New Roman"/>
          <w:sz w:val="24"/>
          <w:szCs w:val="24"/>
          <w:highlight w:val="white"/>
        </w:rPr>
        <w:t>Temos a consciência de que, apesar de todas as conquistas obtidas, são esperadas para os próximos exercícios dificuldades inerentes ao processo de gestão e principalmente àquelas relativas ao cenário econômico e político nacional</w:t>
      </w:r>
      <w:r>
        <w:rPr>
          <w:rFonts w:ascii="Times New Roman" w:eastAsia="Times New Roman" w:hAnsi="Times New Roman" w:cs="Times New Roman"/>
          <w:sz w:val="24"/>
          <w:szCs w:val="24"/>
        </w:rPr>
        <w:t>. Dentre essas questões, temos especial atenção a duas ações políticas que podem representar grandes desafios para o próximo ano. A primeira delas é a Medida Provisória (MP) que trata da reforma do ensino médio que está em processo de discussão para aprovação no Congresso Nacional e que representa uma série de mudanças importantes para toda comunidade. Ela representa um grande desafio para nossa realidade, tendo em vista que nossos cursos estão sendo readequados pela nova Organização Didática do IFRS e caso a MP seja aprovada, todo esse processo precisa ser refeito. E a segunda ação é a emenda constitucional aprovada nas últimas semanas, que impõe um limite de gastos ao governo pelos próximos 20 anos (mais conhecida como PEC 55) e que poderá representar obstáculos ao nosso desenvolvimento institucional e até a manutenção dos serviços com a qualidade esperada.</w:t>
      </w:r>
    </w:p>
    <w:p w:rsidR="00202DDF" w:rsidRPr="002E29E8" w:rsidRDefault="001A5369" w:rsidP="002E29E8">
      <w:pPr>
        <w:spacing w:after="0" w:line="240" w:lineRule="auto"/>
        <w:ind w:firstLine="360"/>
        <w:jc w:val="both"/>
        <w:rPr>
          <w:rFonts w:ascii="Times New Roman" w:eastAsia="Times New Roman" w:hAnsi="Times New Roman" w:cs="Times New Roman"/>
          <w:sz w:val="24"/>
          <w:szCs w:val="24"/>
          <w:highlight w:val="white"/>
        </w:rPr>
      </w:pPr>
      <w:bookmarkStart w:id="29" w:name="_3j2qqm3" w:colFirst="0" w:colLast="0"/>
      <w:bookmarkEnd w:id="29"/>
      <w:r>
        <w:rPr>
          <w:rFonts w:ascii="Times New Roman" w:eastAsia="Times New Roman" w:hAnsi="Times New Roman" w:cs="Times New Roman"/>
          <w:sz w:val="24"/>
          <w:szCs w:val="24"/>
          <w:highlight w:val="white"/>
        </w:rPr>
        <w:t xml:space="preserve">Por fim, toda equipe do </w:t>
      </w:r>
      <w:r>
        <w:rPr>
          <w:rFonts w:ascii="Times New Roman" w:eastAsia="Times New Roman" w:hAnsi="Times New Roman" w:cs="Times New Roman"/>
          <w:i/>
          <w:sz w:val="24"/>
          <w:szCs w:val="24"/>
          <w:highlight w:val="white"/>
        </w:rPr>
        <w:t xml:space="preserve">Campus </w:t>
      </w:r>
      <w:r>
        <w:rPr>
          <w:rFonts w:ascii="Times New Roman" w:eastAsia="Times New Roman" w:hAnsi="Times New Roman" w:cs="Times New Roman"/>
          <w:sz w:val="24"/>
          <w:szCs w:val="24"/>
          <w:highlight w:val="white"/>
        </w:rPr>
        <w:t>Rio Grande, apesar dos desafios, c</w:t>
      </w:r>
      <w:r w:rsidR="002E29E8">
        <w:rPr>
          <w:rFonts w:ascii="Times New Roman" w:eastAsia="Times New Roman" w:hAnsi="Times New Roman" w:cs="Times New Roman"/>
          <w:sz w:val="24"/>
          <w:szCs w:val="24"/>
          <w:highlight w:val="white"/>
        </w:rPr>
        <w:t>onquistas e superações reafirma</w:t>
      </w:r>
      <w:r>
        <w:rPr>
          <w:rFonts w:ascii="Times New Roman" w:eastAsia="Times New Roman" w:hAnsi="Times New Roman" w:cs="Times New Roman"/>
          <w:sz w:val="24"/>
          <w:szCs w:val="24"/>
          <w:highlight w:val="white"/>
        </w:rPr>
        <w:t xml:space="preserve"> o compromisso e desafio de construir uma instituição de excelência em educação, ciência e tecnologia. </w:t>
      </w:r>
    </w:p>
    <w:p w:rsidR="00202DDF" w:rsidRDefault="00202DDF">
      <w:pPr>
        <w:spacing w:after="0" w:line="240" w:lineRule="auto"/>
        <w:ind w:firstLine="360"/>
        <w:jc w:val="both"/>
      </w:pPr>
    </w:p>
    <w:p w:rsidR="00202DDF" w:rsidRDefault="00202DDF"/>
    <w:sectPr w:rsidR="00202DDF">
      <w:headerReference w:type="default" r:id="rId10"/>
      <w:pgSz w:w="11906" w:h="16838"/>
      <w:pgMar w:top="1418" w:right="851"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6C" w:rsidRDefault="00106D6C">
      <w:pPr>
        <w:spacing w:after="0" w:line="240" w:lineRule="auto"/>
      </w:pPr>
      <w:r>
        <w:separator/>
      </w:r>
    </w:p>
  </w:endnote>
  <w:endnote w:type="continuationSeparator" w:id="0">
    <w:p w:rsidR="00106D6C" w:rsidRDefault="0010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6C" w:rsidRDefault="00106D6C">
      <w:pPr>
        <w:spacing w:after="0" w:line="240" w:lineRule="auto"/>
      </w:pPr>
      <w:r>
        <w:separator/>
      </w:r>
    </w:p>
  </w:footnote>
  <w:footnote w:type="continuationSeparator" w:id="0">
    <w:p w:rsidR="00106D6C" w:rsidRDefault="00106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69" w:rsidRDefault="001A5369">
    <w:pPr>
      <w:tabs>
        <w:tab w:val="center" w:pos="4252"/>
        <w:tab w:val="right" w:pos="8504"/>
      </w:tabs>
      <w:spacing w:before="720" w:after="0" w:line="240" w:lineRule="auto"/>
      <w:jc w:val="right"/>
    </w:pPr>
    <w:r>
      <w:fldChar w:fldCharType="begin"/>
    </w:r>
    <w:r>
      <w:instrText>PAGE</w:instrText>
    </w:r>
    <w:r>
      <w:fldChar w:fldCharType="separate"/>
    </w:r>
    <w:r w:rsidR="00375036">
      <w:rPr>
        <w:noProof/>
      </w:rPr>
      <w:t>2</w:t>
    </w:r>
    <w:r>
      <w:fldChar w:fldCharType="end"/>
    </w:r>
  </w:p>
  <w:p w:rsidR="001A5369" w:rsidRDefault="001A5369">
    <w:pPr>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2AE"/>
    <w:multiLevelType w:val="multilevel"/>
    <w:tmpl w:val="DF80EB3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31D6F2B"/>
    <w:multiLevelType w:val="multilevel"/>
    <w:tmpl w:val="1CFEB47C"/>
    <w:lvl w:ilvl="0">
      <w:start w:val="1"/>
      <w:numFmt w:val="upperRoman"/>
      <w:lvlText w:val="%1."/>
      <w:lvlJc w:val="righ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385A01B5"/>
    <w:multiLevelType w:val="multilevel"/>
    <w:tmpl w:val="4508C710"/>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3">
    <w:nsid w:val="63186941"/>
    <w:multiLevelType w:val="multilevel"/>
    <w:tmpl w:val="79566EC8"/>
    <w:lvl w:ilvl="0">
      <w:start w:val="1"/>
      <w:numFmt w:val="upperRoman"/>
      <w:lvlText w:val="%1."/>
      <w:lvlJc w:val="right"/>
      <w:pPr>
        <w:ind w:left="1440" w:firstLine="1080"/>
      </w:pPr>
      <w:rPr>
        <w:color w:val="00000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2DDF"/>
    <w:rsid w:val="00106D6C"/>
    <w:rsid w:val="001A5369"/>
    <w:rsid w:val="00202DDF"/>
    <w:rsid w:val="002E29E8"/>
    <w:rsid w:val="00375036"/>
    <w:rsid w:val="003C55B9"/>
    <w:rsid w:val="00644377"/>
    <w:rsid w:val="006F485B"/>
    <w:rsid w:val="00727927"/>
    <w:rsid w:val="00A35726"/>
    <w:rsid w:val="00B60A87"/>
    <w:rsid w:val="00BE3E9B"/>
    <w:rsid w:val="00C81F73"/>
    <w:rsid w:val="00E16A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jc w:val="both"/>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60A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0A87"/>
    <w:rPr>
      <w:rFonts w:ascii="Tahoma" w:hAnsi="Tahoma" w:cs="Tahoma"/>
      <w:sz w:val="16"/>
      <w:szCs w:val="16"/>
    </w:rPr>
  </w:style>
  <w:style w:type="paragraph" w:styleId="CabealhodoSumrio">
    <w:name w:val="TOC Heading"/>
    <w:basedOn w:val="Ttulo1"/>
    <w:next w:val="Normal"/>
    <w:uiPriority w:val="39"/>
    <w:unhideWhenUsed/>
    <w:qFormat/>
    <w:rsid w:val="00C81F73"/>
    <w:p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rsid w:val="00C81F73"/>
    <w:pPr>
      <w:spacing w:after="100"/>
    </w:pPr>
  </w:style>
  <w:style w:type="character" w:styleId="Hyperlink">
    <w:name w:val="Hyperlink"/>
    <w:basedOn w:val="Fontepargpadro"/>
    <w:uiPriority w:val="99"/>
    <w:unhideWhenUsed/>
    <w:rsid w:val="00C8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jc w:val="both"/>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60A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0A87"/>
    <w:rPr>
      <w:rFonts w:ascii="Tahoma" w:hAnsi="Tahoma" w:cs="Tahoma"/>
      <w:sz w:val="16"/>
      <w:szCs w:val="16"/>
    </w:rPr>
  </w:style>
  <w:style w:type="paragraph" w:styleId="CabealhodoSumrio">
    <w:name w:val="TOC Heading"/>
    <w:basedOn w:val="Ttulo1"/>
    <w:next w:val="Normal"/>
    <w:uiPriority w:val="39"/>
    <w:unhideWhenUsed/>
    <w:qFormat/>
    <w:rsid w:val="00C81F73"/>
    <w:p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rsid w:val="00C81F73"/>
    <w:pPr>
      <w:spacing w:after="100"/>
    </w:pPr>
  </w:style>
  <w:style w:type="character" w:styleId="Hyperlink">
    <w:name w:val="Hyperlink"/>
    <w:basedOn w:val="Fontepargpadro"/>
    <w:uiPriority w:val="99"/>
    <w:unhideWhenUsed/>
    <w:rsid w:val="00C8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A382-9314-44E1-A803-13F28F79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5703</Words>
  <Characters>30802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lastModifiedBy>
  <cp:revision>2</cp:revision>
  <cp:lastPrinted>2016-12-29T12:45:00Z</cp:lastPrinted>
  <dcterms:created xsi:type="dcterms:W3CDTF">2016-12-29T13:47:00Z</dcterms:created>
  <dcterms:modified xsi:type="dcterms:W3CDTF">2016-12-29T13:47:00Z</dcterms:modified>
</cp:coreProperties>
</file>